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BD" w:rsidRPr="000E629D" w:rsidRDefault="00B629BD" w:rsidP="00434AB7">
      <w:pPr>
        <w:ind w:left="0"/>
        <w:jc w:val="center"/>
        <w:rPr>
          <w:b/>
          <w:color w:val="FF0000"/>
          <w:sz w:val="18"/>
          <w:szCs w:val="20"/>
          <w:highlight w:val="yellow"/>
          <w:lang w:val="en-US"/>
        </w:rPr>
      </w:pPr>
      <w:r w:rsidRPr="00B629BD">
        <w:rPr>
          <w:b/>
          <w:color w:val="FF0000"/>
          <w:sz w:val="18"/>
          <w:szCs w:val="20"/>
          <w:highlight w:val="yellow"/>
          <w:lang w:val="el-GR"/>
        </w:rPr>
        <w:t>ΔΕΙΚΤΕΣ</w:t>
      </w:r>
      <w:r w:rsidRPr="00B629BD">
        <w:rPr>
          <w:b/>
          <w:color w:val="FF0000"/>
          <w:sz w:val="18"/>
          <w:szCs w:val="20"/>
          <w:highlight w:val="yellow"/>
          <w:lang w:val="en-US"/>
        </w:rPr>
        <w:t xml:space="preserve"> </w:t>
      </w:r>
      <w:r w:rsidRPr="00B629BD">
        <w:rPr>
          <w:b/>
          <w:color w:val="FF0000"/>
          <w:sz w:val="18"/>
          <w:szCs w:val="20"/>
          <w:highlight w:val="yellow"/>
          <w:lang w:val="el-GR"/>
        </w:rPr>
        <w:t>ΕΚΡΟΗΣ ΓΙΑ</w:t>
      </w:r>
      <w:r w:rsidRPr="00B629BD">
        <w:rPr>
          <w:b/>
          <w:color w:val="FF0000"/>
          <w:sz w:val="18"/>
          <w:szCs w:val="20"/>
          <w:highlight w:val="yellow"/>
          <w:lang w:val="en-US"/>
        </w:rPr>
        <w:t xml:space="preserve"> </w:t>
      </w:r>
      <w:r w:rsidR="000E629D">
        <w:rPr>
          <w:b/>
          <w:color w:val="FF0000"/>
          <w:sz w:val="18"/>
          <w:szCs w:val="20"/>
          <w:highlight w:val="yellow"/>
          <w:lang w:val="en-US"/>
        </w:rPr>
        <w:t>ERANETS</w:t>
      </w:r>
      <w:r w:rsidRPr="00B629BD">
        <w:rPr>
          <w:b/>
          <w:color w:val="FF0000"/>
          <w:sz w:val="18"/>
          <w:szCs w:val="20"/>
          <w:highlight w:val="yellow"/>
          <w:lang w:val="en-US"/>
        </w:rPr>
        <w:t xml:space="preserve">– OUTPUT INDICATORS FOR </w:t>
      </w:r>
      <w:r w:rsidR="000E629D" w:rsidRPr="000E629D">
        <w:rPr>
          <w:b/>
          <w:color w:val="FF0000"/>
          <w:sz w:val="18"/>
          <w:szCs w:val="20"/>
          <w:highlight w:val="yellow"/>
          <w:lang w:val="en-US"/>
        </w:rPr>
        <w:t>ERANETS</w:t>
      </w:r>
    </w:p>
    <w:tbl>
      <w:tblPr>
        <w:tblpPr w:leftFromText="180" w:rightFromText="180" w:vertAnchor="text" w:tblpXSpec="center" w:tblpY="1"/>
        <w:tblOverlap w:val="never"/>
        <w:tblW w:w="14142" w:type="dxa"/>
        <w:tblCellMar>
          <w:left w:w="0" w:type="dxa"/>
          <w:right w:w="0" w:type="dxa"/>
        </w:tblCellMar>
        <w:tblLook w:val="04A0"/>
      </w:tblPr>
      <w:tblGrid>
        <w:gridCol w:w="988"/>
        <w:gridCol w:w="7058"/>
        <w:gridCol w:w="6096"/>
      </w:tblGrid>
      <w:tr w:rsidR="00734114" w:rsidRPr="00FC0C14" w:rsidTr="00C868CF">
        <w:trPr>
          <w:trHeight w:val="308"/>
        </w:trPr>
        <w:tc>
          <w:tcPr>
            <w:tcW w:w="9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34114" w:rsidRPr="00FC0C14" w:rsidRDefault="00734114" w:rsidP="00434AB7">
            <w:pPr>
              <w:ind w:left="0"/>
              <w:jc w:val="left"/>
              <w:rPr>
                <w:rFonts w:asciiTheme="minorHAnsi" w:hAnsiTheme="minorHAnsi" w:cs="Tahoma"/>
                <w:b/>
                <w:bCs/>
              </w:rPr>
            </w:pPr>
            <w:r w:rsidRPr="00FC0C14">
              <w:rPr>
                <w:rFonts w:asciiTheme="minorHAnsi" w:hAnsiTheme="minorHAnsi" w:cs="Arial"/>
                <w:b/>
                <w:szCs w:val="22"/>
                <w:lang w:val="el-GR"/>
              </w:rPr>
              <w:t>Κωδικός</w:t>
            </w:r>
          </w:p>
        </w:tc>
        <w:tc>
          <w:tcPr>
            <w:tcW w:w="70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4114" w:rsidRPr="00FC0C14" w:rsidRDefault="00734114" w:rsidP="00434AB7">
            <w:pPr>
              <w:ind w:left="0"/>
              <w:jc w:val="left"/>
              <w:rPr>
                <w:rFonts w:asciiTheme="minorHAnsi" w:hAnsiTheme="minorHAnsi" w:cs="Tahoma"/>
                <w:b/>
                <w:lang w:val="el-GR"/>
              </w:rPr>
            </w:pPr>
            <w:r w:rsidRPr="00FC0C14">
              <w:rPr>
                <w:rFonts w:asciiTheme="minorHAnsi" w:hAnsiTheme="minorHAnsi" w:cs="Arial"/>
                <w:b/>
                <w:szCs w:val="22"/>
                <w:lang w:val="el-GR"/>
              </w:rPr>
              <w:t xml:space="preserve">Ονομασία </w:t>
            </w:r>
            <w:r w:rsidRPr="00FC0C14">
              <w:rPr>
                <w:rFonts w:asciiTheme="minorHAnsi" w:hAnsiTheme="minorHAnsi" w:cs="Arial"/>
                <w:b/>
                <w:szCs w:val="22"/>
                <w:lang w:val="en-US"/>
              </w:rPr>
              <w:t xml:space="preserve">&amp; </w:t>
            </w:r>
            <w:r w:rsidRPr="00FC0C14">
              <w:rPr>
                <w:rFonts w:asciiTheme="minorHAnsi" w:hAnsiTheme="minorHAnsi" w:cs="Arial"/>
                <w:b/>
                <w:szCs w:val="22"/>
                <w:lang w:val="el-GR"/>
              </w:rPr>
              <w:t xml:space="preserve">Επεξήγηση </w:t>
            </w:r>
            <w:r w:rsidR="00110B28" w:rsidRPr="00FC0C14">
              <w:rPr>
                <w:rFonts w:asciiTheme="minorHAnsi" w:hAnsiTheme="minorHAnsi" w:cs="Arial"/>
                <w:b/>
                <w:szCs w:val="22"/>
                <w:lang w:val="el-GR"/>
              </w:rPr>
              <w:t>Δ</w:t>
            </w:r>
            <w:r w:rsidRPr="00FC0C14">
              <w:rPr>
                <w:rFonts w:asciiTheme="minorHAnsi" w:hAnsiTheme="minorHAnsi" w:cs="Arial"/>
                <w:b/>
                <w:szCs w:val="22"/>
                <w:lang w:val="el-GR"/>
              </w:rPr>
              <w:t>είκτη</w:t>
            </w:r>
          </w:p>
        </w:tc>
        <w:tc>
          <w:tcPr>
            <w:tcW w:w="6096" w:type="dxa"/>
            <w:tcBorders>
              <w:top w:val="single" w:sz="8" w:space="0" w:color="auto"/>
              <w:left w:val="nil"/>
              <w:bottom w:val="single" w:sz="8" w:space="0" w:color="auto"/>
              <w:right w:val="single" w:sz="8" w:space="0" w:color="auto"/>
            </w:tcBorders>
          </w:tcPr>
          <w:p w:rsidR="00734114" w:rsidRPr="00B629BD" w:rsidRDefault="00B629BD" w:rsidP="00434AB7">
            <w:pPr>
              <w:ind w:left="0"/>
              <w:jc w:val="left"/>
              <w:rPr>
                <w:rFonts w:asciiTheme="minorHAnsi" w:hAnsiTheme="minorHAnsi" w:cs="Tahoma"/>
                <w:b/>
                <w:lang w:val="en-US"/>
              </w:rPr>
            </w:pPr>
            <w:r>
              <w:rPr>
                <w:rFonts w:asciiTheme="minorHAnsi" w:hAnsiTheme="minorHAnsi" w:cs="Tahoma"/>
                <w:b/>
                <w:szCs w:val="22"/>
                <w:lang w:val="en-US"/>
              </w:rPr>
              <w:t>Title &amp; definition</w:t>
            </w:r>
          </w:p>
        </w:tc>
      </w:tr>
      <w:tr w:rsidR="002D38F8" w:rsidRPr="00FC0C14" w:rsidTr="00C868CF">
        <w:trPr>
          <w:trHeight w:val="1917"/>
        </w:trPr>
        <w:tc>
          <w:tcPr>
            <w:tcW w:w="9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D38F8" w:rsidRPr="00FC0C14" w:rsidRDefault="002D38F8" w:rsidP="00434AB7">
            <w:pPr>
              <w:ind w:left="0"/>
              <w:jc w:val="left"/>
              <w:rPr>
                <w:rFonts w:asciiTheme="minorHAnsi" w:eastAsiaTheme="minorHAnsi" w:hAnsiTheme="minorHAnsi" w:cs="Tahoma"/>
                <w:b/>
                <w:bCs/>
              </w:rPr>
            </w:pPr>
            <w:r w:rsidRPr="00FC0C14">
              <w:rPr>
                <w:rFonts w:asciiTheme="minorHAnsi" w:hAnsiTheme="minorHAnsi" w:cs="Tahoma"/>
                <w:b/>
                <w:bCs/>
                <w:szCs w:val="22"/>
              </w:rPr>
              <w:t>CO01</w:t>
            </w:r>
          </w:p>
        </w:tc>
        <w:tc>
          <w:tcPr>
            <w:tcW w:w="7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38F8" w:rsidRPr="00C868CF" w:rsidRDefault="002D38F8" w:rsidP="00434AB7">
            <w:pPr>
              <w:ind w:left="0"/>
              <w:jc w:val="left"/>
              <w:rPr>
                <w:rFonts w:asciiTheme="minorHAnsi" w:hAnsiTheme="minorHAnsi" w:cs="Tahoma"/>
                <w:b/>
                <w:lang w:val="el-GR"/>
              </w:rPr>
            </w:pPr>
            <w:r w:rsidRPr="00C868CF">
              <w:rPr>
                <w:rFonts w:asciiTheme="minorHAnsi" w:hAnsiTheme="minorHAnsi" w:cs="Tahoma"/>
                <w:b/>
                <w:szCs w:val="22"/>
                <w:lang w:val="el-GR"/>
              </w:rPr>
              <w:t>Αριθμός επιχειρήσεων που ενισχύονται</w:t>
            </w:r>
          </w:p>
          <w:p w:rsidR="002D38F8" w:rsidRPr="00FC0C14" w:rsidRDefault="002D38F8" w:rsidP="00434AB7">
            <w:pPr>
              <w:ind w:left="0"/>
              <w:jc w:val="left"/>
              <w:rPr>
                <w:rFonts w:asciiTheme="minorHAnsi" w:hAnsiTheme="minorHAnsi" w:cs="Arial"/>
                <w:lang w:val="el-GR"/>
              </w:rPr>
            </w:pPr>
            <w:r w:rsidRPr="00FC0C14">
              <w:rPr>
                <w:rFonts w:asciiTheme="minorHAnsi" w:hAnsiTheme="minorHAnsi" w:cs="Arial"/>
                <w:szCs w:val="22"/>
                <w:lang w:val="el-GR"/>
              </w:rPr>
              <w:t xml:space="preserve">Αριθμός επιχειρήσεων που λαμβάνουν στήριξη οποιασδήποτε μορφής από το ΕΤΠΑ (είτε η στήριξη αφορά κρατική ενίσχυση είτε όχι). </w:t>
            </w:r>
          </w:p>
          <w:p w:rsidR="002D38F8" w:rsidRPr="00FC0C14" w:rsidRDefault="002D38F8" w:rsidP="00434AB7">
            <w:pPr>
              <w:ind w:left="0"/>
              <w:jc w:val="left"/>
              <w:rPr>
                <w:rFonts w:asciiTheme="minorHAnsi" w:hAnsiTheme="minorHAnsi" w:cs="Arial"/>
                <w:lang w:val="en-US"/>
              </w:rPr>
            </w:pPr>
            <w:r w:rsidRPr="00FC0C14">
              <w:rPr>
                <w:rFonts w:asciiTheme="minorHAnsi" w:hAnsiTheme="minorHAnsi" w:cs="Arial"/>
                <w:szCs w:val="22"/>
                <w:u w:val="single"/>
                <w:lang w:val="el-GR"/>
              </w:rPr>
              <w:t>Επιχείρηση</w:t>
            </w:r>
            <w:r w:rsidRPr="00FC0C14">
              <w:rPr>
                <w:rFonts w:asciiTheme="minorHAnsi" w:hAnsiTheme="minorHAnsi" w:cs="Arial"/>
                <w:szCs w:val="22"/>
                <w:lang w:val="el-GR"/>
              </w:rPr>
              <w:t xml:space="preserve">: Οργανισμός που παράγει αγαθά ή υπηρεσίες για την ικανοποίηση των αναγκών της αγοράς προκειμένου να αποκτήσει κέρδος. Η νομική μορφή της επιχείρησης μπορεί να ποικίλει. </w:t>
            </w:r>
          </w:p>
        </w:tc>
        <w:tc>
          <w:tcPr>
            <w:tcW w:w="6096" w:type="dxa"/>
            <w:tcBorders>
              <w:top w:val="single" w:sz="8" w:space="0" w:color="auto"/>
              <w:left w:val="nil"/>
              <w:bottom w:val="single" w:sz="8" w:space="0" w:color="auto"/>
              <w:right w:val="single" w:sz="8" w:space="0" w:color="auto"/>
            </w:tcBorders>
          </w:tcPr>
          <w:p w:rsidR="002D38F8" w:rsidRPr="00FC0C14" w:rsidRDefault="00BE45A3" w:rsidP="00434AB7">
            <w:pPr>
              <w:ind w:left="0"/>
              <w:jc w:val="left"/>
              <w:rPr>
                <w:rFonts w:asciiTheme="minorHAnsi" w:hAnsiTheme="minorHAnsi" w:cs="Tahoma"/>
                <w:b/>
                <w:lang w:val="en-US"/>
              </w:rPr>
            </w:pPr>
            <w:r w:rsidRPr="00FC0C14">
              <w:rPr>
                <w:rFonts w:asciiTheme="minorHAnsi" w:hAnsiTheme="minorHAnsi" w:cs="Tahoma"/>
                <w:b/>
                <w:szCs w:val="22"/>
                <w:lang w:val="en-US"/>
              </w:rPr>
              <w:t>Productive investment: Number of enterprises receiving support</w:t>
            </w:r>
          </w:p>
          <w:p w:rsidR="004B0887" w:rsidRPr="00FC0C14" w:rsidRDefault="004B0887" w:rsidP="00434AB7">
            <w:pPr>
              <w:ind w:left="0"/>
              <w:jc w:val="left"/>
              <w:rPr>
                <w:rFonts w:asciiTheme="minorHAnsi" w:hAnsiTheme="minorHAnsi"/>
              </w:rPr>
            </w:pPr>
            <w:r w:rsidRPr="00FC0C14">
              <w:rPr>
                <w:rFonts w:asciiTheme="minorHAnsi" w:hAnsiTheme="minorHAnsi"/>
                <w:szCs w:val="22"/>
              </w:rPr>
              <w:t>Number of enterprises receiving support in any form from ERDF (whether the support represents state aid or not).</w:t>
            </w:r>
          </w:p>
          <w:p w:rsidR="00BE45A3" w:rsidRPr="00FC0C14" w:rsidRDefault="004B0887" w:rsidP="00434AB7">
            <w:pPr>
              <w:ind w:left="0"/>
              <w:jc w:val="left"/>
              <w:rPr>
                <w:rFonts w:asciiTheme="minorHAnsi" w:hAnsiTheme="minorHAnsi" w:cs="Tahoma"/>
                <w:lang w:val="en-US"/>
              </w:rPr>
            </w:pPr>
            <w:r w:rsidRPr="00FC0C14">
              <w:rPr>
                <w:rFonts w:asciiTheme="minorHAnsi" w:hAnsiTheme="minorHAnsi"/>
                <w:szCs w:val="22"/>
              </w:rPr>
              <w:t xml:space="preserve"> </w:t>
            </w:r>
            <w:r w:rsidRPr="00FC0C14">
              <w:rPr>
                <w:rFonts w:asciiTheme="minorHAnsi" w:hAnsiTheme="minorHAnsi"/>
                <w:szCs w:val="22"/>
                <w:u w:val="single"/>
              </w:rPr>
              <w:t>Enterprise</w:t>
            </w:r>
            <w:r w:rsidRPr="00FC0C14">
              <w:rPr>
                <w:rFonts w:asciiTheme="minorHAnsi" w:hAnsiTheme="minorHAnsi"/>
                <w:szCs w:val="22"/>
              </w:rPr>
              <w:t>: is defined as an organisation producing products or services to satisfy market needs in order to reach profit. The legal form of enterprise may be various (self-employed persons, partnerships, etc.).</w:t>
            </w:r>
          </w:p>
        </w:tc>
      </w:tr>
      <w:tr w:rsidR="002D38F8" w:rsidRPr="00FC0C14" w:rsidTr="00C868CF">
        <w:trPr>
          <w:trHeight w:val="308"/>
        </w:trPr>
        <w:tc>
          <w:tcPr>
            <w:tcW w:w="98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D38F8" w:rsidRPr="00FC0C14" w:rsidRDefault="002D38F8" w:rsidP="00434AB7">
            <w:pPr>
              <w:ind w:left="0"/>
              <w:jc w:val="left"/>
              <w:rPr>
                <w:rFonts w:asciiTheme="minorHAnsi" w:eastAsiaTheme="minorHAnsi" w:hAnsiTheme="minorHAnsi" w:cs="Tahoma"/>
                <w:b/>
                <w:bCs/>
              </w:rPr>
            </w:pPr>
            <w:r w:rsidRPr="00FC0C14">
              <w:rPr>
                <w:rFonts w:asciiTheme="minorHAnsi" w:hAnsiTheme="minorHAnsi" w:cs="Tahoma"/>
                <w:b/>
                <w:bCs/>
                <w:szCs w:val="22"/>
              </w:rPr>
              <w:t>CO02</w:t>
            </w:r>
          </w:p>
        </w:tc>
        <w:tc>
          <w:tcPr>
            <w:tcW w:w="705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D38F8" w:rsidRPr="00C868CF" w:rsidRDefault="002D38F8" w:rsidP="00434AB7">
            <w:pPr>
              <w:ind w:left="0"/>
              <w:jc w:val="left"/>
              <w:rPr>
                <w:rFonts w:asciiTheme="minorHAnsi" w:hAnsiTheme="minorHAnsi" w:cs="Tahoma"/>
                <w:b/>
                <w:lang w:val="el-GR"/>
              </w:rPr>
            </w:pPr>
            <w:r w:rsidRPr="00FC0C14">
              <w:rPr>
                <w:rFonts w:asciiTheme="minorHAnsi" w:hAnsiTheme="minorHAnsi" w:cs="Tahoma"/>
                <w:b/>
                <w:szCs w:val="22"/>
                <w:lang w:val="el-GR"/>
              </w:rPr>
              <w:t>Αριθμός επιχειρήσεων που λαμβάνουν επιχορηγήσεις</w:t>
            </w:r>
          </w:p>
          <w:p w:rsidR="00734114" w:rsidRPr="00FC0C14" w:rsidRDefault="002D38F8" w:rsidP="00434AB7">
            <w:pPr>
              <w:ind w:left="0"/>
              <w:jc w:val="left"/>
              <w:rPr>
                <w:rFonts w:asciiTheme="minorHAnsi" w:hAnsiTheme="minorHAnsi" w:cs="Arial"/>
                <w:lang w:val="el-GR"/>
              </w:rPr>
            </w:pPr>
            <w:r w:rsidRPr="00FC0C14">
              <w:rPr>
                <w:rFonts w:asciiTheme="minorHAnsi" w:hAnsiTheme="minorHAnsi" w:cs="Arial"/>
                <w:szCs w:val="22"/>
                <w:lang w:val="el-GR"/>
              </w:rPr>
              <w:t xml:space="preserve">Αριθμός επιχειρήσεων που λαμβάνουν στήριξη σε μορφή μη επιστρεπτέας άμεσης χρηματοδοτικής στήριξης με την προϋπόθεση της ολοκλήρωσης των έργων (επιχορηγήσεις). </w:t>
            </w:r>
          </w:p>
          <w:p w:rsidR="002D38F8" w:rsidRPr="00FC0C14" w:rsidRDefault="002D38F8" w:rsidP="00434AB7">
            <w:pPr>
              <w:ind w:left="0"/>
              <w:jc w:val="left"/>
              <w:rPr>
                <w:rFonts w:asciiTheme="minorHAnsi" w:eastAsiaTheme="minorHAnsi" w:hAnsiTheme="minorHAnsi" w:cs="Tahoma"/>
                <w:lang w:val="el-GR"/>
              </w:rPr>
            </w:pPr>
            <w:r w:rsidRPr="00FC0C14">
              <w:rPr>
                <w:rFonts w:asciiTheme="minorHAnsi" w:hAnsiTheme="minorHAnsi" w:cs="Arial"/>
                <w:szCs w:val="22"/>
                <w:lang w:val="el-GR"/>
              </w:rPr>
              <w:t xml:space="preserve">Υποσύνολο του Δείκτη </w:t>
            </w:r>
            <w:r w:rsidRPr="00FC0C14">
              <w:rPr>
                <w:rFonts w:asciiTheme="minorHAnsi" w:hAnsiTheme="minorHAnsi" w:cs="Arial"/>
                <w:szCs w:val="22"/>
                <w:lang w:val="en-US"/>
              </w:rPr>
              <w:t>CO</w:t>
            </w:r>
            <w:r w:rsidRPr="00FC0C14">
              <w:rPr>
                <w:rFonts w:asciiTheme="minorHAnsi" w:hAnsiTheme="minorHAnsi" w:cs="Arial"/>
                <w:szCs w:val="22"/>
                <w:lang w:val="el-GR"/>
              </w:rPr>
              <w:t>01 «Αριθμός επιχειρήσεων που λαμβάνουν στήριξη».</w:t>
            </w:r>
          </w:p>
        </w:tc>
        <w:tc>
          <w:tcPr>
            <w:tcW w:w="6096" w:type="dxa"/>
            <w:tcBorders>
              <w:top w:val="nil"/>
              <w:left w:val="nil"/>
              <w:bottom w:val="single" w:sz="4" w:space="0" w:color="auto"/>
              <w:right w:val="single" w:sz="8" w:space="0" w:color="auto"/>
            </w:tcBorders>
            <w:shd w:val="clear" w:color="auto" w:fill="FFFFFF"/>
          </w:tcPr>
          <w:p w:rsidR="002D38F8" w:rsidRDefault="00FC0C14" w:rsidP="00434AB7">
            <w:pPr>
              <w:autoSpaceDE w:val="0"/>
              <w:autoSpaceDN w:val="0"/>
              <w:adjustRightInd w:val="0"/>
              <w:ind w:left="0"/>
              <w:jc w:val="left"/>
              <w:rPr>
                <w:rFonts w:asciiTheme="minorHAnsi" w:eastAsiaTheme="minorHAnsi" w:hAnsiTheme="minorHAnsi" w:cs="TimesNewRoman"/>
                <w:b/>
                <w:lang w:val="en-US"/>
              </w:rPr>
            </w:pPr>
            <w:r w:rsidRPr="00FC0C14">
              <w:rPr>
                <w:rFonts w:asciiTheme="minorHAnsi" w:eastAsiaTheme="minorHAnsi" w:hAnsiTheme="minorHAnsi" w:cs="TimesNewRoman"/>
                <w:b/>
                <w:szCs w:val="22"/>
                <w:lang w:val="en-US"/>
              </w:rPr>
              <w:t>Number of enterprises receiving grants</w:t>
            </w:r>
          </w:p>
          <w:p w:rsidR="00FC0C14" w:rsidRPr="00FC0C14" w:rsidRDefault="00FC0C14" w:rsidP="00434AB7">
            <w:pPr>
              <w:autoSpaceDE w:val="0"/>
              <w:autoSpaceDN w:val="0"/>
              <w:adjustRightInd w:val="0"/>
              <w:ind w:left="0"/>
              <w:jc w:val="left"/>
              <w:rPr>
                <w:rFonts w:asciiTheme="minorHAnsi" w:eastAsiaTheme="minorHAnsi" w:hAnsiTheme="minorHAnsi" w:cs="TimesNewRoman"/>
                <w:lang w:val="en-US"/>
              </w:rPr>
            </w:pPr>
            <w:r w:rsidRPr="00FC0C14">
              <w:rPr>
                <w:rFonts w:asciiTheme="minorHAnsi" w:eastAsiaTheme="minorHAnsi" w:hAnsiTheme="minorHAnsi" w:cs="TimesNewRoman"/>
                <w:szCs w:val="22"/>
                <w:lang w:val="en-US"/>
              </w:rPr>
              <w:t>Number of enterprises receiving support in forms of non-refundable direct financial support</w:t>
            </w:r>
            <w:r>
              <w:rPr>
                <w:rFonts w:asciiTheme="minorHAnsi" w:eastAsiaTheme="minorHAnsi" w:hAnsiTheme="minorHAnsi" w:cs="TimesNewRoman"/>
                <w:szCs w:val="22"/>
                <w:lang w:val="en-US"/>
              </w:rPr>
              <w:t xml:space="preserve"> </w:t>
            </w:r>
            <w:r w:rsidRPr="00FC0C14">
              <w:rPr>
                <w:rFonts w:asciiTheme="minorHAnsi" w:eastAsiaTheme="minorHAnsi" w:hAnsiTheme="minorHAnsi" w:cs="TimesNewRoman"/>
                <w:szCs w:val="22"/>
                <w:lang w:val="en-US"/>
              </w:rPr>
              <w:t>conditional only to completion of project (grants).</w:t>
            </w:r>
          </w:p>
          <w:p w:rsidR="00FC0C14" w:rsidRPr="00FC0C14" w:rsidRDefault="00FC0C14" w:rsidP="00434AB7">
            <w:pPr>
              <w:ind w:left="0"/>
              <w:jc w:val="left"/>
              <w:rPr>
                <w:rFonts w:asciiTheme="minorHAnsi" w:hAnsiTheme="minorHAnsi" w:cs="Tahoma"/>
                <w:lang w:val="en-US"/>
              </w:rPr>
            </w:pPr>
            <w:r w:rsidRPr="00FC0C14">
              <w:rPr>
                <w:rFonts w:asciiTheme="minorHAnsi" w:eastAsiaTheme="minorHAnsi" w:hAnsiTheme="minorHAnsi"/>
                <w:i/>
                <w:iCs/>
                <w:szCs w:val="22"/>
                <w:lang w:val="en-US"/>
              </w:rPr>
              <w:t xml:space="preserve">Subset of </w:t>
            </w:r>
            <w:r w:rsidR="00692791">
              <w:rPr>
                <w:rFonts w:asciiTheme="minorHAnsi" w:eastAsiaTheme="minorHAnsi" w:hAnsiTheme="minorHAnsi"/>
                <w:i/>
                <w:iCs/>
                <w:szCs w:val="22"/>
                <w:lang w:val="en-US"/>
              </w:rPr>
              <w:t xml:space="preserve">CO01 </w:t>
            </w:r>
            <w:r w:rsidRPr="00FC0C14">
              <w:rPr>
                <w:rFonts w:asciiTheme="minorHAnsi" w:eastAsiaTheme="minorHAnsi" w:hAnsiTheme="minorHAnsi"/>
                <w:i/>
                <w:iCs/>
                <w:szCs w:val="22"/>
                <w:lang w:val="en-US"/>
              </w:rPr>
              <w:t>'Number of enterprises receiving support'</w:t>
            </w:r>
          </w:p>
        </w:tc>
      </w:tr>
      <w:tr w:rsidR="002D38F8" w:rsidRPr="00FC0C14" w:rsidTr="00C868CF">
        <w:trPr>
          <w:trHeight w:val="308"/>
        </w:trPr>
        <w:tc>
          <w:tcPr>
            <w:tcW w:w="98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D38F8" w:rsidRPr="00FC0C14" w:rsidRDefault="002D38F8" w:rsidP="00434AB7">
            <w:pPr>
              <w:ind w:left="0"/>
              <w:jc w:val="left"/>
              <w:rPr>
                <w:rFonts w:asciiTheme="minorHAnsi" w:hAnsiTheme="minorHAnsi" w:cs="Tahoma"/>
                <w:b/>
                <w:bCs/>
              </w:rPr>
            </w:pPr>
            <w:r w:rsidRPr="00FC0C14">
              <w:rPr>
                <w:rFonts w:asciiTheme="minorHAnsi" w:hAnsiTheme="minorHAnsi" w:cs="Tahoma"/>
                <w:b/>
                <w:bCs/>
                <w:szCs w:val="22"/>
              </w:rPr>
              <w:t>CO05</w:t>
            </w:r>
          </w:p>
        </w:tc>
        <w:tc>
          <w:tcPr>
            <w:tcW w:w="705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D38F8" w:rsidRPr="00C868CF" w:rsidRDefault="002D38F8" w:rsidP="00434AB7">
            <w:pPr>
              <w:ind w:left="0"/>
              <w:jc w:val="left"/>
              <w:rPr>
                <w:rFonts w:asciiTheme="minorHAnsi" w:hAnsiTheme="minorHAnsi" w:cs="Tahoma"/>
                <w:b/>
                <w:lang w:val="el-GR"/>
              </w:rPr>
            </w:pPr>
            <w:r w:rsidRPr="00FC0C14">
              <w:rPr>
                <w:rFonts w:asciiTheme="minorHAnsi" w:hAnsiTheme="minorHAnsi" w:cs="Tahoma"/>
                <w:b/>
                <w:szCs w:val="22"/>
                <w:lang w:val="el-GR"/>
              </w:rPr>
              <w:t>Αριθμός νέων επιχειρήσεων που ενισχύονται</w:t>
            </w:r>
          </w:p>
          <w:p w:rsidR="002D38F8" w:rsidRPr="00FC0C14" w:rsidRDefault="002D38F8" w:rsidP="00434AB7">
            <w:pPr>
              <w:ind w:left="0"/>
              <w:jc w:val="left"/>
              <w:rPr>
                <w:rFonts w:asciiTheme="minorHAnsi" w:hAnsiTheme="minorHAnsi" w:cs="Arial"/>
                <w:lang w:val="el-GR"/>
              </w:rPr>
            </w:pPr>
            <w:r w:rsidRPr="00FC0C14">
              <w:rPr>
                <w:rFonts w:asciiTheme="minorHAnsi" w:hAnsiTheme="minorHAnsi" w:cs="Arial"/>
                <w:szCs w:val="22"/>
                <w:lang w:val="el-GR"/>
              </w:rPr>
              <w:t xml:space="preserve">Αριθμός επιχειρήσεων που δημιουργήθηκαν λαμβάνοντας χρηματοδοτική ενίσχυση ή στήριξη (συμβουλευτικές υπηρεσίες, καθοδήγηση κλπ) από το ΕΤΠΑ, ή μονάδων παροχής στήριξης στις επιχειρήσεις που χρηματοδοτήθηκαν από το ΕΤΠΑ. Η επιχείρηση που δημιουργείται δεν υπήρχε τρία χρόνια πριν από την έναρξη του έργου, αλλά η Διαχειριστική Αρχή ή η Εθνική νομοθεσία μπορεί να ορίσει μικρότερο χρονικό όριο. Μία επιχείρηση δεν θεωρείται νέα, εάν αλλάξει μόνο η νομική της μορφή. </w:t>
            </w:r>
          </w:p>
          <w:p w:rsidR="002D38F8" w:rsidRPr="00C868CF" w:rsidRDefault="002D38F8" w:rsidP="00434AB7">
            <w:pPr>
              <w:ind w:left="0"/>
              <w:jc w:val="left"/>
              <w:rPr>
                <w:rFonts w:asciiTheme="minorHAnsi" w:hAnsiTheme="minorHAnsi" w:cs="Arial"/>
                <w:lang w:val="el-GR"/>
              </w:rPr>
            </w:pPr>
            <w:r w:rsidRPr="00FC0C14">
              <w:rPr>
                <w:rFonts w:asciiTheme="minorHAnsi" w:hAnsiTheme="minorHAnsi" w:cs="Arial"/>
                <w:szCs w:val="22"/>
                <w:lang w:val="el-GR"/>
              </w:rPr>
              <w:t xml:space="preserve">Υποσύνολο του Δείκτη </w:t>
            </w:r>
            <w:r w:rsidRPr="00FC0C14">
              <w:rPr>
                <w:rFonts w:asciiTheme="minorHAnsi" w:hAnsiTheme="minorHAnsi" w:cs="Arial"/>
                <w:szCs w:val="22"/>
                <w:lang w:val="en-US"/>
              </w:rPr>
              <w:t>CO</w:t>
            </w:r>
            <w:r w:rsidRPr="00FC0C14">
              <w:rPr>
                <w:rFonts w:asciiTheme="minorHAnsi" w:hAnsiTheme="minorHAnsi" w:cs="Arial"/>
                <w:szCs w:val="22"/>
                <w:lang w:val="el-GR"/>
              </w:rPr>
              <w:t xml:space="preserve">01 «Αριθμός επιχειρήσεων που λαμβάνουν στήριξη». </w:t>
            </w:r>
          </w:p>
          <w:p w:rsidR="00692791" w:rsidRPr="00C868CF" w:rsidRDefault="00692791" w:rsidP="00434AB7">
            <w:pPr>
              <w:ind w:left="0"/>
              <w:jc w:val="left"/>
              <w:rPr>
                <w:rFonts w:asciiTheme="minorHAnsi" w:hAnsiTheme="minorHAnsi" w:cs="Arial"/>
                <w:lang w:val="el-GR"/>
              </w:rPr>
            </w:pPr>
          </w:p>
          <w:p w:rsidR="002D38F8" w:rsidRPr="00FC0C14" w:rsidRDefault="002D38F8" w:rsidP="00434AB7">
            <w:pPr>
              <w:ind w:left="0"/>
              <w:jc w:val="left"/>
              <w:rPr>
                <w:rFonts w:asciiTheme="minorHAnsi" w:hAnsiTheme="minorHAnsi" w:cs="Tahoma"/>
                <w:lang w:val="el-GR"/>
              </w:rPr>
            </w:pPr>
            <w:r w:rsidRPr="00FC0C14">
              <w:rPr>
                <w:rFonts w:asciiTheme="minorHAnsi" w:hAnsiTheme="minorHAnsi" w:cs="Arial"/>
                <w:szCs w:val="22"/>
                <w:lang w:val="el-GR"/>
              </w:rPr>
              <w:t xml:space="preserve">Ο Δείκτης </w:t>
            </w:r>
            <w:r w:rsidRPr="00FC0C14">
              <w:rPr>
                <w:rFonts w:asciiTheme="minorHAnsi" w:hAnsiTheme="minorHAnsi" w:cs="Arial"/>
                <w:szCs w:val="22"/>
                <w:lang w:val="en-US"/>
              </w:rPr>
              <w:t>CO</w:t>
            </w:r>
            <w:r w:rsidRPr="00FC0C14">
              <w:rPr>
                <w:rFonts w:asciiTheme="minorHAnsi" w:hAnsiTheme="minorHAnsi" w:cs="Arial"/>
                <w:szCs w:val="22"/>
                <w:lang w:val="el-GR"/>
              </w:rPr>
              <w:t>05 θα πρέπει να χρησιμοποιείται και στις περιπτώσεις δημιουργίας επιχειρήσεων και μέτρων καινοτομίας, εάν ο στόχος είναι να δημιουργηθούν ή να υποστηριχθούν νέες επιχειρήσεις (π.χ. επιχειρήσεις έντασης γνώσης, τεχνολογικών νεοφυών επιχειρήσεων).</w:t>
            </w:r>
          </w:p>
        </w:tc>
        <w:tc>
          <w:tcPr>
            <w:tcW w:w="6096" w:type="dxa"/>
            <w:tcBorders>
              <w:top w:val="single" w:sz="4" w:space="0" w:color="auto"/>
              <w:left w:val="nil"/>
              <w:bottom w:val="single" w:sz="4" w:space="0" w:color="auto"/>
              <w:right w:val="single" w:sz="8" w:space="0" w:color="auto"/>
            </w:tcBorders>
          </w:tcPr>
          <w:p w:rsidR="004B0887" w:rsidRPr="00FC0C14" w:rsidRDefault="004B0887" w:rsidP="00434AB7">
            <w:pPr>
              <w:ind w:left="0"/>
              <w:jc w:val="left"/>
              <w:rPr>
                <w:rFonts w:asciiTheme="minorHAnsi" w:hAnsiTheme="minorHAnsi"/>
                <w:b/>
              </w:rPr>
            </w:pPr>
            <w:r w:rsidRPr="00FC0C14">
              <w:rPr>
                <w:rFonts w:asciiTheme="minorHAnsi" w:hAnsiTheme="minorHAnsi"/>
                <w:b/>
                <w:szCs w:val="22"/>
              </w:rPr>
              <w:t xml:space="preserve">Number of New Enterprises Supported </w:t>
            </w:r>
          </w:p>
          <w:p w:rsidR="004B0887" w:rsidRPr="00FC0C14" w:rsidRDefault="004B0887" w:rsidP="00434AB7">
            <w:pPr>
              <w:ind w:left="0"/>
              <w:jc w:val="left"/>
              <w:rPr>
                <w:rFonts w:asciiTheme="minorHAnsi" w:hAnsiTheme="minorHAnsi"/>
              </w:rPr>
            </w:pPr>
            <w:r w:rsidRPr="00FC0C14">
              <w:rPr>
                <w:rFonts w:asciiTheme="minorHAnsi" w:hAnsiTheme="minorHAnsi"/>
                <w:szCs w:val="22"/>
              </w:rPr>
              <w:t xml:space="preserve">Number of enterprises created receiving financial aid or support (consultancy, guidance, etc.) from ERDF or ERDF financed facility. The created enterprise did not exist three years before the project started but the Managing Authority or national legislation may set a lower the time criterion. An enterprise will not become new if only its legal form changes. This indicator should be used for both enterprise development and innovation measures if the goal is to create or support new enterprises (e.g. spin-offs, technology start-ups). </w:t>
            </w:r>
          </w:p>
          <w:p w:rsidR="002D38F8" w:rsidRDefault="004B0887" w:rsidP="00434AB7">
            <w:pPr>
              <w:ind w:left="0"/>
              <w:jc w:val="left"/>
              <w:rPr>
                <w:rFonts w:asciiTheme="minorHAnsi" w:hAnsiTheme="minorHAnsi"/>
              </w:rPr>
            </w:pPr>
            <w:r w:rsidRPr="00FC0C14">
              <w:rPr>
                <w:rFonts w:asciiTheme="minorHAnsi" w:hAnsiTheme="minorHAnsi"/>
                <w:szCs w:val="22"/>
              </w:rPr>
              <w:t xml:space="preserve">The indicator is a subset of </w:t>
            </w:r>
            <w:r w:rsidR="00692791">
              <w:rPr>
                <w:rFonts w:asciiTheme="minorHAnsi" w:hAnsiTheme="minorHAnsi"/>
                <w:szCs w:val="22"/>
              </w:rPr>
              <w:t xml:space="preserve">CO01 </w:t>
            </w:r>
            <w:r w:rsidRPr="00FC0C14">
              <w:rPr>
                <w:rFonts w:asciiTheme="minorHAnsi" w:hAnsiTheme="minorHAnsi"/>
                <w:szCs w:val="22"/>
              </w:rPr>
              <w:t xml:space="preserve">'Number of enterprises receiving support' </w:t>
            </w:r>
          </w:p>
          <w:p w:rsidR="004B0887" w:rsidRPr="00FC0C14" w:rsidRDefault="00692791" w:rsidP="00434AB7">
            <w:pPr>
              <w:ind w:left="0"/>
              <w:jc w:val="left"/>
              <w:rPr>
                <w:rFonts w:asciiTheme="minorHAnsi" w:hAnsiTheme="minorHAnsi" w:cs="Tahoma"/>
                <w:lang w:val="en-US"/>
              </w:rPr>
            </w:pPr>
            <w:r>
              <w:rPr>
                <w:rFonts w:asciiTheme="minorHAnsi" w:hAnsiTheme="minorHAnsi"/>
                <w:szCs w:val="22"/>
              </w:rPr>
              <w:t xml:space="preserve">CO5 should also be used </w:t>
            </w:r>
            <w:r w:rsidR="00434AB7">
              <w:rPr>
                <w:rFonts w:asciiTheme="minorHAnsi" w:hAnsiTheme="minorHAnsi"/>
                <w:szCs w:val="22"/>
              </w:rPr>
              <w:t>for</w:t>
            </w:r>
            <w:r>
              <w:rPr>
                <w:rFonts w:asciiTheme="minorHAnsi" w:hAnsiTheme="minorHAnsi"/>
                <w:szCs w:val="22"/>
              </w:rPr>
              <w:t xml:space="preserve"> innovative enterprises for their start-up or support of new</w:t>
            </w:r>
            <w:r w:rsidR="00434AB7">
              <w:rPr>
                <w:rFonts w:asciiTheme="minorHAnsi" w:hAnsiTheme="minorHAnsi"/>
                <w:szCs w:val="22"/>
              </w:rPr>
              <w:t xml:space="preserve">  innovative </w:t>
            </w:r>
            <w:r>
              <w:rPr>
                <w:rFonts w:asciiTheme="minorHAnsi" w:hAnsiTheme="minorHAnsi"/>
                <w:szCs w:val="22"/>
              </w:rPr>
              <w:t xml:space="preserve">enterprises (Knowledge-intensive businesses, technology start-ups etc) </w:t>
            </w:r>
          </w:p>
        </w:tc>
      </w:tr>
      <w:tr w:rsidR="002D38F8" w:rsidRPr="00692791" w:rsidTr="00C868CF">
        <w:trPr>
          <w:trHeight w:val="1128"/>
        </w:trPr>
        <w:tc>
          <w:tcPr>
            <w:tcW w:w="9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D38F8" w:rsidRPr="00FC0C14" w:rsidRDefault="002D38F8" w:rsidP="00434AB7">
            <w:pPr>
              <w:ind w:left="0"/>
              <w:jc w:val="left"/>
              <w:rPr>
                <w:rFonts w:asciiTheme="minorHAnsi" w:eastAsiaTheme="minorHAnsi" w:hAnsiTheme="minorHAnsi" w:cs="Tahoma"/>
                <w:b/>
                <w:bCs/>
              </w:rPr>
            </w:pPr>
            <w:r w:rsidRPr="00FC0C14">
              <w:rPr>
                <w:rFonts w:asciiTheme="minorHAnsi" w:hAnsiTheme="minorHAnsi" w:cs="Tahoma"/>
                <w:b/>
                <w:bCs/>
                <w:szCs w:val="22"/>
              </w:rPr>
              <w:lastRenderedPageBreak/>
              <w:t>CO24</w:t>
            </w:r>
          </w:p>
        </w:tc>
        <w:tc>
          <w:tcPr>
            <w:tcW w:w="7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8F8" w:rsidRPr="00C147B4" w:rsidRDefault="002D38F8" w:rsidP="00434AB7">
            <w:pPr>
              <w:ind w:left="0"/>
              <w:jc w:val="left"/>
              <w:rPr>
                <w:rFonts w:asciiTheme="minorHAnsi" w:hAnsiTheme="minorHAnsi" w:cs="Tahoma"/>
                <w:b/>
                <w:lang w:val="el-GR"/>
              </w:rPr>
            </w:pPr>
            <w:r w:rsidRPr="00FC0C14">
              <w:rPr>
                <w:rFonts w:asciiTheme="minorHAnsi" w:hAnsiTheme="minorHAnsi" w:cs="Tahoma"/>
                <w:b/>
                <w:szCs w:val="22"/>
                <w:lang w:val="el-GR"/>
              </w:rPr>
              <w:t>Αριθμός νέων ερευνητών σε οντότητες που ενισχύονται</w:t>
            </w:r>
            <w:r w:rsidR="00C147B4" w:rsidRPr="00C147B4">
              <w:rPr>
                <w:rFonts w:asciiTheme="minorHAnsi" w:hAnsiTheme="minorHAnsi" w:cs="Tahoma"/>
                <w:b/>
                <w:szCs w:val="22"/>
                <w:lang w:val="el-GR"/>
              </w:rPr>
              <w:t xml:space="preserve"> </w:t>
            </w:r>
            <w:r w:rsidR="00C147B4">
              <w:rPr>
                <w:rFonts w:asciiTheme="minorHAnsi" w:hAnsiTheme="minorHAnsi" w:cs="Tahoma"/>
                <w:b/>
                <w:szCs w:val="22"/>
                <w:lang w:val="el-GR"/>
              </w:rPr>
              <w:br/>
            </w:r>
            <w:r w:rsidR="00C147B4" w:rsidRPr="00C147B4">
              <w:rPr>
                <w:rFonts w:asciiTheme="minorHAnsi" w:hAnsiTheme="minorHAnsi" w:cs="Tahoma"/>
                <w:b/>
                <w:szCs w:val="22"/>
                <w:lang w:val="el-GR"/>
              </w:rPr>
              <w:t>(</w:t>
            </w:r>
            <w:r w:rsidR="00C147B4">
              <w:rPr>
                <w:rFonts w:asciiTheme="minorHAnsi" w:hAnsiTheme="minorHAnsi" w:cs="Tahoma"/>
                <w:b/>
                <w:szCs w:val="22"/>
                <w:lang w:val="el-GR"/>
              </w:rPr>
              <w:t>σε Ισοδύναμα Πλήρους Απασχόλησης)</w:t>
            </w:r>
          </w:p>
          <w:p w:rsidR="002D38F8" w:rsidRPr="00FC0C14" w:rsidRDefault="002D38F8" w:rsidP="00434AB7">
            <w:pPr>
              <w:ind w:left="0"/>
              <w:jc w:val="left"/>
              <w:rPr>
                <w:rFonts w:asciiTheme="minorHAnsi" w:hAnsiTheme="minorHAnsi" w:cs="Arial"/>
                <w:lang w:val="el-GR"/>
              </w:rPr>
            </w:pPr>
            <w:r w:rsidRPr="00FC0C14">
              <w:rPr>
                <w:rFonts w:asciiTheme="minorHAnsi" w:hAnsiTheme="minorHAnsi" w:cs="Arial"/>
                <w:szCs w:val="22"/>
                <w:lang w:val="el-GR"/>
              </w:rPr>
              <w:t xml:space="preserve">Μεικτές νέες θέσεις εργασίας (που δεν προϋπήρχαν) για την άμεση ενασχόληση με δραστηριότητες Ε&amp;Α, σε ισοδύναμα πλήρους απασχόλησης. Κάθε θέση εργασίας θα πρέπει να αποτελεί συνέπεια της υλοποίησης ή ολοκλήρωσης των έργων, θα πρέπει να καλυφθεί (υφιστάμενες κενές θέσεις εργασίας δεν προσμετρούνται) και θα πρέπει να αυξάνει το συνολικό αριθμό των ερευνητικών θέσεων εργασίας στον οργανισμό. Προσωπικό υποστήριξης για Ε&amp;Α (δηλ. θέσεις εργασίας που δεν σχετίζονται άμεσα με δραστηριότητες Ε&amp;Α) δεν συνυπολογίζεται. Ο δείκτης εστιάζει στο απασχολούμενο προσωπικό, ενώ η υποστηριζόμενη οντότητα μπορεί να είναι νέα ή υφιστάμενη. </w:t>
            </w:r>
          </w:p>
          <w:p w:rsidR="002D38F8" w:rsidRPr="00FC0C14" w:rsidRDefault="002D38F8" w:rsidP="00434AB7">
            <w:pPr>
              <w:ind w:left="0"/>
              <w:jc w:val="left"/>
              <w:rPr>
                <w:rFonts w:asciiTheme="minorHAnsi" w:hAnsiTheme="minorHAnsi" w:cs="Arial"/>
                <w:lang w:val="el-GR"/>
              </w:rPr>
            </w:pPr>
            <w:r w:rsidRPr="00FC0C14">
              <w:rPr>
                <w:rFonts w:asciiTheme="minorHAnsi" w:hAnsiTheme="minorHAnsi" w:cs="Arial"/>
                <w:szCs w:val="22"/>
                <w:u w:val="single"/>
                <w:lang w:val="el-GR"/>
              </w:rPr>
              <w:t>Μεικτές θέσεις εργασίας</w:t>
            </w:r>
            <w:r w:rsidRPr="00FC0C14">
              <w:rPr>
                <w:rFonts w:asciiTheme="minorHAnsi" w:hAnsiTheme="minorHAnsi" w:cs="Arial"/>
                <w:szCs w:val="22"/>
                <w:lang w:val="el-GR"/>
              </w:rPr>
              <w:t>: Μεικτές θεωρούνται όλες οι θέσεις εργασίας που δημιουργούνται ανεξαρτήτως του αν ο εργαζόμενος προέρχεται από το εσωτερικό της οργανισμού (π.χ. εσωτερική μετακίνηση) ή έξω από τον οργανισμό, αρκεί να συνεισφέρει άμεσα στην αύξηση των συνολικών ερευνητικών θέσεων εργασίας. Στην περίπτωση εσωτερικής μετακίνησης απαραίτητη προϋπόθεση για να θεωρηθεί η θέση που καλύφθηκε με τη μετακίνηση ως νέα θέση εργασία, είναι να καλυφθεί και εκείνη η θέση από όπου μετακινήθηκε ο εργαζόμενος.</w:t>
            </w:r>
          </w:p>
          <w:p w:rsidR="002D38F8" w:rsidRPr="00FC0C14" w:rsidRDefault="002D38F8" w:rsidP="00434AB7">
            <w:pPr>
              <w:ind w:left="0"/>
              <w:jc w:val="left"/>
              <w:rPr>
                <w:rFonts w:asciiTheme="minorHAnsi" w:eastAsiaTheme="minorHAnsi" w:hAnsiTheme="minorHAnsi" w:cs="Tahoma"/>
                <w:lang w:val="el-GR"/>
              </w:rPr>
            </w:pPr>
            <w:r w:rsidRPr="00FC0C14">
              <w:rPr>
                <w:rFonts w:asciiTheme="minorHAnsi" w:hAnsiTheme="minorHAnsi" w:cs="Arial"/>
                <w:szCs w:val="22"/>
                <w:u w:val="single"/>
                <w:lang w:val="el-GR"/>
              </w:rPr>
              <w:t>Ισοδύναμα πλήρους απασχόλησης</w:t>
            </w:r>
            <w:r w:rsidRPr="00FC0C14">
              <w:rPr>
                <w:rFonts w:asciiTheme="minorHAnsi" w:hAnsiTheme="minorHAnsi" w:cs="Arial"/>
                <w:szCs w:val="22"/>
                <w:lang w:val="el-GR"/>
              </w:rPr>
              <w:t>: η εργασία μπορεί να είναι πλήρης ή μερικής απασχόλησης ή εποχική. Οι εποχικές και οι μερικής απασχόλησης θέσεις εργασίας θα πρέπει να μετατρέπονται σε ισοδύναμα πλήρους απασχόλησης χρησιμοποιώντας πρότυπα της Διεθνούς Οργάνωσης Εργασίας ή στατιστικά ή άλλα πρότυπα. Στο πεδίο της Ε&amp;Α η διάρκεια της εργασίας τείνει να είναι μικρότερη (“διάρκεια σχεδίου”). Οι θέσεις εργασίας που δημιουργούνται για διαφορετικά έργα θα πρέπει να προστίθενται (υπό την προϋπόθεση ότι όλα τα έργα λαμβάνουν στήριξη), και αυτό δεν θεωρείται ότι αποτελεί πολλαπλό υπολογισμό.</w:t>
            </w:r>
          </w:p>
        </w:tc>
        <w:tc>
          <w:tcPr>
            <w:tcW w:w="6096" w:type="dxa"/>
            <w:tcBorders>
              <w:top w:val="single" w:sz="4" w:space="0" w:color="auto"/>
              <w:left w:val="single" w:sz="4" w:space="0" w:color="auto"/>
              <w:bottom w:val="single" w:sz="4" w:space="0" w:color="auto"/>
              <w:right w:val="single" w:sz="4" w:space="0" w:color="auto"/>
            </w:tcBorders>
          </w:tcPr>
          <w:p w:rsidR="002D38F8" w:rsidRDefault="00692791" w:rsidP="00434AB7">
            <w:pPr>
              <w:ind w:left="0"/>
              <w:jc w:val="left"/>
              <w:rPr>
                <w:rFonts w:asciiTheme="minorHAnsi" w:hAnsiTheme="minorHAnsi" w:cs="Tahoma"/>
                <w:b/>
                <w:lang w:val="en-US"/>
              </w:rPr>
            </w:pPr>
            <w:r w:rsidRPr="00692791">
              <w:rPr>
                <w:rFonts w:asciiTheme="minorHAnsi" w:hAnsiTheme="minorHAnsi" w:cs="Tahoma"/>
                <w:b/>
                <w:szCs w:val="22"/>
                <w:lang w:val="en-US"/>
              </w:rPr>
              <w:t>Number of new researchers in</w:t>
            </w:r>
            <w:r>
              <w:rPr>
                <w:rFonts w:asciiTheme="minorHAnsi" w:hAnsiTheme="minorHAnsi" w:cs="Tahoma"/>
                <w:b/>
                <w:szCs w:val="22"/>
                <w:lang w:val="en-US"/>
              </w:rPr>
              <w:t xml:space="preserve"> </w:t>
            </w:r>
            <w:r w:rsidRPr="00692791">
              <w:rPr>
                <w:rFonts w:asciiTheme="minorHAnsi" w:hAnsiTheme="minorHAnsi" w:cs="Tahoma"/>
                <w:b/>
                <w:szCs w:val="22"/>
                <w:lang w:val="en-US"/>
              </w:rPr>
              <w:t>supported entities</w:t>
            </w:r>
            <w:r>
              <w:rPr>
                <w:rFonts w:asciiTheme="minorHAnsi" w:hAnsiTheme="minorHAnsi" w:cs="Tahoma"/>
                <w:b/>
                <w:szCs w:val="22"/>
                <w:lang w:val="en-US"/>
              </w:rPr>
              <w:t xml:space="preserve"> (in Full Time Equivalent – FTE)</w:t>
            </w:r>
          </w:p>
          <w:p w:rsidR="00692791" w:rsidRDefault="00692791" w:rsidP="00434AB7">
            <w:pPr>
              <w:ind w:left="0"/>
              <w:jc w:val="left"/>
              <w:rPr>
                <w:rFonts w:asciiTheme="minorHAnsi" w:hAnsiTheme="minorHAnsi" w:cs="Tahoma"/>
                <w:lang w:val="en-US"/>
              </w:rPr>
            </w:pPr>
            <w:r w:rsidRPr="00692791">
              <w:rPr>
                <w:rFonts w:asciiTheme="minorHAnsi" w:hAnsiTheme="minorHAnsi" w:cs="Tahoma"/>
                <w:szCs w:val="22"/>
                <w:lang w:val="en-US"/>
              </w:rPr>
              <w:t>Gross new working positions (that did not exist before) to directly perform R&amp;D activities, in</w:t>
            </w:r>
            <w:r>
              <w:rPr>
                <w:rFonts w:asciiTheme="minorHAnsi" w:hAnsiTheme="minorHAnsi" w:cs="Tahoma"/>
                <w:szCs w:val="22"/>
                <w:lang w:val="en-US"/>
              </w:rPr>
              <w:t xml:space="preserve"> </w:t>
            </w:r>
            <w:r w:rsidRPr="00692791">
              <w:rPr>
                <w:rFonts w:asciiTheme="minorHAnsi" w:hAnsiTheme="minorHAnsi" w:cs="Tahoma"/>
                <w:szCs w:val="22"/>
                <w:lang w:val="en-US"/>
              </w:rPr>
              <w:t>full time equivalents. The post must be a consequence of project implementation or</w:t>
            </w:r>
            <w:r>
              <w:rPr>
                <w:rFonts w:asciiTheme="minorHAnsi" w:hAnsiTheme="minorHAnsi" w:cs="Tahoma"/>
                <w:szCs w:val="22"/>
                <w:lang w:val="en-US"/>
              </w:rPr>
              <w:t xml:space="preserve"> </w:t>
            </w:r>
            <w:r w:rsidRPr="00692791">
              <w:rPr>
                <w:rFonts w:asciiTheme="minorHAnsi" w:hAnsiTheme="minorHAnsi" w:cs="Tahoma"/>
                <w:szCs w:val="22"/>
                <w:lang w:val="en-US"/>
              </w:rPr>
              <w:t>completion, be filled (vacant posts are not counted) and increase the total number of research</w:t>
            </w:r>
            <w:r>
              <w:rPr>
                <w:rFonts w:asciiTheme="minorHAnsi" w:hAnsiTheme="minorHAnsi" w:cs="Tahoma"/>
                <w:szCs w:val="22"/>
                <w:lang w:val="en-US"/>
              </w:rPr>
              <w:t xml:space="preserve"> </w:t>
            </w:r>
            <w:r w:rsidRPr="00692791">
              <w:rPr>
                <w:rFonts w:asciiTheme="minorHAnsi" w:hAnsiTheme="minorHAnsi" w:cs="Tahoma"/>
                <w:szCs w:val="22"/>
                <w:lang w:val="en-US"/>
              </w:rPr>
              <w:t>jobs in the organisation. Support staff for R&amp;D (i.e. jobs not directly involved in R&amp;D</w:t>
            </w:r>
            <w:r>
              <w:rPr>
                <w:rFonts w:asciiTheme="minorHAnsi" w:hAnsiTheme="minorHAnsi" w:cs="Tahoma"/>
                <w:szCs w:val="22"/>
                <w:lang w:val="en-US"/>
              </w:rPr>
              <w:t xml:space="preserve"> </w:t>
            </w:r>
            <w:r w:rsidRPr="00692791">
              <w:rPr>
                <w:rFonts w:asciiTheme="minorHAnsi" w:hAnsiTheme="minorHAnsi" w:cs="Tahoma"/>
                <w:szCs w:val="22"/>
                <w:lang w:val="en-US"/>
              </w:rPr>
              <w:t>activities) is not counted. The indicator focuses on employed personnel; the supported entity</w:t>
            </w:r>
            <w:r>
              <w:rPr>
                <w:rFonts w:asciiTheme="minorHAnsi" w:hAnsiTheme="minorHAnsi" w:cs="Tahoma"/>
                <w:szCs w:val="22"/>
                <w:lang w:val="en-US"/>
              </w:rPr>
              <w:t xml:space="preserve"> </w:t>
            </w:r>
            <w:r w:rsidRPr="00692791">
              <w:rPr>
                <w:rFonts w:asciiTheme="minorHAnsi" w:hAnsiTheme="minorHAnsi" w:cs="Tahoma"/>
                <w:szCs w:val="22"/>
                <w:lang w:val="en-US"/>
              </w:rPr>
              <w:t>may be new or already existing.</w:t>
            </w:r>
            <w:r>
              <w:rPr>
                <w:rFonts w:asciiTheme="minorHAnsi" w:hAnsiTheme="minorHAnsi" w:cs="Tahoma"/>
                <w:szCs w:val="22"/>
                <w:lang w:val="en-US"/>
              </w:rPr>
              <w:br/>
            </w:r>
          </w:p>
          <w:p w:rsidR="00141AC5" w:rsidRPr="00141AC5" w:rsidRDefault="00692791" w:rsidP="00434AB7">
            <w:pPr>
              <w:ind w:left="0"/>
              <w:jc w:val="left"/>
              <w:rPr>
                <w:rFonts w:ascii="inherit" w:hAnsi="inherit"/>
                <w:color w:val="212121"/>
                <w:lang w:val="en-US"/>
              </w:rPr>
            </w:pPr>
            <w:r>
              <w:rPr>
                <w:rFonts w:asciiTheme="minorHAnsi" w:hAnsiTheme="minorHAnsi" w:cs="Tahoma"/>
                <w:szCs w:val="22"/>
                <w:u w:val="single"/>
                <w:lang w:val="en-US"/>
              </w:rPr>
              <w:br/>
            </w:r>
            <w:r w:rsidRPr="00692791">
              <w:rPr>
                <w:rFonts w:asciiTheme="minorHAnsi" w:hAnsiTheme="minorHAnsi" w:cs="Tahoma"/>
                <w:szCs w:val="22"/>
                <w:u w:val="single"/>
                <w:lang w:val="en-US"/>
              </w:rPr>
              <w:t>Gross:</w:t>
            </w:r>
            <w:r w:rsidRPr="00692791">
              <w:rPr>
                <w:rFonts w:asciiTheme="minorHAnsi" w:hAnsiTheme="minorHAnsi" w:cs="Tahoma"/>
                <w:szCs w:val="22"/>
                <w:lang w:val="en-US"/>
              </w:rPr>
              <w:t xml:space="preserve"> Not counting the origin of the jobholder as long as it directly contributes to the</w:t>
            </w:r>
            <w:r>
              <w:rPr>
                <w:rFonts w:asciiTheme="minorHAnsi" w:hAnsiTheme="minorHAnsi" w:cs="Tahoma"/>
                <w:szCs w:val="22"/>
                <w:lang w:val="en-US"/>
              </w:rPr>
              <w:t xml:space="preserve"> </w:t>
            </w:r>
            <w:r w:rsidRPr="00692791">
              <w:rPr>
                <w:rFonts w:asciiTheme="minorHAnsi" w:hAnsiTheme="minorHAnsi" w:cs="Tahoma"/>
                <w:szCs w:val="22"/>
                <w:lang w:val="en-US"/>
              </w:rPr>
              <w:t>increase of total research jobs in the organisation.</w:t>
            </w:r>
            <w:r w:rsidR="00141AC5">
              <w:rPr>
                <w:rFonts w:asciiTheme="minorHAnsi" w:hAnsiTheme="minorHAnsi" w:cs="Tahoma"/>
                <w:szCs w:val="22"/>
                <w:lang w:val="en-US"/>
              </w:rPr>
              <w:t xml:space="preserve"> </w:t>
            </w:r>
            <w:r w:rsidR="00141AC5" w:rsidRPr="00141AC5">
              <w:rPr>
                <w:rFonts w:asciiTheme="minorHAnsi" w:hAnsiTheme="minorHAnsi" w:cs="Tahoma"/>
                <w:szCs w:val="22"/>
                <w:lang w:val="en-US"/>
              </w:rPr>
              <w:t xml:space="preserve">In case of internal </w:t>
            </w:r>
            <w:r w:rsidR="00141AC5">
              <w:rPr>
                <w:rFonts w:asciiTheme="minorHAnsi" w:hAnsiTheme="minorHAnsi" w:cs="Tahoma"/>
                <w:szCs w:val="22"/>
                <w:lang w:val="en-US"/>
              </w:rPr>
              <w:t>movement,</w:t>
            </w:r>
            <w:r w:rsidR="00141AC5" w:rsidRPr="00141AC5">
              <w:rPr>
                <w:rFonts w:asciiTheme="minorHAnsi" w:hAnsiTheme="minorHAnsi" w:cs="Tahoma"/>
                <w:szCs w:val="22"/>
                <w:lang w:val="en-US"/>
              </w:rPr>
              <w:t xml:space="preserve"> prerequisite for considering </w:t>
            </w:r>
            <w:r w:rsidR="00141AC5">
              <w:rPr>
                <w:rFonts w:asciiTheme="minorHAnsi" w:hAnsiTheme="minorHAnsi" w:cs="Tahoma"/>
                <w:szCs w:val="22"/>
                <w:lang w:val="en-US"/>
              </w:rPr>
              <w:t>as counting towards the inde</w:t>
            </w:r>
            <w:r w:rsidR="00596EC0">
              <w:rPr>
                <w:rFonts w:asciiTheme="minorHAnsi" w:hAnsiTheme="minorHAnsi" w:cs="Tahoma"/>
                <w:szCs w:val="22"/>
                <w:lang w:val="en-US"/>
              </w:rPr>
              <w:t>x</w:t>
            </w:r>
            <w:r w:rsidR="00141AC5">
              <w:rPr>
                <w:rFonts w:asciiTheme="minorHAnsi" w:hAnsiTheme="minorHAnsi" w:cs="Tahoma"/>
                <w:szCs w:val="22"/>
                <w:lang w:val="en-US"/>
              </w:rPr>
              <w:t xml:space="preserve">, is the original position is also </w:t>
            </w:r>
            <w:r w:rsidR="00141AC5" w:rsidRPr="00141AC5">
              <w:rPr>
                <w:rFonts w:asciiTheme="minorHAnsi" w:hAnsiTheme="minorHAnsi" w:cs="Tahoma"/>
                <w:szCs w:val="22"/>
                <w:lang w:val="en-US"/>
              </w:rPr>
              <w:t xml:space="preserve">covered </w:t>
            </w:r>
            <w:r w:rsidR="00141AC5">
              <w:rPr>
                <w:rFonts w:asciiTheme="minorHAnsi" w:hAnsiTheme="minorHAnsi" w:cs="Tahoma"/>
                <w:szCs w:val="22"/>
                <w:lang w:val="en-US"/>
              </w:rPr>
              <w:t xml:space="preserve">by another </w:t>
            </w:r>
            <w:r w:rsidR="00596EC0">
              <w:rPr>
                <w:rFonts w:asciiTheme="minorHAnsi" w:hAnsiTheme="minorHAnsi" w:cs="Tahoma"/>
                <w:szCs w:val="22"/>
                <w:lang w:val="en-US"/>
              </w:rPr>
              <w:t>employee</w:t>
            </w:r>
            <w:r w:rsidR="00141AC5" w:rsidRPr="00141AC5">
              <w:rPr>
                <w:rFonts w:asciiTheme="minorHAnsi" w:hAnsiTheme="minorHAnsi" w:cs="Tahoma"/>
                <w:szCs w:val="22"/>
                <w:lang w:val="en-US"/>
              </w:rPr>
              <w:t>.</w:t>
            </w:r>
          </w:p>
          <w:p w:rsidR="00692791" w:rsidRDefault="00692791" w:rsidP="00434AB7">
            <w:pPr>
              <w:ind w:left="0"/>
              <w:jc w:val="left"/>
              <w:rPr>
                <w:rFonts w:asciiTheme="minorHAnsi" w:hAnsiTheme="minorHAnsi" w:cs="Tahoma"/>
                <w:lang w:val="en-US"/>
              </w:rPr>
            </w:pPr>
          </w:p>
          <w:p w:rsidR="00692791" w:rsidRPr="00692791" w:rsidRDefault="00141AC5" w:rsidP="00434AB7">
            <w:pPr>
              <w:ind w:left="0"/>
              <w:jc w:val="left"/>
              <w:rPr>
                <w:rFonts w:asciiTheme="minorHAnsi" w:hAnsiTheme="minorHAnsi" w:cs="Tahoma"/>
                <w:lang w:val="en-US"/>
              </w:rPr>
            </w:pPr>
            <w:r>
              <w:rPr>
                <w:rFonts w:asciiTheme="minorHAnsi" w:hAnsiTheme="minorHAnsi" w:cs="Tahoma"/>
                <w:szCs w:val="22"/>
                <w:u w:val="single"/>
                <w:lang w:val="en-US"/>
              </w:rPr>
              <w:br/>
            </w:r>
            <w:r w:rsidR="00692791" w:rsidRPr="00692791">
              <w:rPr>
                <w:rFonts w:asciiTheme="minorHAnsi" w:hAnsiTheme="minorHAnsi" w:cs="Tahoma"/>
                <w:szCs w:val="22"/>
                <w:u w:val="single"/>
                <w:lang w:val="en-US"/>
              </w:rPr>
              <w:t>Full-time equivalent</w:t>
            </w:r>
            <w:r w:rsidR="00692791" w:rsidRPr="00692791">
              <w:rPr>
                <w:rFonts w:asciiTheme="minorHAnsi" w:hAnsiTheme="minorHAnsi" w:cs="Tahoma"/>
                <w:szCs w:val="22"/>
                <w:lang w:val="en-US"/>
              </w:rPr>
              <w:t>: Jobs can be full time, part time or seasonal. Seasonal and part time jobs</w:t>
            </w:r>
            <w:r w:rsidR="00692791">
              <w:rPr>
                <w:rFonts w:asciiTheme="minorHAnsi" w:hAnsiTheme="minorHAnsi" w:cs="Tahoma"/>
                <w:szCs w:val="22"/>
                <w:lang w:val="en-US"/>
              </w:rPr>
              <w:t xml:space="preserve"> </w:t>
            </w:r>
            <w:r w:rsidR="00692791" w:rsidRPr="00692791">
              <w:rPr>
                <w:rFonts w:asciiTheme="minorHAnsi" w:hAnsiTheme="minorHAnsi" w:cs="Tahoma"/>
                <w:szCs w:val="22"/>
                <w:lang w:val="en-US"/>
              </w:rPr>
              <w:t>are to be converted to FTE using ILO/statistical/other standards. In the field of RTD the</w:t>
            </w:r>
            <w:r w:rsidR="00692791">
              <w:rPr>
                <w:rFonts w:asciiTheme="minorHAnsi" w:hAnsiTheme="minorHAnsi" w:cs="Tahoma"/>
                <w:szCs w:val="22"/>
                <w:lang w:val="en-US"/>
              </w:rPr>
              <w:t xml:space="preserve"> </w:t>
            </w:r>
            <w:r w:rsidR="00692791" w:rsidRPr="00692791">
              <w:rPr>
                <w:rFonts w:asciiTheme="minorHAnsi" w:hAnsiTheme="minorHAnsi" w:cs="Tahoma"/>
                <w:szCs w:val="22"/>
                <w:lang w:val="en-US"/>
              </w:rPr>
              <w:t xml:space="preserve">duration of jobs tends to be shorter (“project support”). </w:t>
            </w:r>
            <w:r w:rsidR="00572834" w:rsidRPr="00C868CF">
              <w:rPr>
                <w:rFonts w:asciiTheme="minorHAnsi" w:hAnsiTheme="minorHAnsi" w:cs="Tahoma"/>
                <w:szCs w:val="22"/>
                <w:lang w:val="en-US"/>
              </w:rPr>
              <w:br/>
            </w:r>
            <w:r w:rsidR="00572834" w:rsidRPr="00C868CF">
              <w:rPr>
                <w:rFonts w:asciiTheme="minorHAnsi" w:hAnsiTheme="minorHAnsi" w:cs="Tahoma"/>
                <w:szCs w:val="22"/>
                <w:lang w:val="en-US"/>
              </w:rPr>
              <w:br/>
            </w:r>
            <w:r w:rsidR="00692791" w:rsidRPr="00692791">
              <w:rPr>
                <w:rFonts w:asciiTheme="minorHAnsi" w:hAnsiTheme="minorHAnsi" w:cs="Tahoma"/>
                <w:szCs w:val="22"/>
                <w:lang w:val="en-US"/>
              </w:rPr>
              <w:t>The jobs created for different projects</w:t>
            </w:r>
            <w:r w:rsidR="00692791">
              <w:rPr>
                <w:rFonts w:asciiTheme="minorHAnsi" w:hAnsiTheme="minorHAnsi" w:cs="Tahoma"/>
                <w:szCs w:val="22"/>
                <w:lang w:val="en-US"/>
              </w:rPr>
              <w:t xml:space="preserve"> </w:t>
            </w:r>
            <w:r w:rsidR="00692791" w:rsidRPr="00692791">
              <w:rPr>
                <w:rFonts w:asciiTheme="minorHAnsi" w:hAnsiTheme="minorHAnsi" w:cs="Tahoma"/>
                <w:szCs w:val="22"/>
                <w:lang w:val="en-US"/>
              </w:rPr>
              <w:t>should be added up (provided that all projects receive support); this is not regarded as</w:t>
            </w:r>
            <w:r w:rsidR="00692791">
              <w:rPr>
                <w:rFonts w:asciiTheme="minorHAnsi" w:hAnsiTheme="minorHAnsi" w:cs="Tahoma"/>
                <w:szCs w:val="22"/>
                <w:lang w:val="en-US"/>
              </w:rPr>
              <w:t xml:space="preserve"> </w:t>
            </w:r>
            <w:r w:rsidR="00692791" w:rsidRPr="00692791">
              <w:rPr>
                <w:rFonts w:asciiTheme="minorHAnsi" w:hAnsiTheme="minorHAnsi" w:cs="Tahoma"/>
                <w:szCs w:val="22"/>
                <w:lang w:val="en-US"/>
              </w:rPr>
              <w:t>multiple counting.</w:t>
            </w:r>
          </w:p>
          <w:p w:rsidR="00692791" w:rsidRPr="00692791" w:rsidRDefault="00692791" w:rsidP="00434AB7">
            <w:pPr>
              <w:ind w:left="0"/>
              <w:jc w:val="left"/>
              <w:rPr>
                <w:rFonts w:asciiTheme="minorHAnsi" w:hAnsiTheme="minorHAnsi" w:cs="Tahoma"/>
                <w:lang w:val="en-US"/>
              </w:rPr>
            </w:pPr>
          </w:p>
        </w:tc>
      </w:tr>
    </w:tbl>
    <w:p w:rsidR="00C868CF" w:rsidRDefault="00434AB7">
      <w:r>
        <w:br w:type="page"/>
      </w:r>
    </w:p>
    <w:tbl>
      <w:tblPr>
        <w:tblpPr w:leftFromText="180" w:rightFromText="180" w:vertAnchor="text" w:tblpXSpec="center" w:tblpY="1"/>
        <w:tblOverlap w:val="never"/>
        <w:tblW w:w="14709" w:type="dxa"/>
        <w:tblCellMar>
          <w:left w:w="0" w:type="dxa"/>
          <w:right w:w="0" w:type="dxa"/>
        </w:tblCellMar>
        <w:tblLook w:val="04A0"/>
      </w:tblPr>
      <w:tblGrid>
        <w:gridCol w:w="825"/>
        <w:gridCol w:w="7505"/>
        <w:gridCol w:w="6379"/>
      </w:tblGrid>
      <w:tr w:rsidR="00C868CF" w:rsidRPr="00692791" w:rsidTr="00C868CF">
        <w:trPr>
          <w:trHeight w:val="455"/>
        </w:trPr>
        <w:tc>
          <w:tcPr>
            <w:tcW w:w="8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868CF" w:rsidRPr="00FC0C14" w:rsidRDefault="00C868CF" w:rsidP="00BB1252">
            <w:pPr>
              <w:ind w:left="0"/>
              <w:jc w:val="center"/>
              <w:rPr>
                <w:rFonts w:asciiTheme="minorHAnsi" w:eastAsiaTheme="minorHAnsi" w:hAnsiTheme="minorHAnsi" w:cs="Tahoma"/>
                <w:b/>
                <w:bCs/>
              </w:rPr>
            </w:pPr>
            <w:r w:rsidRPr="00FC0C14">
              <w:rPr>
                <w:rFonts w:asciiTheme="minorHAnsi" w:hAnsiTheme="minorHAnsi" w:cs="Tahoma"/>
                <w:b/>
                <w:bCs/>
                <w:szCs w:val="22"/>
              </w:rPr>
              <w:lastRenderedPageBreak/>
              <w:t>CO25</w:t>
            </w:r>
          </w:p>
        </w:tc>
        <w:tc>
          <w:tcPr>
            <w:tcW w:w="7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8CF" w:rsidRPr="00B23760" w:rsidRDefault="00C868CF" w:rsidP="00BB1252">
            <w:pPr>
              <w:ind w:left="0"/>
              <w:jc w:val="left"/>
              <w:rPr>
                <w:rFonts w:asciiTheme="minorHAnsi" w:eastAsiaTheme="minorHAnsi" w:hAnsiTheme="minorHAnsi" w:cs="Tahoma"/>
                <w:b/>
                <w:lang w:val="el-GR"/>
              </w:rPr>
            </w:pPr>
            <w:r w:rsidRPr="00FC0C14">
              <w:rPr>
                <w:rFonts w:asciiTheme="minorHAnsi" w:eastAsiaTheme="minorHAnsi" w:hAnsiTheme="minorHAnsi" w:cs="Tahoma"/>
                <w:b/>
                <w:szCs w:val="22"/>
                <w:lang w:val="el-GR"/>
              </w:rPr>
              <w:t xml:space="preserve">Συνολικές θέσεις εργασίας σε ερευνητικές υποδομές που (1) συνδέονται άμεσα με δραστηριότητες Ε&amp;Α και (2) επηρεάζονται άμεσα από το έργο. </w:t>
            </w:r>
          </w:p>
          <w:p w:rsidR="00C868CF" w:rsidRPr="00FC0C14" w:rsidRDefault="00C868CF" w:rsidP="00BB1252">
            <w:pPr>
              <w:ind w:left="0"/>
              <w:jc w:val="left"/>
              <w:rPr>
                <w:rFonts w:asciiTheme="minorHAnsi" w:eastAsiaTheme="minorHAnsi" w:hAnsiTheme="minorHAnsi" w:cs="Tahoma"/>
                <w:lang w:val="el-GR"/>
              </w:rPr>
            </w:pPr>
            <w:r w:rsidRPr="00FC0C14">
              <w:rPr>
                <w:rFonts w:asciiTheme="minorHAnsi" w:eastAsiaTheme="minorHAnsi" w:hAnsiTheme="minorHAnsi" w:cs="Tahoma"/>
                <w:szCs w:val="22"/>
                <w:lang w:val="el-GR"/>
              </w:rPr>
              <w:t xml:space="preserve">Οι θέσεις εργασίας πρέπει να καλυφθούν (κενές θέσεις δεν συνυπολογίζονται). Προσωπικό υποστήριξης για Ε&amp;Α (δηλ. θέσεις εργασίας που δεν σχετίζονται άμεσα με δραστηριότητες Ε&amp;Α) δεν συνυπολογίζεται. Αν απασχοληθούν περισσότεροι ερευνητές στις εγκαταστάσεις ως αποτέλεσμα του έργου, αυξάνοντας επομένως τον αριθμό των ερευνητικών θέσεων εργασίας, τότε οι νέες θέσεις προσμετρούνται (Βλέπε επίσης Δείκτη CO24 «Αριθμός νέων ερευνητών σε οντότητες που ενισχύονται»). Δηλαδή αν η βελτίωση μίας ερευνητικής υποδομής έχει ως αποτέλεσμα την αύξηση του ερευνητικού προσωπικού από 100 σε 110 ερευνητές, τότε το σύνολο (110 ερευνητές) θα μετρηθεί με τον δείκτη CO25, Ο δείκτης CO24 θα προσμετρήσει μόνο τον αριθμό του νέου ερευνητικού προσωπικού, δηλαδή τους 10 ερευνητές. </w:t>
            </w:r>
          </w:p>
          <w:p w:rsidR="00C868CF" w:rsidRPr="00FC0C14" w:rsidRDefault="00C868CF" w:rsidP="00BB1252">
            <w:pPr>
              <w:ind w:left="0"/>
              <w:jc w:val="left"/>
              <w:rPr>
                <w:rFonts w:asciiTheme="minorHAnsi" w:eastAsiaTheme="minorHAnsi" w:hAnsiTheme="minorHAnsi" w:cs="Tahoma"/>
                <w:lang w:val="el-GR"/>
              </w:rPr>
            </w:pPr>
            <w:r w:rsidRPr="00FC0C14">
              <w:rPr>
                <w:rFonts w:asciiTheme="minorHAnsi" w:eastAsiaTheme="minorHAnsi" w:hAnsiTheme="minorHAnsi" w:cs="Tahoma"/>
                <w:szCs w:val="22"/>
                <w:lang w:val="el-GR"/>
              </w:rPr>
              <w:t>Οι εγκαταστάσεις μπορεί να είναι ιδιωτικές ή δημόσιες. Το έργο πρέπει να βελτιώσει τις εγκαταστάσεις ή την ποιότητα των μηχανημάτων, δηλ. δεν είναι επιλέξιμη η συντήρηση ή η αντικατάσταση χωρίς ταυτόχρονη ποιοτική αναβάθμιση της εγκατάστασης.</w:t>
            </w:r>
          </w:p>
          <w:p w:rsidR="00C868CF" w:rsidRPr="00FC0C14" w:rsidRDefault="00C868CF" w:rsidP="00BB1252">
            <w:pPr>
              <w:ind w:left="0"/>
              <w:jc w:val="left"/>
              <w:rPr>
                <w:rFonts w:asciiTheme="minorHAnsi" w:eastAsiaTheme="minorHAnsi" w:hAnsiTheme="minorHAnsi" w:cs="Tahoma"/>
                <w:lang w:val="el-GR"/>
              </w:rPr>
            </w:pPr>
            <w:r w:rsidRPr="00FC0C14">
              <w:rPr>
                <w:rFonts w:asciiTheme="minorHAnsi" w:eastAsiaTheme="minorHAnsi" w:hAnsiTheme="minorHAnsi" w:cs="Tahoma"/>
                <w:szCs w:val="22"/>
                <w:lang w:val="el-GR"/>
              </w:rPr>
              <w:t xml:space="preserve">Ισοδύναμα πλήρους απασχόλησης: η εργασία μπορεί να είναι πλήρης ή μερικής απασχόλησης ή εποχική. Οι εποχικές και οι μερικής απασχόλησης θέσεις εργασίας θα πρέπει να μετατρέπονται σε ισοδύναμα πλήρους απασχόλησης χρησιμοποιώντας πρότυπα της Διεθνούς Οργάνωσης Εργασίας ή στατιστικά ή άλλα πρότυπα. </w:t>
            </w:r>
          </w:p>
          <w:p w:rsidR="00C868CF" w:rsidRPr="00FC0C14" w:rsidRDefault="00C868CF" w:rsidP="00BB1252">
            <w:pPr>
              <w:ind w:left="0"/>
              <w:jc w:val="left"/>
              <w:rPr>
                <w:rFonts w:asciiTheme="minorHAnsi" w:eastAsiaTheme="minorHAnsi" w:hAnsiTheme="minorHAnsi" w:cs="Tahoma"/>
                <w:lang w:val="el-GR"/>
              </w:rPr>
            </w:pPr>
            <w:r w:rsidRPr="00FC0C14">
              <w:rPr>
                <w:rFonts w:asciiTheme="minorHAnsi" w:eastAsiaTheme="minorHAnsi" w:hAnsiTheme="minorHAnsi" w:cs="Tahoma"/>
                <w:szCs w:val="22"/>
                <w:lang w:val="el-GR"/>
              </w:rPr>
              <w:t>Ο όρος "ερευνητική υποδομή" προσδιορίζει μία πολύ ετερογενή ομάδα υλικών ή άυλων στοιχείων και επομένως δεν μπορεί να αποδοθεί από ένα περιορισμένο αριθμό φυσικών δεικτών. Η προσέγγιση που επιλέγεται εδώ είναι να γίνει εστίαση σε μία μη οικονομική διάσταση της επένδυσης (απασχόληση) που εξακολουθεί να μπορεί να αντικατοπτρίσει την κλίμακα της παρέμβασης.</w:t>
            </w:r>
          </w:p>
        </w:tc>
        <w:tc>
          <w:tcPr>
            <w:tcW w:w="6379" w:type="dxa"/>
            <w:tcBorders>
              <w:top w:val="single" w:sz="4" w:space="0" w:color="auto"/>
              <w:left w:val="single" w:sz="4" w:space="0" w:color="auto"/>
              <w:bottom w:val="single" w:sz="4" w:space="0" w:color="auto"/>
              <w:right w:val="single" w:sz="4" w:space="0" w:color="auto"/>
            </w:tcBorders>
          </w:tcPr>
          <w:p w:rsidR="00C868CF" w:rsidRPr="00692791" w:rsidRDefault="00C868CF" w:rsidP="00BB1252">
            <w:pPr>
              <w:ind w:left="0"/>
              <w:jc w:val="left"/>
              <w:rPr>
                <w:rFonts w:asciiTheme="minorHAnsi" w:hAnsiTheme="minorHAnsi" w:cs="Tahoma"/>
                <w:b/>
                <w:lang w:val="en-US"/>
              </w:rPr>
            </w:pPr>
            <w:r w:rsidRPr="00692791">
              <w:rPr>
                <w:rFonts w:asciiTheme="minorHAnsi" w:hAnsiTheme="minorHAnsi" w:cs="Tahoma"/>
                <w:b/>
                <w:szCs w:val="22"/>
                <w:lang w:val="en-US"/>
              </w:rPr>
              <w:t>Number of researchers working in improved research infrastructure facilities</w:t>
            </w:r>
            <w:r>
              <w:rPr>
                <w:rFonts w:asciiTheme="minorHAnsi" w:hAnsiTheme="minorHAnsi" w:cs="Tahoma"/>
                <w:b/>
                <w:szCs w:val="22"/>
                <w:lang w:val="en-US"/>
              </w:rPr>
              <w:t xml:space="preserve"> </w:t>
            </w:r>
            <w:r w:rsidRPr="00692791">
              <w:rPr>
                <w:rFonts w:asciiTheme="minorHAnsi" w:hAnsiTheme="minorHAnsi" w:cs="Tahoma"/>
                <w:b/>
                <w:szCs w:val="22"/>
                <w:lang w:val="en-US"/>
              </w:rPr>
              <w:t>(in Full Time Equivalent – FTE)</w:t>
            </w:r>
          </w:p>
          <w:p w:rsidR="00C868CF" w:rsidRPr="00692791" w:rsidRDefault="00C868CF" w:rsidP="00BB1252">
            <w:pPr>
              <w:ind w:left="0"/>
              <w:jc w:val="left"/>
              <w:rPr>
                <w:rFonts w:asciiTheme="minorHAnsi" w:hAnsiTheme="minorHAnsi" w:cs="Tahoma"/>
                <w:lang w:val="en-US"/>
              </w:rPr>
            </w:pPr>
            <w:r w:rsidRPr="00692791">
              <w:rPr>
                <w:rFonts w:asciiTheme="minorHAnsi" w:hAnsiTheme="minorHAnsi" w:cs="Tahoma"/>
                <w:szCs w:val="22"/>
                <w:lang w:val="en-US"/>
              </w:rPr>
              <w:t>Existing working positions in research infrastructure facilities that (1) directly perform R&amp;D</w:t>
            </w:r>
            <w:r>
              <w:rPr>
                <w:rFonts w:asciiTheme="minorHAnsi" w:hAnsiTheme="minorHAnsi" w:cs="Tahoma"/>
                <w:szCs w:val="22"/>
                <w:lang w:val="en-US"/>
              </w:rPr>
              <w:t xml:space="preserve"> </w:t>
            </w:r>
            <w:r w:rsidRPr="00692791">
              <w:rPr>
                <w:rFonts w:asciiTheme="minorHAnsi" w:hAnsiTheme="minorHAnsi" w:cs="Tahoma"/>
                <w:szCs w:val="22"/>
                <w:lang w:val="en-US"/>
              </w:rPr>
              <w:t>activities and (2) are directly affected by the project. The posts must be filled (vacant posts</w:t>
            </w:r>
            <w:r>
              <w:rPr>
                <w:rFonts w:asciiTheme="minorHAnsi" w:hAnsiTheme="minorHAnsi" w:cs="Tahoma"/>
                <w:szCs w:val="22"/>
                <w:lang w:val="en-US"/>
              </w:rPr>
              <w:t xml:space="preserve"> </w:t>
            </w:r>
            <w:r w:rsidRPr="00692791">
              <w:rPr>
                <w:rFonts w:asciiTheme="minorHAnsi" w:hAnsiTheme="minorHAnsi" w:cs="Tahoma"/>
                <w:szCs w:val="22"/>
                <w:lang w:val="en-US"/>
              </w:rPr>
              <w:t>are not counted). Support staff for R&amp;D (i.e. jobs not directly involved in R&amp;D activities) is</w:t>
            </w:r>
            <w:r>
              <w:rPr>
                <w:rFonts w:asciiTheme="minorHAnsi" w:hAnsiTheme="minorHAnsi" w:cs="Tahoma"/>
                <w:szCs w:val="22"/>
                <w:lang w:val="en-US"/>
              </w:rPr>
              <w:t xml:space="preserve"> </w:t>
            </w:r>
            <w:r w:rsidRPr="00692791">
              <w:rPr>
                <w:rFonts w:asciiTheme="minorHAnsi" w:hAnsiTheme="minorHAnsi" w:cs="Tahoma"/>
                <w:szCs w:val="22"/>
                <w:lang w:val="en-US"/>
              </w:rPr>
              <w:t>not counted. If more researchers will be employed in the facilities as a consequence of the</w:t>
            </w:r>
            <w:r>
              <w:rPr>
                <w:rFonts w:asciiTheme="minorHAnsi" w:hAnsiTheme="minorHAnsi" w:cs="Tahoma"/>
                <w:szCs w:val="22"/>
                <w:lang w:val="en-US"/>
              </w:rPr>
              <w:t xml:space="preserve"> </w:t>
            </w:r>
            <w:r w:rsidRPr="00692791">
              <w:rPr>
                <w:rFonts w:asciiTheme="minorHAnsi" w:hAnsiTheme="minorHAnsi" w:cs="Tahoma"/>
                <w:szCs w:val="22"/>
                <w:lang w:val="en-US"/>
              </w:rPr>
              <w:t>project, thus the numbers of research jobs increases, the new posts are included (see also</w:t>
            </w:r>
            <w:r>
              <w:rPr>
                <w:rFonts w:asciiTheme="minorHAnsi" w:hAnsiTheme="minorHAnsi" w:cs="Tahoma"/>
                <w:szCs w:val="22"/>
                <w:lang w:val="en-US"/>
              </w:rPr>
              <w:t xml:space="preserve"> CO24). For instance, </w:t>
            </w:r>
            <w:r w:rsidRPr="00141AC5">
              <w:rPr>
                <w:rFonts w:asciiTheme="minorHAnsi" w:hAnsiTheme="minorHAnsi" w:cs="Tahoma"/>
                <w:szCs w:val="22"/>
                <w:lang w:val="en-US"/>
              </w:rPr>
              <w:t>if the improvement of a research infrastructure has resulted in the increase of research personnel from 100 to 110 researchers, the total (110 researchers) will be measured by the index of CO25, the index CO24 will only count the number of new research personnel, their words 10 researchers.</w:t>
            </w:r>
            <w:r>
              <w:rPr>
                <w:rFonts w:asciiTheme="minorHAnsi" w:hAnsiTheme="minorHAnsi" w:cs="Tahoma"/>
                <w:szCs w:val="22"/>
                <w:lang w:val="en-US"/>
              </w:rPr>
              <w:br/>
            </w:r>
            <w:r>
              <w:rPr>
                <w:rFonts w:asciiTheme="minorHAnsi" w:hAnsiTheme="minorHAnsi" w:cs="Tahoma"/>
                <w:szCs w:val="22"/>
                <w:lang w:val="en-US"/>
              </w:rPr>
              <w:br/>
            </w:r>
            <w:r w:rsidRPr="00692791">
              <w:rPr>
                <w:rFonts w:asciiTheme="minorHAnsi" w:hAnsiTheme="minorHAnsi" w:cs="Tahoma"/>
                <w:szCs w:val="22"/>
                <w:lang w:val="en-US"/>
              </w:rPr>
              <w:t>The facilities may be private or public.</w:t>
            </w:r>
            <w:r>
              <w:rPr>
                <w:rFonts w:asciiTheme="minorHAnsi" w:hAnsiTheme="minorHAnsi" w:cs="Tahoma"/>
                <w:szCs w:val="22"/>
                <w:lang w:val="en-US"/>
              </w:rPr>
              <w:t xml:space="preserve"> </w:t>
            </w:r>
            <w:r w:rsidRPr="00692791">
              <w:rPr>
                <w:rFonts w:asciiTheme="minorHAnsi" w:hAnsiTheme="minorHAnsi" w:cs="Tahoma"/>
                <w:szCs w:val="22"/>
                <w:lang w:val="en-US"/>
              </w:rPr>
              <w:t>The project must improve the facilities or quality of equipment, i.e. maintenance or</w:t>
            </w:r>
            <w:r>
              <w:rPr>
                <w:rFonts w:asciiTheme="minorHAnsi" w:hAnsiTheme="minorHAnsi" w:cs="Tahoma"/>
                <w:szCs w:val="22"/>
                <w:lang w:val="en-US"/>
              </w:rPr>
              <w:t xml:space="preserve"> </w:t>
            </w:r>
            <w:r w:rsidRPr="00692791">
              <w:rPr>
                <w:rFonts w:asciiTheme="minorHAnsi" w:hAnsiTheme="minorHAnsi" w:cs="Tahoma"/>
                <w:szCs w:val="22"/>
                <w:lang w:val="en-US"/>
              </w:rPr>
              <w:t>replacement without quality increase is excluded.</w:t>
            </w:r>
          </w:p>
          <w:p w:rsidR="00C868CF" w:rsidRPr="00692791" w:rsidRDefault="00C868CF" w:rsidP="00BB1252">
            <w:pPr>
              <w:ind w:left="0"/>
              <w:jc w:val="left"/>
              <w:rPr>
                <w:rFonts w:asciiTheme="minorHAnsi" w:hAnsiTheme="minorHAnsi" w:cs="Tahoma"/>
                <w:lang w:val="en-US"/>
              </w:rPr>
            </w:pPr>
            <w:r>
              <w:rPr>
                <w:rFonts w:asciiTheme="minorHAnsi" w:hAnsiTheme="minorHAnsi" w:cs="Tahoma"/>
                <w:szCs w:val="22"/>
                <w:lang w:val="en-US"/>
              </w:rPr>
              <w:br/>
            </w:r>
            <w:r w:rsidRPr="00692791">
              <w:rPr>
                <w:rFonts w:asciiTheme="minorHAnsi" w:hAnsiTheme="minorHAnsi" w:cs="Tahoma"/>
                <w:szCs w:val="22"/>
                <w:lang w:val="en-US"/>
              </w:rPr>
              <w:t>Full-time equivalent: Jobs can be full time, part time or seasonal. Seasonal and part time jobs</w:t>
            </w:r>
            <w:r>
              <w:rPr>
                <w:rFonts w:asciiTheme="minorHAnsi" w:hAnsiTheme="minorHAnsi" w:cs="Tahoma"/>
                <w:szCs w:val="22"/>
                <w:lang w:val="en-US"/>
              </w:rPr>
              <w:t xml:space="preserve"> </w:t>
            </w:r>
            <w:r w:rsidRPr="00692791">
              <w:rPr>
                <w:rFonts w:asciiTheme="minorHAnsi" w:hAnsiTheme="minorHAnsi" w:cs="Tahoma"/>
                <w:szCs w:val="22"/>
                <w:lang w:val="en-US"/>
              </w:rPr>
              <w:t>are to be converted to FTE using ILO/statistical/other standards.</w:t>
            </w:r>
          </w:p>
          <w:p w:rsidR="00C868CF" w:rsidRPr="00692791" w:rsidRDefault="00C868CF" w:rsidP="00BB1252">
            <w:pPr>
              <w:ind w:left="0"/>
              <w:jc w:val="left"/>
              <w:rPr>
                <w:rFonts w:asciiTheme="minorHAnsi" w:hAnsiTheme="minorHAnsi" w:cs="Tahoma"/>
                <w:lang w:val="en-US"/>
              </w:rPr>
            </w:pPr>
            <w:r>
              <w:rPr>
                <w:rFonts w:asciiTheme="minorHAnsi" w:hAnsiTheme="minorHAnsi" w:cs="Tahoma"/>
                <w:szCs w:val="22"/>
                <w:lang w:val="en-US"/>
              </w:rPr>
              <w:br/>
            </w:r>
            <w:r>
              <w:rPr>
                <w:rFonts w:asciiTheme="minorHAnsi" w:hAnsiTheme="minorHAnsi" w:cs="Tahoma"/>
                <w:szCs w:val="22"/>
                <w:lang w:val="en-US"/>
              </w:rPr>
              <w:br/>
            </w:r>
            <w:r w:rsidRPr="00141AC5">
              <w:rPr>
                <w:rFonts w:asciiTheme="minorHAnsi" w:hAnsiTheme="minorHAnsi" w:cs="Tahoma"/>
                <w:szCs w:val="22"/>
                <w:u w:val="single"/>
                <w:lang w:val="en-US"/>
              </w:rPr>
              <w:t>Research infrastructure</w:t>
            </w:r>
            <w:r w:rsidRPr="00692791">
              <w:rPr>
                <w:rFonts w:asciiTheme="minorHAnsi" w:hAnsiTheme="minorHAnsi" w:cs="Tahoma"/>
                <w:szCs w:val="22"/>
                <w:lang w:val="en-US"/>
              </w:rPr>
              <w:t xml:space="preserve"> is a term used to designate a very heterogeneous group of tangible</w:t>
            </w:r>
            <w:r>
              <w:rPr>
                <w:rFonts w:asciiTheme="minorHAnsi" w:hAnsiTheme="minorHAnsi" w:cs="Tahoma"/>
                <w:szCs w:val="22"/>
                <w:lang w:val="en-US"/>
              </w:rPr>
              <w:t xml:space="preserve"> </w:t>
            </w:r>
            <w:r w:rsidRPr="00692791">
              <w:rPr>
                <w:rFonts w:asciiTheme="minorHAnsi" w:hAnsiTheme="minorHAnsi" w:cs="Tahoma"/>
                <w:szCs w:val="22"/>
                <w:lang w:val="en-US"/>
              </w:rPr>
              <w:t>or intangible assets thus cannot be captured by a limited number of physical indicators. The</w:t>
            </w:r>
            <w:r>
              <w:rPr>
                <w:rFonts w:asciiTheme="minorHAnsi" w:hAnsiTheme="minorHAnsi" w:cs="Tahoma"/>
                <w:szCs w:val="22"/>
                <w:lang w:val="en-US"/>
              </w:rPr>
              <w:t xml:space="preserve"> </w:t>
            </w:r>
            <w:r w:rsidRPr="00692791">
              <w:rPr>
                <w:rFonts w:asciiTheme="minorHAnsi" w:hAnsiTheme="minorHAnsi" w:cs="Tahoma"/>
                <w:szCs w:val="22"/>
                <w:lang w:val="en-US"/>
              </w:rPr>
              <w:t>approach chosen here is to focus on a non-financial dimension of the investment</w:t>
            </w:r>
            <w:r>
              <w:rPr>
                <w:rFonts w:asciiTheme="minorHAnsi" w:hAnsiTheme="minorHAnsi" w:cs="Tahoma"/>
                <w:szCs w:val="22"/>
                <w:lang w:val="en-US"/>
              </w:rPr>
              <w:t xml:space="preserve"> </w:t>
            </w:r>
            <w:r w:rsidRPr="00692791">
              <w:rPr>
                <w:rFonts w:asciiTheme="minorHAnsi" w:hAnsiTheme="minorHAnsi" w:cs="Tahoma"/>
                <w:szCs w:val="22"/>
                <w:lang w:val="en-US"/>
              </w:rPr>
              <w:t>(employment) that is still able to reflect the scale of intervention.</w:t>
            </w:r>
          </w:p>
        </w:tc>
      </w:tr>
    </w:tbl>
    <w:p w:rsidR="00C868CF" w:rsidRPr="00692791" w:rsidRDefault="00C868CF" w:rsidP="00C868CF">
      <w:pPr>
        <w:ind w:left="0"/>
        <w:jc w:val="left"/>
        <w:rPr>
          <w:rFonts w:asciiTheme="minorHAnsi" w:hAnsiTheme="minorHAnsi" w:cs="Arial"/>
          <w:i/>
          <w:szCs w:val="22"/>
          <w:lang w:val="en-US"/>
        </w:rPr>
      </w:pPr>
    </w:p>
    <w:p w:rsidR="00434AB7" w:rsidRPr="00C868CF" w:rsidRDefault="00434AB7">
      <w:pPr>
        <w:rPr>
          <w:lang w:val="en-US"/>
        </w:rPr>
      </w:pPr>
    </w:p>
    <w:tbl>
      <w:tblPr>
        <w:tblpPr w:leftFromText="180" w:rightFromText="180" w:vertAnchor="text" w:tblpXSpec="center"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88"/>
        <w:gridCol w:w="7058"/>
        <w:gridCol w:w="6096"/>
      </w:tblGrid>
      <w:tr w:rsidR="00141AC5" w:rsidRPr="00596EC0" w:rsidTr="00C868CF">
        <w:trPr>
          <w:trHeight w:val="455"/>
        </w:trPr>
        <w:tc>
          <w:tcPr>
            <w:tcW w:w="988" w:type="dxa"/>
            <w:shd w:val="clear" w:color="auto" w:fill="FFFFFF"/>
            <w:tcMar>
              <w:top w:w="0" w:type="dxa"/>
              <w:left w:w="108" w:type="dxa"/>
              <w:bottom w:w="0" w:type="dxa"/>
              <w:right w:w="108" w:type="dxa"/>
            </w:tcMar>
            <w:vAlign w:val="center"/>
            <w:hideMark/>
          </w:tcPr>
          <w:p w:rsidR="00734114" w:rsidRPr="00FC0C14" w:rsidRDefault="00734114" w:rsidP="00434AB7">
            <w:pPr>
              <w:ind w:left="0"/>
              <w:jc w:val="left"/>
              <w:rPr>
                <w:rFonts w:asciiTheme="minorHAnsi" w:eastAsiaTheme="minorHAnsi" w:hAnsiTheme="minorHAnsi" w:cs="Tahoma"/>
                <w:b/>
                <w:bCs/>
              </w:rPr>
            </w:pPr>
            <w:r w:rsidRPr="00FC0C14">
              <w:rPr>
                <w:rFonts w:asciiTheme="minorHAnsi" w:hAnsiTheme="minorHAnsi" w:cs="Tahoma"/>
                <w:b/>
                <w:bCs/>
                <w:szCs w:val="22"/>
              </w:rPr>
              <w:t>CO26</w:t>
            </w:r>
          </w:p>
        </w:tc>
        <w:tc>
          <w:tcPr>
            <w:tcW w:w="7058" w:type="dxa"/>
            <w:tcMar>
              <w:top w:w="0" w:type="dxa"/>
              <w:left w:w="108" w:type="dxa"/>
              <w:bottom w:w="0" w:type="dxa"/>
              <w:right w:w="108" w:type="dxa"/>
            </w:tcMar>
            <w:hideMark/>
          </w:tcPr>
          <w:p w:rsidR="00734114" w:rsidRPr="00BE1672" w:rsidRDefault="00734114" w:rsidP="00434AB7">
            <w:pPr>
              <w:ind w:left="0"/>
              <w:jc w:val="left"/>
              <w:rPr>
                <w:rFonts w:asciiTheme="minorHAnsi" w:hAnsiTheme="minorHAnsi" w:cs="Arial"/>
                <w:b/>
                <w:lang w:val="el-GR"/>
              </w:rPr>
            </w:pPr>
            <w:r w:rsidRPr="00692791">
              <w:rPr>
                <w:rFonts w:asciiTheme="minorHAnsi" w:hAnsiTheme="minorHAnsi" w:cs="Arial"/>
                <w:b/>
                <w:szCs w:val="22"/>
                <w:u w:val="single"/>
                <w:lang w:val="el-GR"/>
              </w:rPr>
              <w:t>Αριθμός επιχειρήσεων που συνεργάζονται με ερευνητικά ινστιτούτα σε έργα Ε&amp;Α.</w:t>
            </w:r>
            <w:r w:rsidRPr="00692791">
              <w:rPr>
                <w:rFonts w:asciiTheme="minorHAnsi" w:hAnsiTheme="minorHAnsi" w:cs="Arial"/>
                <w:b/>
                <w:szCs w:val="22"/>
                <w:lang w:val="el-GR"/>
              </w:rPr>
              <w:t xml:space="preserve"> </w:t>
            </w:r>
          </w:p>
          <w:p w:rsidR="00734114" w:rsidRPr="00FC0C14" w:rsidRDefault="00734114" w:rsidP="00434AB7">
            <w:pPr>
              <w:ind w:left="0"/>
              <w:jc w:val="left"/>
              <w:rPr>
                <w:rFonts w:asciiTheme="minorHAnsi" w:hAnsiTheme="minorHAnsi" w:cs="Arial"/>
                <w:lang w:val="el-GR"/>
              </w:rPr>
            </w:pPr>
            <w:r w:rsidRPr="00FC0C14">
              <w:rPr>
                <w:rFonts w:asciiTheme="minorHAnsi" w:hAnsiTheme="minorHAnsi" w:cs="Arial"/>
                <w:szCs w:val="22"/>
                <w:lang w:val="el-GR"/>
              </w:rPr>
              <w:t>Τουλάχιστον μία επιχείρηση και ένα ερευνητικό ινστιτούτο συμμετέχουν στο έργο. Την στήριξη μπορεί να λάβει ένα ή περισσότερα από τα συνεργαζόμενα μέρη (ερευνητικό ινστιτούτο ή επιχείρηση), υπό την προϋπόθεση της συνεργασίας. Η συνεργασία μπορεί να είναι νέα ή υφιστάμενη. Η συνεργασία θα πρέπει να διαρκέσει τουλάχιστον καθόλη τη διάρκεια του έργου.</w:t>
            </w:r>
          </w:p>
          <w:p w:rsidR="00BE1672" w:rsidRPr="00C868CF" w:rsidRDefault="00734114" w:rsidP="00434AB7">
            <w:pPr>
              <w:ind w:left="0"/>
              <w:jc w:val="left"/>
              <w:rPr>
                <w:rFonts w:asciiTheme="minorHAnsi" w:hAnsiTheme="minorHAnsi" w:cs="Arial"/>
                <w:lang w:val="el-GR"/>
              </w:rPr>
            </w:pPr>
            <w:r w:rsidRPr="00FC0C14">
              <w:rPr>
                <w:rFonts w:asciiTheme="minorHAnsi" w:hAnsiTheme="minorHAnsi" w:cs="Arial"/>
                <w:szCs w:val="22"/>
                <w:u w:val="single"/>
                <w:lang w:val="el-GR"/>
              </w:rPr>
              <w:t>Επιχείρηση</w:t>
            </w:r>
            <w:r w:rsidRPr="00FC0C14">
              <w:rPr>
                <w:rFonts w:asciiTheme="minorHAnsi" w:hAnsiTheme="minorHAnsi" w:cs="Arial"/>
                <w:szCs w:val="22"/>
                <w:lang w:val="el-GR"/>
              </w:rPr>
              <w:t>: οργανισμός που παράγει αγαθά ή υπηρεσίες για την ικανοποίηση των αναγκών της αγοράς προκειμένου να επιτύχει κέρδος. Ο τόπος προέλευσης της επιχείρησης (εντός ή εκτός της ΕΕ) δεν έχει σημασία. Σε περίπτωση που μία επιχείρηση είναι επικεφαλής και άλλες είναι υπεργολάβοι που ωστόσο συνεργάζονται με το ερευνητικό ινστιτούτο, τότε όλες οι επιχειρήσεις θα πρέπει να προσμετρούνται. Όλες οι επιχειρήσεις που συνεργάζονται σε διαφορετικά έργα θα πρέπει να προσμετρούνται (υπό την προϋπόθεση ότι όλα τα έργα λαμβάνουν στήριξη) και αυτό δεν θεωρείται ότι αποτελεί πολλαπλό υπολογισμό.</w:t>
            </w:r>
          </w:p>
          <w:p w:rsidR="00734114" w:rsidRPr="00FC0C14" w:rsidRDefault="00734114" w:rsidP="00434AB7">
            <w:pPr>
              <w:ind w:left="0"/>
              <w:jc w:val="left"/>
              <w:rPr>
                <w:rFonts w:asciiTheme="minorHAnsi" w:eastAsiaTheme="minorHAnsi" w:hAnsiTheme="minorHAnsi" w:cs="Tahoma"/>
                <w:lang w:val="el-GR"/>
              </w:rPr>
            </w:pPr>
            <w:r w:rsidRPr="00FC0C14">
              <w:rPr>
                <w:rFonts w:asciiTheme="minorHAnsi" w:hAnsiTheme="minorHAnsi" w:cs="Arial"/>
                <w:szCs w:val="22"/>
                <w:lang w:val="el-GR"/>
              </w:rPr>
              <w:br/>
            </w:r>
            <w:r w:rsidRPr="00FC0C14">
              <w:rPr>
                <w:rFonts w:asciiTheme="minorHAnsi" w:hAnsiTheme="minorHAnsi" w:cs="Arial"/>
                <w:szCs w:val="22"/>
                <w:u w:val="single"/>
                <w:lang w:val="el-GR"/>
              </w:rPr>
              <w:t>Ερευνητικό ινστιτούτο</w:t>
            </w:r>
            <w:r w:rsidRPr="00FC0C14">
              <w:rPr>
                <w:rFonts w:asciiTheme="minorHAnsi" w:hAnsiTheme="minorHAnsi" w:cs="Arial"/>
                <w:szCs w:val="22"/>
                <w:lang w:val="el-GR"/>
              </w:rPr>
              <w:t xml:space="preserve">: Οργανισμός στον οποίο η Ε&amp;Α αποτελεί πρωταρχική δραστηριότητα. Η συνεργασία μπορεί να μετρηθεί βάσει είτε των δράσεων είτε των συμμετεχόντων. </w:t>
            </w:r>
            <w:r w:rsidRPr="00FC0C14">
              <w:rPr>
                <w:rFonts w:asciiTheme="minorHAnsi" w:hAnsiTheme="minorHAnsi" w:cs="Arial"/>
                <w:szCs w:val="22"/>
              </w:rPr>
              <w:t>Ο συγκεκριμένος δείκτης εστιάζει στις επιχειρήσεις ως συμμετέχουσες.</w:t>
            </w:r>
          </w:p>
        </w:tc>
        <w:tc>
          <w:tcPr>
            <w:tcW w:w="6096" w:type="dxa"/>
          </w:tcPr>
          <w:p w:rsidR="00BE1672" w:rsidRPr="00BE1672" w:rsidRDefault="00BE1672" w:rsidP="00434AB7">
            <w:pPr>
              <w:autoSpaceDE w:val="0"/>
              <w:autoSpaceDN w:val="0"/>
              <w:adjustRightInd w:val="0"/>
              <w:ind w:left="0"/>
              <w:jc w:val="left"/>
              <w:rPr>
                <w:rFonts w:asciiTheme="minorHAnsi" w:hAnsiTheme="minorHAnsi" w:cs="Arial"/>
                <w:b/>
                <w:u w:val="single"/>
                <w:lang w:val="en-US"/>
              </w:rPr>
            </w:pPr>
            <w:r w:rsidRPr="00BE1672">
              <w:rPr>
                <w:rFonts w:asciiTheme="minorHAnsi" w:hAnsiTheme="minorHAnsi" w:cs="Arial"/>
                <w:b/>
                <w:szCs w:val="22"/>
                <w:u w:val="single"/>
                <w:lang w:val="en-US"/>
              </w:rPr>
              <w:t>Number of enterprises</w:t>
            </w:r>
            <w:r>
              <w:rPr>
                <w:rFonts w:asciiTheme="minorHAnsi" w:hAnsiTheme="minorHAnsi" w:cs="Arial"/>
                <w:b/>
                <w:szCs w:val="22"/>
                <w:u w:val="single"/>
                <w:lang w:val="en-US"/>
              </w:rPr>
              <w:t xml:space="preserve"> </w:t>
            </w:r>
            <w:r w:rsidRPr="00BE1672">
              <w:rPr>
                <w:rFonts w:asciiTheme="minorHAnsi" w:hAnsiTheme="minorHAnsi" w:cs="Arial"/>
                <w:b/>
                <w:szCs w:val="22"/>
                <w:u w:val="single"/>
                <w:lang w:val="en-US"/>
              </w:rPr>
              <w:t>cooperating with research</w:t>
            </w:r>
            <w:r>
              <w:rPr>
                <w:rFonts w:asciiTheme="minorHAnsi" w:hAnsiTheme="minorHAnsi" w:cs="Arial"/>
                <w:b/>
                <w:szCs w:val="22"/>
                <w:u w:val="single"/>
                <w:lang w:val="en-US"/>
              </w:rPr>
              <w:t xml:space="preserve"> </w:t>
            </w:r>
          </w:p>
          <w:p w:rsidR="00734114" w:rsidRPr="00BE1672" w:rsidRDefault="00BE1672" w:rsidP="00434AB7">
            <w:pPr>
              <w:ind w:left="0"/>
              <w:jc w:val="left"/>
              <w:rPr>
                <w:rFonts w:asciiTheme="minorHAnsi" w:hAnsiTheme="minorHAnsi" w:cs="Arial"/>
                <w:b/>
                <w:u w:val="single"/>
                <w:lang w:val="en-US"/>
              </w:rPr>
            </w:pPr>
            <w:r w:rsidRPr="00BE1672">
              <w:rPr>
                <w:rFonts w:asciiTheme="minorHAnsi" w:hAnsiTheme="minorHAnsi" w:cs="Arial"/>
                <w:b/>
                <w:szCs w:val="22"/>
                <w:u w:val="single"/>
                <w:lang w:val="en-US"/>
              </w:rPr>
              <w:t>institutions</w:t>
            </w:r>
          </w:p>
          <w:p w:rsidR="00596EC0" w:rsidRPr="00596EC0" w:rsidRDefault="00596EC0" w:rsidP="00434AB7">
            <w:pPr>
              <w:ind w:left="0"/>
              <w:jc w:val="left"/>
              <w:rPr>
                <w:rFonts w:asciiTheme="minorHAnsi" w:hAnsiTheme="minorHAnsi" w:cs="Tahoma"/>
                <w:lang w:val="en-US"/>
              </w:rPr>
            </w:pPr>
            <w:r w:rsidRPr="00596EC0">
              <w:rPr>
                <w:rFonts w:asciiTheme="minorHAnsi" w:hAnsiTheme="minorHAnsi" w:cs="Tahoma"/>
                <w:szCs w:val="22"/>
                <w:lang w:val="en-US"/>
              </w:rPr>
              <w:t>Number of enterprises that cooperate with research institutions in R&amp;D projects. At least one</w:t>
            </w:r>
            <w:r>
              <w:rPr>
                <w:rFonts w:asciiTheme="minorHAnsi" w:hAnsiTheme="minorHAnsi" w:cs="Tahoma"/>
                <w:szCs w:val="22"/>
                <w:lang w:val="en-US"/>
              </w:rPr>
              <w:t xml:space="preserve"> </w:t>
            </w:r>
            <w:r w:rsidRPr="00596EC0">
              <w:rPr>
                <w:rFonts w:asciiTheme="minorHAnsi" w:hAnsiTheme="minorHAnsi" w:cs="Tahoma"/>
                <w:szCs w:val="22"/>
                <w:lang w:val="en-US"/>
              </w:rPr>
              <w:t>enterprise and one research institution participates in the project. One or more of the</w:t>
            </w:r>
            <w:r>
              <w:rPr>
                <w:rFonts w:asciiTheme="minorHAnsi" w:hAnsiTheme="minorHAnsi" w:cs="Tahoma"/>
                <w:szCs w:val="22"/>
                <w:lang w:val="en-US"/>
              </w:rPr>
              <w:t xml:space="preserve"> </w:t>
            </w:r>
            <w:r w:rsidRPr="00596EC0">
              <w:rPr>
                <w:rFonts w:asciiTheme="minorHAnsi" w:hAnsiTheme="minorHAnsi" w:cs="Tahoma"/>
                <w:szCs w:val="22"/>
                <w:lang w:val="en-US"/>
              </w:rPr>
              <w:t>cooperating parties (research institution or enterprise) may receive the support but it must be</w:t>
            </w:r>
            <w:r>
              <w:rPr>
                <w:rFonts w:asciiTheme="minorHAnsi" w:hAnsiTheme="minorHAnsi" w:cs="Tahoma"/>
                <w:szCs w:val="22"/>
                <w:lang w:val="en-US"/>
              </w:rPr>
              <w:t xml:space="preserve"> </w:t>
            </w:r>
            <w:r w:rsidRPr="00596EC0">
              <w:rPr>
                <w:rFonts w:asciiTheme="minorHAnsi" w:hAnsiTheme="minorHAnsi" w:cs="Tahoma"/>
                <w:szCs w:val="22"/>
                <w:lang w:val="en-US"/>
              </w:rPr>
              <w:t>conditional to the cooperation. The cooperation may be new or existing. The cooperation</w:t>
            </w:r>
            <w:r>
              <w:rPr>
                <w:rFonts w:asciiTheme="minorHAnsi" w:hAnsiTheme="minorHAnsi" w:cs="Tahoma"/>
                <w:szCs w:val="22"/>
                <w:lang w:val="en-US"/>
              </w:rPr>
              <w:t xml:space="preserve"> </w:t>
            </w:r>
            <w:r w:rsidRPr="00596EC0">
              <w:rPr>
                <w:rFonts w:asciiTheme="minorHAnsi" w:hAnsiTheme="minorHAnsi" w:cs="Tahoma"/>
                <w:szCs w:val="22"/>
                <w:lang w:val="en-US"/>
              </w:rPr>
              <w:t>should last at least for the duration of the project.</w:t>
            </w:r>
            <w:r>
              <w:rPr>
                <w:rFonts w:asciiTheme="minorHAnsi" w:hAnsiTheme="minorHAnsi" w:cs="Tahoma"/>
                <w:szCs w:val="22"/>
                <w:lang w:val="en-US"/>
              </w:rPr>
              <w:t xml:space="preserve"> </w:t>
            </w:r>
          </w:p>
          <w:p w:rsidR="00596EC0" w:rsidRPr="00596EC0" w:rsidRDefault="00596EC0" w:rsidP="00434AB7">
            <w:pPr>
              <w:ind w:left="0"/>
              <w:jc w:val="left"/>
              <w:rPr>
                <w:rFonts w:asciiTheme="minorHAnsi" w:hAnsiTheme="minorHAnsi" w:cs="Tahoma"/>
                <w:lang w:val="en-US"/>
              </w:rPr>
            </w:pPr>
            <w:r w:rsidRPr="00596EC0">
              <w:rPr>
                <w:rFonts w:asciiTheme="minorHAnsi" w:hAnsiTheme="minorHAnsi" w:cs="Tahoma"/>
                <w:szCs w:val="22"/>
                <w:lang w:val="en-US"/>
              </w:rPr>
              <w:t>Enterprise: Organisation producing products or services to satisfy market needs in order to</w:t>
            </w:r>
            <w:r>
              <w:rPr>
                <w:rFonts w:asciiTheme="minorHAnsi" w:hAnsiTheme="minorHAnsi" w:cs="Tahoma"/>
                <w:szCs w:val="22"/>
                <w:lang w:val="en-US"/>
              </w:rPr>
              <w:t xml:space="preserve"> </w:t>
            </w:r>
            <w:r w:rsidRPr="00596EC0">
              <w:rPr>
                <w:rFonts w:asciiTheme="minorHAnsi" w:hAnsiTheme="minorHAnsi" w:cs="Tahoma"/>
                <w:szCs w:val="22"/>
                <w:lang w:val="en-US"/>
              </w:rPr>
              <w:t>reach profit. The origin of the enterprise (inside or outside of the EU) does not matter. In case</w:t>
            </w:r>
            <w:r w:rsidR="00BE1672">
              <w:rPr>
                <w:rFonts w:asciiTheme="minorHAnsi" w:hAnsiTheme="minorHAnsi" w:cs="Tahoma"/>
                <w:szCs w:val="22"/>
                <w:lang w:val="en-US"/>
              </w:rPr>
              <w:t xml:space="preserve"> </w:t>
            </w:r>
            <w:r w:rsidRPr="00596EC0">
              <w:rPr>
                <w:rFonts w:asciiTheme="minorHAnsi" w:hAnsiTheme="minorHAnsi" w:cs="Tahoma"/>
                <w:szCs w:val="22"/>
                <w:lang w:val="en-US"/>
              </w:rPr>
              <w:t>one enterprise takes the formal lead and others are subcontractors but still interacting with</w:t>
            </w:r>
            <w:r w:rsidR="00BE1672">
              <w:rPr>
                <w:rFonts w:asciiTheme="minorHAnsi" w:hAnsiTheme="minorHAnsi" w:cs="Tahoma"/>
                <w:szCs w:val="22"/>
                <w:lang w:val="en-US"/>
              </w:rPr>
              <w:t xml:space="preserve"> </w:t>
            </w:r>
            <w:r w:rsidRPr="00596EC0">
              <w:rPr>
                <w:rFonts w:asciiTheme="minorHAnsi" w:hAnsiTheme="minorHAnsi" w:cs="Tahoma"/>
                <w:szCs w:val="22"/>
                <w:lang w:val="en-US"/>
              </w:rPr>
              <w:t>the research institution, all enterprises should be counted. Enterprises cooperating in different</w:t>
            </w:r>
            <w:r w:rsidR="00BE1672">
              <w:rPr>
                <w:rFonts w:asciiTheme="minorHAnsi" w:hAnsiTheme="minorHAnsi" w:cs="Tahoma"/>
                <w:szCs w:val="22"/>
                <w:lang w:val="en-US"/>
              </w:rPr>
              <w:t xml:space="preserve"> </w:t>
            </w:r>
            <w:r w:rsidRPr="00596EC0">
              <w:rPr>
                <w:rFonts w:asciiTheme="minorHAnsi" w:hAnsiTheme="minorHAnsi" w:cs="Tahoma"/>
                <w:szCs w:val="22"/>
                <w:lang w:val="en-US"/>
              </w:rPr>
              <w:t>projects should be added up (provided that all projects receive support); this is not regarded</w:t>
            </w:r>
            <w:r w:rsidR="00BE1672">
              <w:rPr>
                <w:rFonts w:asciiTheme="minorHAnsi" w:hAnsiTheme="minorHAnsi" w:cs="Tahoma"/>
                <w:szCs w:val="22"/>
                <w:lang w:val="en-US"/>
              </w:rPr>
              <w:t xml:space="preserve"> </w:t>
            </w:r>
            <w:r w:rsidRPr="00596EC0">
              <w:rPr>
                <w:rFonts w:asciiTheme="minorHAnsi" w:hAnsiTheme="minorHAnsi" w:cs="Tahoma"/>
                <w:szCs w:val="22"/>
                <w:lang w:val="en-US"/>
              </w:rPr>
              <w:t>as multiple counting.</w:t>
            </w:r>
            <w:r w:rsidR="00434AB7">
              <w:rPr>
                <w:rFonts w:asciiTheme="minorHAnsi" w:hAnsiTheme="minorHAnsi" w:cs="Tahoma"/>
                <w:szCs w:val="22"/>
                <w:lang w:val="en-US"/>
              </w:rPr>
              <w:br/>
            </w:r>
          </w:p>
          <w:p w:rsidR="00596EC0" w:rsidRPr="00596EC0" w:rsidRDefault="00596EC0" w:rsidP="00434AB7">
            <w:pPr>
              <w:ind w:left="0"/>
              <w:jc w:val="left"/>
              <w:rPr>
                <w:rFonts w:asciiTheme="minorHAnsi" w:hAnsiTheme="minorHAnsi" w:cs="Tahoma"/>
                <w:lang w:val="en-US"/>
              </w:rPr>
            </w:pPr>
            <w:r w:rsidRPr="00BE1672">
              <w:rPr>
                <w:rFonts w:asciiTheme="minorHAnsi" w:hAnsiTheme="minorHAnsi" w:cs="Tahoma"/>
                <w:szCs w:val="22"/>
                <w:u w:val="single"/>
                <w:lang w:val="en-US"/>
              </w:rPr>
              <w:t>Research institution</w:t>
            </w:r>
            <w:r w:rsidRPr="00596EC0">
              <w:rPr>
                <w:rFonts w:asciiTheme="minorHAnsi" w:hAnsiTheme="minorHAnsi" w:cs="Tahoma"/>
                <w:szCs w:val="22"/>
                <w:lang w:val="en-US"/>
              </w:rPr>
              <w:t>: an organisation of which R&amp;D is a primary activity.</w:t>
            </w:r>
          </w:p>
          <w:p w:rsidR="00596EC0" w:rsidRPr="00596EC0" w:rsidRDefault="00596EC0" w:rsidP="00434AB7">
            <w:pPr>
              <w:ind w:left="0"/>
              <w:jc w:val="left"/>
              <w:rPr>
                <w:rFonts w:asciiTheme="minorHAnsi" w:hAnsiTheme="minorHAnsi" w:cs="Tahoma"/>
                <w:lang w:val="en-US"/>
              </w:rPr>
            </w:pPr>
            <w:r w:rsidRPr="00596EC0">
              <w:rPr>
                <w:rFonts w:asciiTheme="minorHAnsi" w:hAnsiTheme="minorHAnsi" w:cs="Tahoma"/>
                <w:szCs w:val="22"/>
                <w:lang w:val="en-US"/>
              </w:rPr>
              <w:t>Cooperation can be counted based on either the operations or the participants. This</w:t>
            </w:r>
            <w:r w:rsidR="00BE1672">
              <w:rPr>
                <w:rFonts w:asciiTheme="minorHAnsi" w:hAnsiTheme="minorHAnsi" w:cs="Tahoma"/>
                <w:szCs w:val="22"/>
                <w:lang w:val="en-US"/>
              </w:rPr>
              <w:t xml:space="preserve"> </w:t>
            </w:r>
            <w:r w:rsidRPr="00596EC0">
              <w:rPr>
                <w:rFonts w:asciiTheme="minorHAnsi" w:hAnsiTheme="minorHAnsi" w:cs="Tahoma"/>
                <w:szCs w:val="22"/>
                <w:lang w:val="en-US"/>
              </w:rPr>
              <w:t>indicator focuses on the enterprises as participants.</w:t>
            </w:r>
            <w:r w:rsidR="00BE1672">
              <w:rPr>
                <w:rFonts w:asciiTheme="minorHAnsi" w:hAnsiTheme="minorHAnsi" w:cs="Tahoma"/>
                <w:szCs w:val="22"/>
                <w:lang w:val="en-US"/>
              </w:rPr>
              <w:t xml:space="preserve"> </w:t>
            </w:r>
          </w:p>
        </w:tc>
      </w:tr>
    </w:tbl>
    <w:p w:rsidR="00C868CF" w:rsidRDefault="00C868CF">
      <w:r>
        <w:br w:type="page"/>
      </w:r>
    </w:p>
    <w:tbl>
      <w:tblPr>
        <w:tblpPr w:leftFromText="180" w:rightFromText="180" w:vertAnchor="text" w:tblpXSpec="center" w:tblpY="1"/>
        <w:tblOverlap w:val="never"/>
        <w:tblW w:w="14142" w:type="dxa"/>
        <w:tblCellMar>
          <w:left w:w="0" w:type="dxa"/>
          <w:right w:w="0" w:type="dxa"/>
        </w:tblCellMar>
        <w:tblLook w:val="04A0"/>
      </w:tblPr>
      <w:tblGrid>
        <w:gridCol w:w="988"/>
        <w:gridCol w:w="7058"/>
        <w:gridCol w:w="6096"/>
      </w:tblGrid>
      <w:tr w:rsidR="00141AC5" w:rsidRPr="00FC0C14" w:rsidTr="00C868CF">
        <w:trPr>
          <w:trHeight w:val="455"/>
        </w:trPr>
        <w:tc>
          <w:tcPr>
            <w:tcW w:w="98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4114" w:rsidRPr="00FC0C14" w:rsidRDefault="00734114" w:rsidP="00434AB7">
            <w:pPr>
              <w:ind w:left="0"/>
              <w:jc w:val="center"/>
              <w:rPr>
                <w:rFonts w:asciiTheme="minorHAnsi" w:eastAsiaTheme="minorHAnsi" w:hAnsiTheme="minorHAnsi" w:cs="Tahoma"/>
                <w:b/>
                <w:bCs/>
              </w:rPr>
            </w:pPr>
            <w:r w:rsidRPr="00FC0C14">
              <w:rPr>
                <w:rFonts w:asciiTheme="minorHAnsi" w:hAnsiTheme="minorHAnsi" w:cs="Tahoma"/>
                <w:b/>
                <w:bCs/>
                <w:szCs w:val="22"/>
              </w:rPr>
              <w:lastRenderedPageBreak/>
              <w:t>T4204</w:t>
            </w:r>
          </w:p>
        </w:tc>
        <w:tc>
          <w:tcPr>
            <w:tcW w:w="70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E45A3" w:rsidRPr="00C868CF" w:rsidRDefault="00734114" w:rsidP="00434AB7">
            <w:pPr>
              <w:ind w:left="0"/>
              <w:jc w:val="left"/>
              <w:rPr>
                <w:rFonts w:asciiTheme="minorHAnsi" w:eastAsiaTheme="minorHAnsi" w:hAnsiTheme="minorHAnsi" w:cs="Tahoma"/>
                <w:b/>
                <w:lang w:val="el-GR"/>
              </w:rPr>
            </w:pPr>
            <w:r w:rsidRPr="00C868CF">
              <w:rPr>
                <w:rFonts w:asciiTheme="minorHAnsi" w:hAnsiTheme="minorHAnsi" w:cs="Tahoma"/>
                <w:b/>
                <w:szCs w:val="22"/>
                <w:lang w:val="el-GR"/>
              </w:rPr>
              <w:t xml:space="preserve">Αριθμός κοινών έργων Ε&amp;Κ με φορείς άλλων χωρών </w:t>
            </w:r>
            <w:r w:rsidR="00BE45A3" w:rsidRPr="00C868CF">
              <w:rPr>
                <w:rFonts w:asciiTheme="minorHAnsi" w:hAnsiTheme="minorHAnsi" w:cs="Tahoma"/>
                <w:b/>
                <w:szCs w:val="22"/>
                <w:lang w:val="el-GR"/>
              </w:rPr>
              <w:br/>
            </w:r>
            <w:r w:rsidRPr="00C868CF">
              <w:rPr>
                <w:rFonts w:asciiTheme="minorHAnsi" w:hAnsiTheme="minorHAnsi" w:cs="Tahoma"/>
                <w:b/>
                <w:szCs w:val="22"/>
                <w:lang w:val="el-GR"/>
              </w:rPr>
              <w:t>(με ή χωρίς συντονισμό με την Ε.Ε)</w:t>
            </w:r>
          </w:p>
        </w:tc>
        <w:tc>
          <w:tcPr>
            <w:tcW w:w="6096" w:type="dxa"/>
            <w:tcBorders>
              <w:top w:val="single" w:sz="4" w:space="0" w:color="auto"/>
              <w:left w:val="nil"/>
              <w:bottom w:val="single" w:sz="8" w:space="0" w:color="auto"/>
              <w:right w:val="single" w:sz="8" w:space="0" w:color="auto"/>
            </w:tcBorders>
          </w:tcPr>
          <w:p w:rsidR="00734114" w:rsidRPr="00FC0C14" w:rsidRDefault="00BE45A3" w:rsidP="00434AB7">
            <w:pPr>
              <w:ind w:left="0"/>
              <w:jc w:val="left"/>
              <w:rPr>
                <w:rFonts w:asciiTheme="minorHAnsi" w:hAnsiTheme="minorHAnsi" w:cs="Tahoma"/>
                <w:lang w:val="en-US"/>
              </w:rPr>
            </w:pPr>
            <w:r w:rsidRPr="00FC0C14">
              <w:rPr>
                <w:rFonts w:asciiTheme="minorHAnsi" w:hAnsiTheme="minorHAnsi" w:cs="Tahoma"/>
                <w:szCs w:val="22"/>
                <w:lang w:val="en-US"/>
              </w:rPr>
              <w:t>Number of common RDI projects with partners from oth</w:t>
            </w:r>
            <w:r w:rsidR="00FC0C14" w:rsidRPr="00FC0C14">
              <w:rPr>
                <w:rFonts w:asciiTheme="minorHAnsi" w:hAnsiTheme="minorHAnsi" w:cs="Tahoma"/>
                <w:szCs w:val="22"/>
                <w:lang w:val="en-US"/>
              </w:rPr>
              <w:t>er countries (with or without EU co-ordination)</w:t>
            </w:r>
          </w:p>
        </w:tc>
      </w:tr>
      <w:tr w:rsidR="00734114" w:rsidRPr="00FC0C14" w:rsidTr="00C868CF">
        <w:trPr>
          <w:trHeight w:val="455"/>
        </w:trPr>
        <w:tc>
          <w:tcPr>
            <w:tcW w:w="98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734114" w:rsidRPr="00FC0C14" w:rsidRDefault="00734114" w:rsidP="00434AB7">
            <w:pPr>
              <w:ind w:left="0"/>
              <w:jc w:val="center"/>
              <w:rPr>
                <w:rFonts w:asciiTheme="minorHAnsi" w:eastAsiaTheme="minorHAnsi" w:hAnsiTheme="minorHAnsi" w:cs="Tahoma"/>
                <w:b/>
                <w:bCs/>
                <w:lang w:val="el-GR"/>
              </w:rPr>
            </w:pPr>
            <w:r w:rsidRPr="00FC0C14">
              <w:rPr>
                <w:rFonts w:asciiTheme="minorHAnsi" w:hAnsiTheme="minorHAnsi" w:cs="Tahoma"/>
                <w:b/>
                <w:bCs/>
                <w:szCs w:val="22"/>
                <w:lang w:val="el-GR"/>
              </w:rPr>
              <w:t>05801</w:t>
            </w:r>
          </w:p>
        </w:tc>
        <w:tc>
          <w:tcPr>
            <w:tcW w:w="70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34114" w:rsidRPr="00FC0C14" w:rsidRDefault="00734114" w:rsidP="00434AB7">
            <w:pPr>
              <w:ind w:left="0"/>
              <w:jc w:val="left"/>
              <w:rPr>
                <w:rFonts w:asciiTheme="minorHAnsi" w:hAnsiTheme="minorHAnsi" w:cs="Tahoma"/>
                <w:b/>
                <w:lang w:val="el-GR"/>
              </w:rPr>
            </w:pPr>
            <w:r w:rsidRPr="00FC0C14">
              <w:rPr>
                <w:rFonts w:asciiTheme="minorHAnsi" w:hAnsiTheme="minorHAnsi" w:cs="Tahoma"/>
                <w:b/>
                <w:szCs w:val="22"/>
                <w:lang w:val="el-GR"/>
              </w:rPr>
              <w:t>Επιστημονικές δημοσιεύσεις σε διεθνή περιοδικά με αξιολόγηση ή σε διεθνή συνέδρια με αξιολόγηση (</w:t>
            </w:r>
            <w:r w:rsidRPr="00FC0C14">
              <w:rPr>
                <w:rFonts w:asciiTheme="minorHAnsi" w:hAnsiTheme="minorHAnsi" w:cs="Tahoma"/>
                <w:b/>
                <w:szCs w:val="22"/>
              </w:rPr>
              <w:t>peer</w:t>
            </w:r>
            <w:r w:rsidRPr="00FC0C14">
              <w:rPr>
                <w:rFonts w:asciiTheme="minorHAnsi" w:hAnsiTheme="minorHAnsi" w:cs="Tahoma"/>
                <w:b/>
                <w:szCs w:val="22"/>
                <w:lang w:val="el-GR"/>
              </w:rPr>
              <w:t>-</w:t>
            </w:r>
            <w:r w:rsidRPr="00FC0C14">
              <w:rPr>
                <w:rFonts w:asciiTheme="minorHAnsi" w:hAnsiTheme="minorHAnsi" w:cs="Tahoma"/>
                <w:b/>
                <w:szCs w:val="22"/>
              </w:rPr>
              <w:t>reviewed</w:t>
            </w:r>
            <w:r w:rsidRPr="00FC0C14">
              <w:rPr>
                <w:rFonts w:asciiTheme="minorHAnsi" w:hAnsiTheme="minorHAnsi" w:cs="Tahoma"/>
                <w:b/>
                <w:szCs w:val="22"/>
                <w:lang w:val="el-GR"/>
              </w:rPr>
              <w:t>)</w:t>
            </w:r>
          </w:p>
          <w:p w:rsidR="00BE45A3" w:rsidRPr="00FC0C14" w:rsidRDefault="00BE45A3" w:rsidP="00434AB7">
            <w:pPr>
              <w:ind w:left="0"/>
              <w:rPr>
                <w:rFonts w:asciiTheme="minorHAnsi" w:hAnsiTheme="minorHAnsi"/>
                <w:lang w:val="el-GR"/>
              </w:rPr>
            </w:pPr>
            <w:r w:rsidRPr="00FC0C14">
              <w:rPr>
                <w:rFonts w:asciiTheme="minorHAnsi" w:hAnsiTheme="minorHAnsi"/>
                <w:szCs w:val="22"/>
                <w:lang w:val="el-GR"/>
              </w:rPr>
              <w:t xml:space="preserve">Ο δείκτης μετρά τον αριθμό των δημοσιεύσεων σε διεθνή έγκριτα επιστημονικά περιοδικά που χρησιμοποιούν κριτές διεθνούς ακαδημαϊκού κύρους. </w:t>
            </w:r>
          </w:p>
        </w:tc>
        <w:tc>
          <w:tcPr>
            <w:tcW w:w="6096" w:type="dxa"/>
            <w:tcBorders>
              <w:top w:val="nil"/>
              <w:left w:val="nil"/>
              <w:bottom w:val="single" w:sz="4" w:space="0" w:color="auto"/>
              <w:right w:val="single" w:sz="8" w:space="0" w:color="auto"/>
            </w:tcBorders>
          </w:tcPr>
          <w:p w:rsidR="00FC0C14" w:rsidRPr="00FC0C14" w:rsidRDefault="00FC0C14" w:rsidP="00434A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heme="minorHAnsi" w:hAnsiTheme="minorHAnsi" w:cs="Courier New"/>
                <w:b/>
                <w:color w:val="212121"/>
                <w:lang w:val="en-US" w:eastAsia="el-GR"/>
              </w:rPr>
            </w:pPr>
            <w:r w:rsidRPr="00FC0C14">
              <w:rPr>
                <w:rFonts w:asciiTheme="minorHAnsi" w:hAnsiTheme="minorHAnsi" w:cs="Courier New"/>
                <w:b/>
                <w:color w:val="212121"/>
                <w:szCs w:val="22"/>
                <w:lang w:eastAsia="el-GR"/>
              </w:rPr>
              <w:t xml:space="preserve">Scientific publications in international peer-reviewed </w:t>
            </w:r>
            <w:r w:rsidRPr="00572834">
              <w:rPr>
                <w:rFonts w:asciiTheme="minorHAnsi" w:hAnsiTheme="minorHAnsi" w:cs="Courier New"/>
                <w:b/>
                <w:color w:val="212121"/>
                <w:szCs w:val="22"/>
                <w:lang w:eastAsia="el-GR"/>
              </w:rPr>
              <w:t xml:space="preserve">journals </w:t>
            </w:r>
            <w:r w:rsidRPr="00FC0C14">
              <w:rPr>
                <w:rFonts w:asciiTheme="minorHAnsi" w:hAnsiTheme="minorHAnsi" w:cs="Courier New"/>
                <w:b/>
                <w:color w:val="212121"/>
                <w:szCs w:val="22"/>
                <w:lang w:eastAsia="el-GR"/>
              </w:rPr>
              <w:t>or international conferences peer-reviewed evaluation</w:t>
            </w:r>
          </w:p>
          <w:p w:rsidR="00FC0C14" w:rsidRPr="00FC0C14" w:rsidRDefault="00FC0C14" w:rsidP="00434AB7">
            <w:pPr>
              <w:ind w:left="0"/>
              <w:jc w:val="left"/>
              <w:rPr>
                <w:rFonts w:asciiTheme="minorHAnsi" w:hAnsiTheme="minorHAnsi" w:cs="Tahoma"/>
                <w:lang w:val="en-US"/>
              </w:rPr>
            </w:pPr>
            <w:r w:rsidRPr="00FC0C14">
              <w:rPr>
                <w:rFonts w:asciiTheme="minorHAnsi" w:hAnsiTheme="minorHAnsi" w:cs="Tahoma"/>
                <w:szCs w:val="22"/>
                <w:lang w:val="en-US"/>
              </w:rPr>
              <w:t>Number of publications falling in the above categories</w:t>
            </w:r>
            <w:r w:rsidR="003E3AEF">
              <w:rPr>
                <w:rFonts w:asciiTheme="minorHAnsi" w:hAnsiTheme="minorHAnsi" w:cs="Tahoma"/>
                <w:szCs w:val="22"/>
                <w:lang w:val="en-US"/>
              </w:rPr>
              <w:t>, reviewed by internationally acclaimed reviewers</w:t>
            </w:r>
          </w:p>
        </w:tc>
      </w:tr>
    </w:tbl>
    <w:p w:rsidR="00741B8C" w:rsidRPr="00B629BD" w:rsidRDefault="00126488" w:rsidP="00434AB7">
      <w:pPr>
        <w:rPr>
          <w:rFonts w:asciiTheme="minorHAnsi" w:hAnsiTheme="minorHAnsi"/>
          <w:szCs w:val="22"/>
          <w:lang w:val="en-US"/>
        </w:rPr>
      </w:pPr>
    </w:p>
    <w:p w:rsidR="00734114" w:rsidRPr="00B629BD" w:rsidRDefault="00734114" w:rsidP="00434AB7">
      <w:pPr>
        <w:ind w:left="0"/>
        <w:jc w:val="left"/>
        <w:rPr>
          <w:rFonts w:asciiTheme="minorHAnsi" w:hAnsiTheme="minorHAnsi"/>
          <w:szCs w:val="22"/>
          <w:lang w:val="en-US"/>
        </w:rPr>
      </w:pPr>
      <w:bookmarkStart w:id="0" w:name="_GoBack"/>
      <w:bookmarkEnd w:id="0"/>
    </w:p>
    <w:sectPr w:rsidR="00734114" w:rsidRPr="00B629BD" w:rsidSect="002D38F8">
      <w:foot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488" w:rsidRDefault="00126488" w:rsidP="00C868CF">
      <w:r>
        <w:separator/>
      </w:r>
    </w:p>
  </w:endnote>
  <w:endnote w:type="continuationSeparator" w:id="0">
    <w:p w:rsidR="00126488" w:rsidRDefault="00126488" w:rsidP="00C86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690279"/>
      <w:docPartObj>
        <w:docPartGallery w:val="Page Numbers (Bottom of Page)"/>
        <w:docPartUnique/>
      </w:docPartObj>
    </w:sdtPr>
    <w:sdtEndPr>
      <w:rPr>
        <w:noProof/>
      </w:rPr>
    </w:sdtEndPr>
    <w:sdtContent>
      <w:p w:rsidR="00C868CF" w:rsidRDefault="007C0A6D">
        <w:pPr>
          <w:pStyle w:val="Footer"/>
          <w:jc w:val="center"/>
        </w:pPr>
        <w:r>
          <w:fldChar w:fldCharType="begin"/>
        </w:r>
        <w:r w:rsidR="00C868CF">
          <w:instrText xml:space="preserve"> PAGE   \* MERGEFORMAT </w:instrText>
        </w:r>
        <w:r>
          <w:fldChar w:fldCharType="separate"/>
        </w:r>
        <w:r w:rsidR="000E629D">
          <w:rPr>
            <w:noProof/>
          </w:rPr>
          <w:t>1</w:t>
        </w:r>
        <w:r>
          <w:rPr>
            <w:noProof/>
          </w:rPr>
          <w:fldChar w:fldCharType="end"/>
        </w:r>
      </w:p>
    </w:sdtContent>
  </w:sdt>
  <w:p w:rsidR="00C868CF" w:rsidRDefault="00C86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488" w:rsidRDefault="00126488" w:rsidP="00C868CF">
      <w:r>
        <w:separator/>
      </w:r>
    </w:p>
  </w:footnote>
  <w:footnote w:type="continuationSeparator" w:id="0">
    <w:p w:rsidR="00126488" w:rsidRDefault="00126488" w:rsidP="00C86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F5173"/>
    <w:multiLevelType w:val="hybridMultilevel"/>
    <w:tmpl w:val="D5E42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D38F8"/>
    <w:rsid w:val="000E629D"/>
    <w:rsid w:val="00107404"/>
    <w:rsid w:val="00110B28"/>
    <w:rsid w:val="00126488"/>
    <w:rsid w:val="00141AC5"/>
    <w:rsid w:val="00186515"/>
    <w:rsid w:val="002642E5"/>
    <w:rsid w:val="002D38F8"/>
    <w:rsid w:val="003E3AEF"/>
    <w:rsid w:val="003F700C"/>
    <w:rsid w:val="00434AB7"/>
    <w:rsid w:val="004B0887"/>
    <w:rsid w:val="004E6769"/>
    <w:rsid w:val="00572834"/>
    <w:rsid w:val="00596EC0"/>
    <w:rsid w:val="005C499B"/>
    <w:rsid w:val="00692791"/>
    <w:rsid w:val="00734114"/>
    <w:rsid w:val="007C0A6D"/>
    <w:rsid w:val="007E5D12"/>
    <w:rsid w:val="007F2877"/>
    <w:rsid w:val="00815A36"/>
    <w:rsid w:val="0090461D"/>
    <w:rsid w:val="00967404"/>
    <w:rsid w:val="009B2387"/>
    <w:rsid w:val="00B01270"/>
    <w:rsid w:val="00B629BD"/>
    <w:rsid w:val="00BE1672"/>
    <w:rsid w:val="00BE45A3"/>
    <w:rsid w:val="00C147B4"/>
    <w:rsid w:val="00C639CF"/>
    <w:rsid w:val="00C756BA"/>
    <w:rsid w:val="00C868CF"/>
    <w:rsid w:val="00E467D9"/>
    <w:rsid w:val="00FC0C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F8"/>
    <w:pPr>
      <w:spacing w:after="0" w:line="240" w:lineRule="auto"/>
      <w:ind w:left="340"/>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114"/>
    <w:rPr>
      <w:rFonts w:ascii="Tahoma" w:hAnsi="Tahoma" w:cs="Tahoma"/>
      <w:sz w:val="16"/>
      <w:szCs w:val="16"/>
    </w:rPr>
  </w:style>
  <w:style w:type="character" w:customStyle="1" w:styleId="BalloonTextChar">
    <w:name w:val="Balloon Text Char"/>
    <w:basedOn w:val="DefaultParagraphFont"/>
    <w:link w:val="BalloonText"/>
    <w:uiPriority w:val="99"/>
    <w:semiHidden/>
    <w:rsid w:val="00734114"/>
    <w:rPr>
      <w:rFonts w:ascii="Tahoma" w:eastAsia="Times New Roman" w:hAnsi="Tahoma" w:cs="Tahoma"/>
      <w:sz w:val="16"/>
      <w:szCs w:val="16"/>
      <w:lang w:val="en-GB"/>
    </w:rPr>
  </w:style>
  <w:style w:type="paragraph" w:styleId="ListParagraph">
    <w:name w:val="List Paragraph"/>
    <w:basedOn w:val="Normal"/>
    <w:uiPriority w:val="34"/>
    <w:qFormat/>
    <w:rsid w:val="00BE45A3"/>
    <w:pPr>
      <w:spacing w:after="200" w:line="276" w:lineRule="auto"/>
      <w:ind w:left="720"/>
      <w:contextualSpacing/>
      <w:jc w:val="left"/>
    </w:pPr>
    <w:rPr>
      <w:rFonts w:asciiTheme="minorHAnsi" w:eastAsiaTheme="minorHAnsi" w:hAnsiTheme="minorHAnsi" w:cstheme="minorBidi"/>
      <w:szCs w:val="22"/>
      <w:lang w:val="el-GR"/>
    </w:rPr>
  </w:style>
  <w:style w:type="paragraph" w:styleId="HTMLPreformatted">
    <w:name w:val="HTML Preformatted"/>
    <w:basedOn w:val="Normal"/>
    <w:link w:val="HTMLPreformattedChar"/>
    <w:uiPriority w:val="99"/>
    <w:semiHidden/>
    <w:unhideWhenUsed/>
    <w:rsid w:val="00FC0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FC0C14"/>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C868CF"/>
    <w:pPr>
      <w:tabs>
        <w:tab w:val="center" w:pos="4153"/>
        <w:tab w:val="right" w:pos="8306"/>
      </w:tabs>
    </w:pPr>
  </w:style>
  <w:style w:type="character" w:customStyle="1" w:styleId="HeaderChar">
    <w:name w:val="Header Char"/>
    <w:basedOn w:val="DefaultParagraphFont"/>
    <w:link w:val="Header"/>
    <w:uiPriority w:val="99"/>
    <w:rsid w:val="00C868CF"/>
    <w:rPr>
      <w:rFonts w:ascii="Arial" w:eastAsia="Times New Roman" w:hAnsi="Arial" w:cs="Times New Roman"/>
      <w:szCs w:val="24"/>
      <w:lang w:val="en-GB"/>
    </w:rPr>
  </w:style>
  <w:style w:type="paragraph" w:styleId="Footer">
    <w:name w:val="footer"/>
    <w:basedOn w:val="Normal"/>
    <w:link w:val="FooterChar"/>
    <w:uiPriority w:val="99"/>
    <w:unhideWhenUsed/>
    <w:rsid w:val="00C868CF"/>
    <w:pPr>
      <w:tabs>
        <w:tab w:val="center" w:pos="4153"/>
        <w:tab w:val="right" w:pos="8306"/>
      </w:tabs>
    </w:pPr>
  </w:style>
  <w:style w:type="character" w:customStyle="1" w:styleId="FooterChar">
    <w:name w:val="Footer Char"/>
    <w:basedOn w:val="DefaultParagraphFont"/>
    <w:link w:val="Footer"/>
    <w:uiPriority w:val="99"/>
    <w:rsid w:val="00C868CF"/>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F8"/>
    <w:pPr>
      <w:spacing w:after="0" w:line="240" w:lineRule="auto"/>
      <w:ind w:left="340"/>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114"/>
    <w:rPr>
      <w:rFonts w:ascii="Tahoma" w:hAnsi="Tahoma" w:cs="Tahoma"/>
      <w:sz w:val="16"/>
      <w:szCs w:val="16"/>
    </w:rPr>
  </w:style>
  <w:style w:type="character" w:customStyle="1" w:styleId="BalloonTextChar">
    <w:name w:val="Balloon Text Char"/>
    <w:basedOn w:val="DefaultParagraphFont"/>
    <w:link w:val="BalloonText"/>
    <w:uiPriority w:val="99"/>
    <w:semiHidden/>
    <w:rsid w:val="00734114"/>
    <w:rPr>
      <w:rFonts w:ascii="Tahoma" w:eastAsia="Times New Roman" w:hAnsi="Tahoma" w:cs="Tahoma"/>
      <w:sz w:val="16"/>
      <w:szCs w:val="16"/>
      <w:lang w:val="en-GB"/>
    </w:rPr>
  </w:style>
  <w:style w:type="paragraph" w:styleId="ListParagraph">
    <w:name w:val="List Paragraph"/>
    <w:basedOn w:val="Normal"/>
    <w:uiPriority w:val="34"/>
    <w:qFormat/>
    <w:rsid w:val="00BE45A3"/>
    <w:pPr>
      <w:spacing w:after="200" w:line="276" w:lineRule="auto"/>
      <w:ind w:left="720"/>
      <w:contextualSpacing/>
      <w:jc w:val="left"/>
    </w:pPr>
    <w:rPr>
      <w:rFonts w:asciiTheme="minorHAnsi" w:eastAsiaTheme="minorHAnsi" w:hAnsiTheme="minorHAnsi" w:cstheme="minorBidi"/>
      <w:szCs w:val="22"/>
      <w:lang w:val="el-GR"/>
    </w:rPr>
  </w:style>
  <w:style w:type="paragraph" w:styleId="HTMLPreformatted">
    <w:name w:val="HTML Preformatted"/>
    <w:basedOn w:val="Normal"/>
    <w:link w:val="HTMLPreformattedChar"/>
    <w:uiPriority w:val="99"/>
    <w:semiHidden/>
    <w:unhideWhenUsed/>
    <w:rsid w:val="00FC0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FC0C14"/>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C868CF"/>
    <w:pPr>
      <w:tabs>
        <w:tab w:val="center" w:pos="4153"/>
        <w:tab w:val="right" w:pos="8306"/>
      </w:tabs>
    </w:pPr>
  </w:style>
  <w:style w:type="character" w:customStyle="1" w:styleId="HeaderChar">
    <w:name w:val="Header Char"/>
    <w:basedOn w:val="DefaultParagraphFont"/>
    <w:link w:val="Header"/>
    <w:uiPriority w:val="99"/>
    <w:rsid w:val="00C868CF"/>
    <w:rPr>
      <w:rFonts w:ascii="Arial" w:eastAsia="Times New Roman" w:hAnsi="Arial" w:cs="Times New Roman"/>
      <w:szCs w:val="24"/>
      <w:lang w:val="en-GB"/>
    </w:rPr>
  </w:style>
  <w:style w:type="paragraph" w:styleId="Footer">
    <w:name w:val="footer"/>
    <w:basedOn w:val="Normal"/>
    <w:link w:val="FooterChar"/>
    <w:uiPriority w:val="99"/>
    <w:unhideWhenUsed/>
    <w:rsid w:val="00C868CF"/>
    <w:pPr>
      <w:tabs>
        <w:tab w:val="center" w:pos="4153"/>
        <w:tab w:val="right" w:pos="8306"/>
      </w:tabs>
    </w:pPr>
  </w:style>
  <w:style w:type="character" w:customStyle="1" w:styleId="FooterChar">
    <w:name w:val="Footer Char"/>
    <w:basedOn w:val="DefaultParagraphFont"/>
    <w:link w:val="Footer"/>
    <w:uiPriority w:val="99"/>
    <w:rsid w:val="00C868CF"/>
    <w:rPr>
      <w:rFonts w:ascii="Arial" w:eastAsia="Times New Roman" w:hAnsi="Arial" w:cs="Times New Roman"/>
      <w:szCs w:val="24"/>
      <w:lang w:val="en-GB"/>
    </w:rPr>
  </w:style>
</w:styles>
</file>

<file path=word/webSettings.xml><?xml version="1.0" encoding="utf-8"?>
<w:webSettings xmlns:r="http://schemas.openxmlformats.org/officeDocument/2006/relationships" xmlns:w="http://schemas.openxmlformats.org/wordprocessingml/2006/main">
  <w:divs>
    <w:div w:id="237905865">
      <w:bodyDiv w:val="1"/>
      <w:marLeft w:val="0"/>
      <w:marRight w:val="0"/>
      <w:marTop w:val="0"/>
      <w:marBottom w:val="0"/>
      <w:divBdr>
        <w:top w:val="none" w:sz="0" w:space="0" w:color="auto"/>
        <w:left w:val="none" w:sz="0" w:space="0" w:color="auto"/>
        <w:bottom w:val="none" w:sz="0" w:space="0" w:color="auto"/>
        <w:right w:val="none" w:sz="0" w:space="0" w:color="auto"/>
      </w:divBdr>
    </w:div>
    <w:div w:id="4098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AC76-7D48-4417-BDC7-3C483415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1973</Words>
  <Characters>10655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ΔΡΙΤΣΑΣ ΜΙΧΑΛΗΣ</dc:creator>
  <cp:lastModifiedBy>grigora.o</cp:lastModifiedBy>
  <cp:revision>5</cp:revision>
  <dcterms:created xsi:type="dcterms:W3CDTF">2016-11-11T13:40:00Z</dcterms:created>
  <dcterms:modified xsi:type="dcterms:W3CDTF">2016-12-01T10:15:00Z</dcterms:modified>
</cp:coreProperties>
</file>