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E63D" w14:textId="09A435F7" w:rsidR="00682B60" w:rsidRPr="00425F64" w:rsidRDefault="00682B60">
      <w:pPr>
        <w:rPr>
          <w:rFonts w:ascii="Tahoma" w:hAnsi="Tahoma" w:cs="Tahoma"/>
          <w:b/>
          <w:sz w:val="20"/>
          <w:szCs w:val="20"/>
        </w:rPr>
      </w:pPr>
      <w:r w:rsidRPr="00425F64">
        <w:rPr>
          <w:rFonts w:ascii="Tahoma" w:hAnsi="Tahoma" w:cs="Tahoma"/>
          <w:b/>
          <w:sz w:val="20"/>
          <w:szCs w:val="20"/>
        </w:rPr>
        <w:t>ΠΑΡΑΡΤΗΜΑ ΧI : ΟΡΙΣΜΟΙ ΔΕΙΚΤΩΝ ΤΗΣ ΔΡΑΣΗΣ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13"/>
        <w:gridCol w:w="9351"/>
      </w:tblGrid>
      <w:tr w:rsidR="00682B60" w:rsidRPr="00425F64" w14:paraId="237BC9AA" w14:textId="77777777" w:rsidTr="00194C59">
        <w:tc>
          <w:tcPr>
            <w:tcW w:w="14142" w:type="dxa"/>
            <w:gridSpan w:val="3"/>
          </w:tcPr>
          <w:p w14:paraId="77D78E52" w14:textId="77777777" w:rsidR="00682B60" w:rsidRPr="00425F64" w:rsidRDefault="00682B60" w:rsidP="00682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5F64">
              <w:rPr>
                <w:rFonts w:ascii="Tahoma" w:hAnsi="Tahoma" w:cs="Tahoma"/>
                <w:b/>
                <w:sz w:val="20"/>
                <w:szCs w:val="20"/>
              </w:rPr>
              <w:t>ΔΕΙΚΤΕΣ ΕΤΠΑ ΔΡΑΣΗΣ</w:t>
            </w:r>
          </w:p>
        </w:tc>
      </w:tr>
      <w:tr w:rsidR="00682B60" w:rsidRPr="00425F64" w14:paraId="2BC3D08E" w14:textId="77777777" w:rsidTr="00194C59">
        <w:tc>
          <w:tcPr>
            <w:tcW w:w="1384" w:type="dxa"/>
          </w:tcPr>
          <w:p w14:paraId="5EF44B8F" w14:textId="77777777" w:rsidR="00682B60" w:rsidRPr="00425F64" w:rsidRDefault="00682B60" w:rsidP="00682B60">
            <w:pPr>
              <w:pStyle w:val="a4"/>
              <w:spacing w:before="40" w:after="40" w:line="240" w:lineRule="auto"/>
              <w:ind w:left="338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425F64">
              <w:rPr>
                <w:rFonts w:ascii="Tahoma" w:hAnsi="Tahoma" w:cs="Tahoma"/>
                <w:b/>
                <w:szCs w:val="20"/>
                <w:lang w:val="el-GR"/>
              </w:rPr>
              <w:t>Κωδικός</w:t>
            </w:r>
          </w:p>
        </w:tc>
        <w:tc>
          <w:tcPr>
            <w:tcW w:w="3247" w:type="dxa"/>
          </w:tcPr>
          <w:p w14:paraId="5D038DC1" w14:textId="77777777" w:rsidR="00682B60" w:rsidRPr="00425F64" w:rsidRDefault="00682B60" w:rsidP="00682B60">
            <w:pPr>
              <w:pStyle w:val="a4"/>
              <w:spacing w:before="40" w:after="40" w:line="240" w:lineRule="auto"/>
              <w:ind w:left="338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425F64">
              <w:rPr>
                <w:rFonts w:ascii="Tahoma" w:hAnsi="Tahoma" w:cs="Tahoma"/>
                <w:b/>
                <w:szCs w:val="20"/>
                <w:lang w:val="el-GR"/>
              </w:rPr>
              <w:t>Δείκτης</w:t>
            </w:r>
          </w:p>
        </w:tc>
        <w:tc>
          <w:tcPr>
            <w:tcW w:w="9511" w:type="dxa"/>
          </w:tcPr>
          <w:p w14:paraId="6C621906" w14:textId="77777777" w:rsidR="00682B60" w:rsidRPr="00425F64" w:rsidRDefault="00682B60" w:rsidP="00682B60">
            <w:pPr>
              <w:pStyle w:val="a4"/>
              <w:spacing w:before="40" w:after="40" w:line="240" w:lineRule="auto"/>
              <w:ind w:left="338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425F64">
              <w:rPr>
                <w:rFonts w:ascii="Tahoma" w:hAnsi="Tahoma" w:cs="Tahoma"/>
                <w:b/>
                <w:szCs w:val="20"/>
                <w:lang w:val="el-GR"/>
              </w:rPr>
              <w:t>Ορισμοί δεικτών βάσει Καν. ΕΕ 1301/2013</w:t>
            </w:r>
          </w:p>
          <w:p w14:paraId="0A66FB50" w14:textId="77777777" w:rsidR="00682B60" w:rsidRPr="00425F64" w:rsidRDefault="00682B60" w:rsidP="00682B60">
            <w:pPr>
              <w:pStyle w:val="a4"/>
              <w:spacing w:before="40" w:after="40" w:line="240" w:lineRule="auto"/>
              <w:ind w:left="338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</w:tc>
      </w:tr>
      <w:tr w:rsidR="006F0DDE" w:rsidRPr="00425F64" w14:paraId="1D3D42A6" w14:textId="77777777" w:rsidTr="00194C59">
        <w:tc>
          <w:tcPr>
            <w:tcW w:w="1384" w:type="dxa"/>
          </w:tcPr>
          <w:p w14:paraId="12249CAC" w14:textId="77777777" w:rsidR="00640743" w:rsidRPr="00425F64" w:rsidRDefault="00640743" w:rsidP="00640743">
            <w:pPr>
              <w:pStyle w:val="a4"/>
              <w:spacing w:before="40" w:after="40" w:line="240" w:lineRule="auto"/>
              <w:ind w:left="338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425F64">
              <w:rPr>
                <w:rFonts w:ascii="Tahoma" w:hAnsi="Tahoma" w:cs="Tahoma"/>
                <w:szCs w:val="20"/>
                <w:lang w:val="el-GR"/>
              </w:rPr>
              <w:t xml:space="preserve">CO01  </w:t>
            </w:r>
          </w:p>
          <w:p w14:paraId="219B3818" w14:textId="77777777" w:rsidR="005D0837" w:rsidRPr="00425F64" w:rsidRDefault="005D0837" w:rsidP="006407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AC3C0BE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Παραγωγική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επένδυση: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Αριθμός</w:t>
            </w:r>
          </w:p>
          <w:p w14:paraId="22C61291" w14:textId="77777777" w:rsidR="005D0837" w:rsidRPr="00425F64" w:rsidRDefault="00425F64" w:rsidP="00425F64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</w:t>
            </w:r>
            <w:r w:rsidR="005D0837" w:rsidRPr="00425F64">
              <w:rPr>
                <w:rFonts w:ascii="Tahoma" w:hAnsi="Tahoma" w:cs="Tahoma"/>
                <w:sz w:val="20"/>
                <w:szCs w:val="20"/>
              </w:rPr>
              <w:t>πιχειρήσεων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0837" w:rsidRPr="00425F64">
              <w:rPr>
                <w:rFonts w:ascii="Tahoma" w:hAnsi="Tahoma" w:cs="Tahoma"/>
                <w:sz w:val="20"/>
                <w:szCs w:val="20"/>
              </w:rPr>
              <w:t>που ενισχύονται</w:t>
            </w:r>
          </w:p>
        </w:tc>
        <w:tc>
          <w:tcPr>
            <w:tcW w:w="9511" w:type="dxa"/>
          </w:tcPr>
          <w:p w14:paraId="23C2FA7A" w14:textId="77777777" w:rsidR="00640743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Αριθμός επιχειρήσεων που λαμβάνουν στήριξη οποιασδήποτε μορφής από το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ΕΤΠΑ (είτε η στήριξη αφορά κρατική ενίσχυση είτε όχι).</w:t>
            </w:r>
          </w:p>
          <w:p w14:paraId="0A0FDDD6" w14:textId="77777777" w:rsidR="00640743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Επιχείρηση: Οργανισμός που παράγει αγαθά ή υπηρεσίες για την ικανοποίηση των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αναγκών της αγοράς προκειμένου να αποκτήσει κέρδος. (Βάσει του Κανονισμού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651/2014 ως επιχείρηση θεωρείται κάθε οντότητα, ανεξάρτητα από τη νομική της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μορφή, που ασκεί οικονομική δραστηριότητα).</w:t>
            </w:r>
          </w:p>
          <w:p w14:paraId="1DBE011C" w14:textId="77777777" w:rsidR="005D0837" w:rsidRPr="00425F64" w:rsidRDefault="00640743" w:rsidP="00055318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Ο ΑΦΜ της επιχείρησης αποτελεί το στοιχείο αναφοράς με βάση το οποίο γίνεται η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αποφυγή της πολλαπλής μέτρησης των επιχειρήσεων που επιχορηγούνται.</w:t>
            </w:r>
          </w:p>
        </w:tc>
      </w:tr>
      <w:tr w:rsidR="006F0DDE" w:rsidRPr="00425F64" w14:paraId="7ECE48E9" w14:textId="77777777" w:rsidTr="00194C59">
        <w:tc>
          <w:tcPr>
            <w:tcW w:w="1384" w:type="dxa"/>
          </w:tcPr>
          <w:p w14:paraId="5232ABFA" w14:textId="77777777" w:rsidR="00640743" w:rsidRPr="00425F64" w:rsidRDefault="00640743" w:rsidP="00640743">
            <w:pPr>
              <w:pStyle w:val="a4"/>
              <w:spacing w:before="40" w:after="40" w:line="240" w:lineRule="auto"/>
              <w:ind w:left="338"/>
              <w:jc w:val="left"/>
              <w:rPr>
                <w:rFonts w:ascii="Tahoma" w:hAnsi="Tahoma" w:cs="Tahoma"/>
                <w:szCs w:val="20"/>
              </w:rPr>
            </w:pPr>
            <w:r w:rsidRPr="00425F64">
              <w:rPr>
                <w:rFonts w:ascii="Tahoma" w:hAnsi="Tahoma" w:cs="Tahoma"/>
                <w:szCs w:val="20"/>
                <w:lang w:val="el-GR"/>
              </w:rPr>
              <w:t xml:space="preserve">CO02  </w:t>
            </w:r>
          </w:p>
          <w:p w14:paraId="7CFC6F35" w14:textId="77777777" w:rsidR="005D0837" w:rsidRPr="00425F64" w:rsidRDefault="005D0837" w:rsidP="006407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B4338D7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Παραγωγική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επένδυση: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Αριθμός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επιχειρήσεων</w:t>
            </w:r>
          </w:p>
          <w:p w14:paraId="5CE88238" w14:textId="77777777" w:rsidR="005D0837" w:rsidRPr="00425F64" w:rsidRDefault="005D0837" w:rsidP="00425F64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που λαμβάνουν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επιχορηγήσεις</w:t>
            </w:r>
          </w:p>
        </w:tc>
        <w:tc>
          <w:tcPr>
            <w:tcW w:w="9511" w:type="dxa"/>
          </w:tcPr>
          <w:p w14:paraId="5ED890C2" w14:textId="77777777" w:rsidR="00640743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Αριθμός επιχειρήσεων που λαμβάνουν στήριξη σε μορφή μη επιστρεπτέας άμεσης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χρηματοδοτικής στήριξης (ήτοι επιχορηγήσεις) με την προϋπόθεση της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ολοκλήρωσης των έργων. (Υποσύνολο του Δείκτη CO01 «Αριθμός επιχειρήσεων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που λαμβάνουν στήριξη).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Στη συγκεκριμένη δράση CΟ01 και CO02 ταυτίζονται.</w:t>
            </w:r>
          </w:p>
          <w:p w14:paraId="35364A54" w14:textId="77777777" w:rsidR="005D0837" w:rsidRPr="00425F64" w:rsidRDefault="00640743" w:rsidP="00055318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Ο ΑΦΜ της επιχείρησης αποτελεί το στοιχείο αναφοράς με βάση το οποίο γίνεται η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αποφυγή της πολλαπλής μέτρησης των επιχειρήσεων που επιχορηγούνται.</w:t>
            </w:r>
          </w:p>
        </w:tc>
      </w:tr>
      <w:tr w:rsidR="006F0DDE" w:rsidRPr="00425F64" w14:paraId="5F31A463" w14:textId="77777777" w:rsidTr="00194C59">
        <w:tc>
          <w:tcPr>
            <w:tcW w:w="1384" w:type="dxa"/>
          </w:tcPr>
          <w:p w14:paraId="4AD00F06" w14:textId="77777777" w:rsidR="00640743" w:rsidRPr="00425F64" w:rsidRDefault="00640743" w:rsidP="00640743">
            <w:pPr>
              <w:pStyle w:val="a4"/>
              <w:spacing w:before="40" w:after="40" w:line="240" w:lineRule="auto"/>
              <w:ind w:left="338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425F64">
              <w:rPr>
                <w:rFonts w:ascii="Tahoma" w:hAnsi="Tahoma" w:cs="Tahoma"/>
                <w:szCs w:val="20"/>
                <w:lang w:val="el-GR"/>
              </w:rPr>
              <w:t xml:space="preserve">CO05  </w:t>
            </w:r>
          </w:p>
          <w:p w14:paraId="2ADD471A" w14:textId="77777777" w:rsidR="005D0837" w:rsidRPr="00425F64" w:rsidRDefault="005D0837" w:rsidP="006407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5FD75D5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Παραγωγική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επένδυση: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Αριθμός νέων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επιχειρήσεων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που </w:t>
            </w:r>
            <w:r w:rsidR="00047B9F">
              <w:rPr>
                <w:rFonts w:ascii="Tahoma" w:hAnsi="Tahoma" w:cs="Tahoma"/>
                <w:sz w:val="20"/>
                <w:szCs w:val="20"/>
              </w:rPr>
              <w:t>ε</w:t>
            </w:r>
            <w:r w:rsidRPr="00425F64">
              <w:rPr>
                <w:rFonts w:ascii="Tahoma" w:hAnsi="Tahoma" w:cs="Tahoma"/>
                <w:sz w:val="20"/>
                <w:szCs w:val="20"/>
              </w:rPr>
              <w:t>νισχύονται</w:t>
            </w:r>
          </w:p>
          <w:p w14:paraId="679E277F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5E190A" w14:textId="5C608A7E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1" w:type="dxa"/>
          </w:tcPr>
          <w:p w14:paraId="69F36FAB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Υποσύνολο του Δείκτη CO01 «Αριθμός επιχειρήσεων που λαμβάνουν στήριξη».</w:t>
            </w:r>
          </w:p>
          <w:p w14:paraId="3B0FE78F" w14:textId="77777777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Αριθμός επιχειρήσεων που δημιουργήθηκαν λαμβάνοντας χρηματοδοτική ενίσχυση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ή στήριξη (συμβουλευτικές υπηρεσίες, καθοδήγηση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κλπ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>) από το ΕΤΠΑ (π.χ. μέσα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χρηματοοικονομικής τεχνικής) ή μονάδων/δομών παροχής στήριξης στις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επιχειρήσεις που χρηματοδοτήθηκαν από το ΕΤΠΑ (π.χ. θερμοκοιτίδες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επιχειρήσεων). Μία επιχείρηση δεν θεωρείται νέα, εάν αλλάξει μόνο η νομική της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μορφή.</w:t>
            </w:r>
          </w:p>
          <w:p w14:paraId="6C333D20" w14:textId="66C296E5" w:rsidR="005D0837" w:rsidRPr="00425F64" w:rsidRDefault="005D0837" w:rsidP="005D0837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 xml:space="preserve">Στην παρούσα δράση, ως νέα εκλαμβάνεται η επιχείρηση που δεν υπήρχε </w:t>
            </w:r>
            <w:r w:rsidR="002D1D93">
              <w:rPr>
                <w:rFonts w:ascii="Tahoma" w:hAnsi="Tahoma" w:cs="Tahoma"/>
                <w:sz w:val="20"/>
                <w:szCs w:val="20"/>
              </w:rPr>
              <w:t>τρία</w:t>
            </w:r>
            <w:bookmarkStart w:id="0" w:name="_GoBack"/>
            <w:bookmarkEnd w:id="0"/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χρόνια πριν από την έναρξη του έργου.</w:t>
            </w:r>
          </w:p>
          <w:p w14:paraId="04BCEF36" w14:textId="77777777" w:rsidR="005D0837" w:rsidRPr="00425F64" w:rsidRDefault="005D0837" w:rsidP="00055318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Ο ΑΦΜ της επιχείρησης αποτελεί το στοιχείο αναφοράς με βάση το οποίο γίνεται η</w:t>
            </w:r>
            <w:r w:rsidR="00055318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αποφυγή της πολλαπλής μέτρησης των επιχειρήσεων που επιχορηγούνται.</w:t>
            </w:r>
          </w:p>
        </w:tc>
      </w:tr>
      <w:tr w:rsidR="00047B9F" w:rsidRPr="00425F64" w14:paraId="725CECEA" w14:textId="77777777" w:rsidTr="00194C59">
        <w:tc>
          <w:tcPr>
            <w:tcW w:w="1384" w:type="dxa"/>
          </w:tcPr>
          <w:p w14:paraId="0E7C4588" w14:textId="77777777" w:rsidR="00640743" w:rsidRPr="00425F64" w:rsidRDefault="00640743" w:rsidP="00640743">
            <w:pPr>
              <w:pStyle w:val="a4"/>
              <w:spacing w:before="40" w:after="40" w:line="240" w:lineRule="auto"/>
              <w:ind w:left="338"/>
              <w:jc w:val="left"/>
              <w:rPr>
                <w:rFonts w:ascii="Tahoma" w:hAnsi="Tahoma" w:cs="Tahoma"/>
                <w:szCs w:val="20"/>
              </w:rPr>
            </w:pPr>
            <w:r w:rsidRPr="00425F64">
              <w:rPr>
                <w:rFonts w:ascii="Tahoma" w:hAnsi="Tahoma" w:cs="Tahoma"/>
                <w:szCs w:val="20"/>
                <w:lang w:val="el-GR"/>
              </w:rPr>
              <w:t xml:space="preserve">CO24  </w:t>
            </w:r>
          </w:p>
          <w:p w14:paraId="50842488" w14:textId="77777777" w:rsidR="007A1050" w:rsidRPr="00425F64" w:rsidRDefault="007A1050" w:rsidP="006407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87A6319" w14:textId="77777777" w:rsidR="007A1050" w:rsidRPr="00425F64" w:rsidRDefault="007A1050" w:rsidP="00047B9F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Έρευνα και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καινοτομία: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Αριθμός νέων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ερευνητών σε</w:t>
            </w:r>
            <w:r w:rsid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οντότητες που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ενισχύονται</w:t>
            </w:r>
            <w:r w:rsidR="00047B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47B9F" w:rsidRPr="00047B9F">
              <w:rPr>
                <w:rFonts w:ascii="Tahoma" w:hAnsi="Tahoma" w:cs="Tahoma"/>
                <w:b/>
                <w:sz w:val="20"/>
                <w:szCs w:val="20"/>
              </w:rPr>
              <w:t>σε ισοδύναμα πλήρους χρόνου ΕΜΕ</w:t>
            </w:r>
            <w:r w:rsidR="00047B9F" w:rsidRPr="00047B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511" w:type="dxa"/>
          </w:tcPr>
          <w:p w14:paraId="0A38B34A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Μεικτές νέες θέσεις εργασίας (που δεν προϋπήρχαν) για την άμεση ενασχόληση με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Δραστηριότητες  Ε&amp; Α, σε ισοδύναμα πλήρους απασχόλησης. Κάθε θέση εργασίας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θα πρέπει να αποτελεί συνέπεια της υλοποίησης ή ολοκλήρωσης των έργων, θα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πρέπει να καλυφθεί (υφιστάμενες κενές θέσεις εργασίας δεν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προσμετρούνται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>) και</w:t>
            </w:r>
          </w:p>
          <w:p w14:paraId="3C42E571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θα πρέπει να αυξάνει το συνολικό αριθμό των ερευνητικών θέσεων εργασίας στον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οργανισμό. Προσωπικό υποστήριξης για Ε&amp;Α (δηλ. θέσεις εργασίας που δεν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σχετίζονται άμεσα με δραστηριότητες </w:t>
            </w: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Ε&amp;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Α) δεν συνυπολογίζεται. Ο δείκτης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εστιάζει στο απασχολούμενο προσωπικό, ενώ η υποστηριζόμενη οντότητα μπορεί</w:t>
            </w:r>
          </w:p>
          <w:p w14:paraId="6D68E56F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να είναι νέα ή υφιστάμενη.</w:t>
            </w:r>
          </w:p>
          <w:p w14:paraId="6C36B4CE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Μεικτές θέσεις εργασίας: Μεικτές θεωρούνται όλες οι θέσεις εργασίας που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δημιουργούνται ανεξαρτήτως του αν ο εργαζόμενος προέρχεται από το εσωτερικό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της οργανισμού (π.χ. εσωτερική μετακίνηση) ή έξω από τον οργανισμό, αρκεί να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συνεισφέρει άμεσα στην αύξηση των συνολικών ερευνητικών θέσεων εργασίας.</w:t>
            </w:r>
          </w:p>
          <w:p w14:paraId="09C328D1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Στην περίπτωση εσωτερικής μετακίνησης απαραίτητη προϋπόθεση για να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θεωρηθεί η θέση που καλύφθηκε με τη μετακίνηση ως νέα θέση εργασία, είναι να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καλυφθεί και εκείνη η θέση από όπου μετακινήθηκε ο εργαζόμενος.</w:t>
            </w:r>
          </w:p>
          <w:p w14:paraId="1F0195A5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Ισοδύναμα πλήρους απασχόλησης: η εργασία μπορεί να είναι πλήρης ή μερικής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απασχόλησης ή εποχική. Οι εποχικές και οι μερικής απασχόλησης θέσεις εργασίας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θα πρέπει να μετατρέπονται σε ισοδύναμα πλήρους απασχόλησης</w:t>
            </w:r>
          </w:p>
          <w:p w14:paraId="1AD6ABDE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χρησιμοποιώντας πρότυπα της Διεθνούς Οργάνωσης Εργασίας ή στατιστικά ή άλλα πρότυπα. Στο πεδίο της Ε&amp;</w:t>
            </w:r>
            <w:r w:rsidRPr="00425F64">
              <w:rPr>
                <w:rFonts w:ascii="Tahoma" w:hAnsi="Tahoma" w:cs="Tahoma"/>
                <w:sz w:val="20"/>
                <w:szCs w:val="20"/>
                <w:lang w:val="en-US"/>
              </w:rPr>
              <w:t>amp</w:t>
            </w:r>
            <w:r w:rsidRPr="00425F64">
              <w:rPr>
                <w:rFonts w:ascii="Tahoma" w:hAnsi="Tahoma" w:cs="Tahoma"/>
                <w:sz w:val="20"/>
                <w:szCs w:val="20"/>
              </w:rPr>
              <w:t>;Α η διάρκεια της εργασίας τείνει να είναι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μικρότερη και εξαρτάται κάθε φορά από το υλοποιούμενο έργο. Οι θέσεις</w:t>
            </w:r>
          </w:p>
          <w:p w14:paraId="388C1DB8" w14:textId="77777777" w:rsidR="007A1050" w:rsidRPr="00425F64" w:rsidRDefault="007A1050" w:rsidP="00DD08E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εργασίας που δημιουργούνται για διαφορετικά έργα θα πρέπει να προστίθενται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(υπό την προϋπόθεση ότι όλα τα έργα λαμβάνουν στήριξη), και αυτό δεν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θεωρείται ότι αποτελεί πολλαπλό υπολογισμό.</w:t>
            </w:r>
          </w:p>
        </w:tc>
      </w:tr>
      <w:tr w:rsidR="001E6B49" w:rsidRPr="00425F64" w14:paraId="188C8C5A" w14:textId="77777777" w:rsidTr="00194C59">
        <w:trPr>
          <w:trHeight w:val="1600"/>
        </w:trPr>
        <w:tc>
          <w:tcPr>
            <w:tcW w:w="1384" w:type="dxa"/>
          </w:tcPr>
          <w:p w14:paraId="78A7CCB8" w14:textId="77777777" w:rsidR="00BC15C2" w:rsidRPr="00194C59" w:rsidRDefault="00BC15C2" w:rsidP="0064074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884EB5" w14:textId="62447E22" w:rsidR="001E6B49" w:rsidRPr="00194C59" w:rsidRDefault="001E6B49" w:rsidP="006407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CO26</w:t>
            </w:r>
          </w:p>
        </w:tc>
        <w:tc>
          <w:tcPr>
            <w:tcW w:w="3247" w:type="dxa"/>
          </w:tcPr>
          <w:p w14:paraId="07A20768" w14:textId="77777777" w:rsidR="00BC15C2" w:rsidRDefault="00BC15C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7"/>
            </w:tblGrid>
            <w:tr w:rsidR="00BC15C2" w:rsidRPr="00BC15C2" w14:paraId="1F054DDA" w14:textId="77777777">
              <w:trPr>
                <w:trHeight w:val="99"/>
              </w:trPr>
              <w:tc>
                <w:tcPr>
                  <w:tcW w:w="0" w:type="auto"/>
                </w:tcPr>
                <w:p w14:paraId="3BD2BF65" w14:textId="53F7FDC6" w:rsidR="00BC15C2" w:rsidRPr="00194C59" w:rsidRDefault="00BC15C2" w:rsidP="00BC15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94C59">
                    <w:rPr>
                      <w:rFonts w:ascii="Tahoma" w:hAnsi="Tahoma" w:cs="Tahoma"/>
                      <w:sz w:val="20"/>
                      <w:szCs w:val="20"/>
                    </w:rPr>
                    <w:t>Έρευνα, καινοτομία: Αριθμός επιχειρήσεων που συνεργάζονται με ερευνητικά ινστιτούτα</w:t>
                  </w:r>
                </w:p>
              </w:tc>
            </w:tr>
          </w:tbl>
          <w:p w14:paraId="42403418" w14:textId="75778044" w:rsidR="001E6B49" w:rsidRPr="00BC15C2" w:rsidRDefault="001E6B49" w:rsidP="00FA68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1" w:type="dxa"/>
          </w:tcPr>
          <w:p w14:paraId="14F8F792" w14:textId="77777777" w:rsidR="00BC15C2" w:rsidRDefault="00BC15C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BC15C2" w:rsidRPr="00BC15C2" w14:paraId="4F1324F0" w14:textId="77777777" w:rsidTr="00194C59">
              <w:trPr>
                <w:trHeight w:val="1459"/>
              </w:trPr>
              <w:tc>
                <w:tcPr>
                  <w:tcW w:w="0" w:type="auto"/>
                </w:tcPr>
                <w:p w14:paraId="3E2290A0" w14:textId="029408C6" w:rsidR="00BC15C2" w:rsidRPr="00194C59" w:rsidRDefault="00BC15C2" w:rsidP="00BC15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94C59">
                    <w:rPr>
                      <w:rFonts w:ascii="Tahoma" w:hAnsi="Tahoma" w:cs="Tahoma"/>
                      <w:sz w:val="20"/>
                      <w:szCs w:val="20"/>
                    </w:rPr>
                    <w:t xml:space="preserve">Αριθμός επιχειρήσεων που συνεργάζονται με ερευνητικά ινστιτούτα σε έργα Ε&amp;Α. Για την χρήση του δείκτη θα πρέπει να συμμετέχουν στο έργο τουλάχιστον μία επιχείρηση και ένα ερευνητικό ινστιτούτο. Την στήριξη μπορεί να λάβει ένα ή περισσότερα από τα συνεργαζόμενα μέρη (ερευνητικό ινστιτούτο ή επιχείρηση), υπό την προϋπόθεση της συνεργασίας. Η συνεργασία μπορεί να είναι νέα ή υφιστάμενη. Η συνεργασία θα πρέπει να διαρκέσει τουλάχιστον </w:t>
                  </w:r>
                  <w:proofErr w:type="spellStart"/>
                  <w:r w:rsidRPr="00194C59">
                    <w:rPr>
                      <w:rFonts w:ascii="Tahoma" w:hAnsi="Tahoma" w:cs="Tahoma"/>
                      <w:sz w:val="20"/>
                      <w:szCs w:val="20"/>
                    </w:rPr>
                    <w:t>καθ</w:t>
                  </w:r>
                  <w:r w:rsidR="00AB36D5">
                    <w:rPr>
                      <w:rFonts w:ascii="Tahoma" w:hAnsi="Tahoma" w:cs="Tahoma"/>
                      <w:sz w:val="20"/>
                      <w:szCs w:val="20"/>
                    </w:rPr>
                    <w:t>΄</w:t>
                  </w:r>
                  <w:r w:rsidRPr="00194C59">
                    <w:rPr>
                      <w:rFonts w:ascii="Tahoma" w:hAnsi="Tahoma" w:cs="Tahoma"/>
                      <w:sz w:val="20"/>
                      <w:szCs w:val="20"/>
                    </w:rPr>
                    <w:t>όλη</w:t>
                  </w:r>
                  <w:proofErr w:type="spellEnd"/>
                  <w:r w:rsidRPr="00194C59">
                    <w:rPr>
                      <w:rFonts w:ascii="Tahoma" w:hAnsi="Tahoma" w:cs="Tahoma"/>
                      <w:sz w:val="20"/>
                      <w:szCs w:val="20"/>
                    </w:rPr>
                    <w:t xml:space="preserve"> τη διάρκεια του έργου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41B5B5B" w14:textId="77777777" w:rsidR="001E6B49" w:rsidRPr="00425F64" w:rsidRDefault="001E6B49" w:rsidP="004F6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743" w:rsidRPr="00425F64" w14:paraId="3FE18BD6" w14:textId="77777777" w:rsidTr="00194C59">
        <w:tc>
          <w:tcPr>
            <w:tcW w:w="1384" w:type="dxa"/>
          </w:tcPr>
          <w:p w14:paraId="71F9BB60" w14:textId="77777777" w:rsidR="00640743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C027</w:t>
            </w:r>
          </w:p>
        </w:tc>
        <w:tc>
          <w:tcPr>
            <w:tcW w:w="3247" w:type="dxa"/>
          </w:tcPr>
          <w:p w14:paraId="14964126" w14:textId="77777777" w:rsidR="00640743" w:rsidRDefault="007E4F46" w:rsidP="00FA68AE">
            <w:r w:rsidRPr="00425F64">
              <w:rPr>
                <w:rFonts w:ascii="Tahoma" w:hAnsi="Tahoma" w:cs="Tahoma"/>
                <w:sz w:val="20"/>
                <w:szCs w:val="20"/>
              </w:rPr>
              <w:t>Έρευνα και καινοτομία: Ιδιωτικές επενδύσεις που αντιστοιχούν σε δημόσια στήριξη στον τομέα της καινοτομίας ή της έρευνας και ανάπτυξης</w:t>
            </w:r>
            <w:r w:rsidR="00047B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47B9F" w:rsidRPr="00047B9F">
              <w:rPr>
                <w:rFonts w:ascii="Tahoma" w:hAnsi="Tahoma" w:cs="Tahoma"/>
                <w:b/>
                <w:sz w:val="20"/>
                <w:szCs w:val="20"/>
              </w:rPr>
              <w:t xml:space="preserve">σε </w:t>
            </w:r>
            <w:r w:rsidR="00047B9F" w:rsidRPr="00047B9F">
              <w:rPr>
                <w:b/>
              </w:rPr>
              <w:t>EUR</w:t>
            </w:r>
            <w:r w:rsidR="00047B9F">
              <w:t>)</w:t>
            </w:r>
          </w:p>
          <w:p w14:paraId="634DF83D" w14:textId="77777777" w:rsidR="00047B9F" w:rsidRPr="00425F64" w:rsidRDefault="00047B9F" w:rsidP="00FA68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1" w:type="dxa"/>
          </w:tcPr>
          <w:p w14:paraId="41392728" w14:textId="77777777" w:rsidR="007E4F46" w:rsidRPr="00425F64" w:rsidRDefault="007E4F46" w:rsidP="004F6442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Συνολική αξία της ιδιωτικής  συμμετοχής σε υποστηριζόμενα έργα καινοτομίας ή Ε&amp;Α, συμπεριλαμβανομένων των μη επιλέξιμων τμημάτων του έργου.</w:t>
            </w:r>
          </w:p>
          <w:p w14:paraId="48A0120E" w14:textId="77777777" w:rsidR="00640743" w:rsidRPr="00425F64" w:rsidRDefault="00640743" w:rsidP="007A10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9F" w:rsidRPr="00425F64" w14:paraId="154EE23B" w14:textId="77777777" w:rsidTr="00194C59">
        <w:tc>
          <w:tcPr>
            <w:tcW w:w="1384" w:type="dxa"/>
          </w:tcPr>
          <w:p w14:paraId="4ABE6809" w14:textId="77777777" w:rsidR="007A1050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CO28</w:t>
            </w:r>
          </w:p>
        </w:tc>
        <w:tc>
          <w:tcPr>
            <w:tcW w:w="3247" w:type="dxa"/>
          </w:tcPr>
          <w:p w14:paraId="05A9EC34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Έρευνα και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καινοτομία: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Αριθμός</w:t>
            </w:r>
          </w:p>
          <w:p w14:paraId="62D72C94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επιχειρήσεων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που ενισχύονται</w:t>
            </w:r>
          </w:p>
          <w:p w14:paraId="73D6119D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για να εισάγουν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προϊόντα νέα</w:t>
            </w:r>
          </w:p>
          <w:p w14:paraId="766EAACB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στην αγορά</w:t>
            </w:r>
          </w:p>
        </w:tc>
        <w:tc>
          <w:tcPr>
            <w:tcW w:w="9511" w:type="dxa"/>
          </w:tcPr>
          <w:p w14:paraId="0E9B2A35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Αριθμός επιχειρήσεων που ενισχύονται για να εισάγουν προϊόντα νέα στην αγορά.</w:t>
            </w:r>
          </w:p>
          <w:p w14:paraId="71AEDB7D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Ο δείκτης μετράει το κατά πόσον μία επιχείρηση λαμβάνει στήριξη για να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αναπτύξει ένα νέο στην αγορά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 προϊόν, σε οποιαδήποτε από τις αγορές που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δραστηριοποιείται η επιχείρηση. Περιλαμβάνει την καινοτομία διαδικασιών υπό τον</w:t>
            </w:r>
          </w:p>
          <w:p w14:paraId="5C273901" w14:textId="17D8DAAF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όρο ότι η διαδικασία συνεισφέρει στην ανάπτυξη του προϊόντος. Δεν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συμπεριλαμβάνονται τα έργα που δεν στοχεύουν πραγματικά στην ανάπτυξη ενός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προϊόντος. Αν μία επιχείρηση εισάγει αρκετά προϊόντα ή αν λαμβάνει στήριξη για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διαφορετικά έργα, εξακολουθεί να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</w:t>
            </w:r>
            <w:r w:rsidR="00AB36D5">
              <w:rPr>
                <w:rFonts w:ascii="Tahoma" w:hAnsi="Tahoma" w:cs="Tahoma"/>
                <w:sz w:val="20"/>
                <w:szCs w:val="20"/>
              </w:rPr>
              <w:t>ά</w:t>
            </w:r>
            <w:r w:rsidRPr="00425F64">
              <w:rPr>
                <w:rFonts w:ascii="Tahoma" w:hAnsi="Tahoma" w:cs="Tahoma"/>
                <w:sz w:val="20"/>
                <w:szCs w:val="20"/>
              </w:rPr>
              <w:t>ται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ως μία επιχείρηση. Σε περίπτωση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έργων συνεργασίας, ο δείκτης μετράει όλες τις συμμετέχουσες επιχειρήσεις. Ένα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προϊόν είναι νέο στην αγορά αν δεν υπάρχει άλλο προϊόν στην αγορά με την ίδια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λειτουργικότητα ή αν η τεχνολογία που το νέο προϊόν χρησιμοποιεί είναι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ουσιαστικά διαφορετική από την τεχνολογία των υφιστάμενων προϊόντων. Τα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προϊόντα μπορεί να είναι υλικά ή άυλα 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>(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συμπεριλαμβανομένων των υπηρεσιών).</w:t>
            </w:r>
          </w:p>
          <w:p w14:paraId="67C2B919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Προσμετρούνται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και τα υποστηριζόμενα έργα που στόχευαν να εισάγουν νέα στις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αγορές προϊόντα αλλά δεν το 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>κ</w:t>
            </w:r>
            <w:r w:rsidRPr="00425F64">
              <w:rPr>
                <w:rFonts w:ascii="Tahoma" w:hAnsi="Tahoma" w:cs="Tahoma"/>
                <w:sz w:val="20"/>
                <w:szCs w:val="20"/>
              </w:rPr>
              <w:t>ατάφεραν.</w:t>
            </w:r>
          </w:p>
          <w:p w14:paraId="3443D6D7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Εάν ένα προϊόν είναι νέο και στην αγορά και στην επιχείρηση, η επιχείρηση θα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πρέπει να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προσμετρηθεί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και στους δύο σχετικούς δείκτες (Βλέπε Δείκτη CO29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«Αριθμός επιχειρήσεων που ενισχύονται για να εισάγουν προϊόντα νέα στην</w:t>
            </w:r>
          </w:p>
          <w:p w14:paraId="2995B905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εταιρεία»).</w:t>
            </w:r>
          </w:p>
          <w:p w14:paraId="6FE7B028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Τα όρια της αγοράς (γεωγραφικά ή άλλα) ορίζονται από την Διαχειριστική Αρχή με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βάση την επιχειρηματική δραστηριότητα της επιχείρησης που λαμβάνει στήριξη. Ο Δείκτης </w:t>
            </w:r>
            <w:r w:rsidRPr="00425F64">
              <w:rPr>
                <w:rFonts w:ascii="Tahoma" w:hAnsi="Tahoma" w:cs="Tahoma"/>
                <w:sz w:val="20"/>
                <w:szCs w:val="20"/>
                <w:lang w:val="en-US"/>
              </w:rPr>
              <w:t>CO</w:t>
            </w:r>
            <w:r w:rsidRPr="00425F64">
              <w:rPr>
                <w:rFonts w:ascii="Tahoma" w:hAnsi="Tahoma" w:cs="Tahoma"/>
                <w:sz w:val="20"/>
                <w:szCs w:val="20"/>
              </w:rPr>
              <w:t>01 θα πρέπει επίσης να χρησιμοποιείται όπου γίνεται χρήση του Δείκτη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  <w:lang w:val="en-US"/>
              </w:rPr>
              <w:t>CO</w:t>
            </w:r>
            <w:r w:rsidRPr="00425F64">
              <w:rPr>
                <w:rFonts w:ascii="Tahoma" w:hAnsi="Tahoma" w:cs="Tahoma"/>
                <w:sz w:val="20"/>
                <w:szCs w:val="20"/>
              </w:rPr>
              <w:t>28.</w:t>
            </w:r>
          </w:p>
          <w:p w14:paraId="265DE957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 xml:space="preserve">Σημειωτέα η συνάφεια με τον Δείκτη </w:t>
            </w:r>
            <w:r w:rsidRPr="00425F64">
              <w:rPr>
                <w:rFonts w:ascii="Tahoma" w:hAnsi="Tahoma" w:cs="Tahoma"/>
                <w:sz w:val="20"/>
                <w:szCs w:val="20"/>
                <w:lang w:val="en-US"/>
              </w:rPr>
              <w:t>CO</w:t>
            </w:r>
            <w:r w:rsidRPr="00425F64">
              <w:rPr>
                <w:rFonts w:ascii="Tahoma" w:hAnsi="Tahoma" w:cs="Tahoma"/>
                <w:sz w:val="20"/>
                <w:szCs w:val="20"/>
              </w:rPr>
              <w:t>29 «Αριθμός επιχειρήσεων που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ενισχύονται για να εισάγουν προϊόντα νέα στην εταιρεία». Ενώ οι περισσότερες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κλασσικές καινοτομίες οδηγούν σε προϊόντα που είναι νέα τόσο στην αγορά όσο</w:t>
            </w:r>
          </w:p>
          <w:p w14:paraId="7BCD7D5A" w14:textId="77777777" w:rsidR="007A1050" w:rsidRPr="00425F64" w:rsidRDefault="007A1050" w:rsidP="00DD08E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και στην επιχείρηση, είναι δυνατό το προϊόν να είναι νέο στην αγορά αλλά όχι νέο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στην επιχείρηση, π.χ. προσαρμογή ενός υφιστάμενου προϊόντος σε μία νέα αγορά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χωρίς να αλλάξει η λειτουργικότητά του.</w:t>
            </w:r>
          </w:p>
        </w:tc>
      </w:tr>
      <w:tr w:rsidR="00047B9F" w:rsidRPr="00425F64" w14:paraId="1C989A43" w14:textId="77777777" w:rsidTr="00194C59">
        <w:tc>
          <w:tcPr>
            <w:tcW w:w="1384" w:type="dxa"/>
          </w:tcPr>
          <w:p w14:paraId="0E49A0B7" w14:textId="77777777" w:rsidR="007A1050" w:rsidRPr="00425F64" w:rsidRDefault="00640743" w:rsidP="00640743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C029</w:t>
            </w:r>
          </w:p>
        </w:tc>
        <w:tc>
          <w:tcPr>
            <w:tcW w:w="3247" w:type="dxa"/>
          </w:tcPr>
          <w:p w14:paraId="39A7578F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Έρευνα και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καινοτομία:</w:t>
            </w:r>
          </w:p>
          <w:p w14:paraId="63D6E2F0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Αριθμός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Επιχειρήσεων που ενισχύονται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για να εισάγουν</w:t>
            </w:r>
          </w:p>
          <w:p w14:paraId="45CCF0CC" w14:textId="77777777" w:rsidR="007A1050" w:rsidRPr="00425F64" w:rsidRDefault="007A1050" w:rsidP="006F0DDE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προϊόντα</w:t>
            </w:r>
            <w:r w:rsidR="00640743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 νέα</w:t>
            </w:r>
            <w:r w:rsidR="006F0DDE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στην εταιρεία</w:t>
            </w:r>
          </w:p>
        </w:tc>
        <w:tc>
          <w:tcPr>
            <w:tcW w:w="9511" w:type="dxa"/>
          </w:tcPr>
          <w:p w14:paraId="623E9341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Αριθμός επιχειρήσεων που ενισχύονται για να εισάγουν προϊόντα νέα στην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εταιρεία. Ο δείκτης μετράει το κατά πόσον μία επιχείρηση λαμβάνει στήριξη για να αναπτύξει ένα  νέο στην επιχείρηση  προϊόν. Περιλαμβάνει την καινοτομία</w:t>
            </w:r>
          </w:p>
          <w:p w14:paraId="15A419F4" w14:textId="754A2A96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διαδικασιών υπό τον όρο ότι η διαδικασία συνεισφέρει στην ανάπτυξη του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προϊόντος. Δεν συμπεριλαμβάνονται τα έργα που δεν στοχεύουν πραγματικά στην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ανάπτυξη ενός προϊόντος. Αν μία επιχείρηση εισάγει διάφορα προϊόντα ή αν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λαμβάνει στήριξη για διάφορα έργα, εξακολουθεί να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</w:t>
            </w:r>
            <w:r w:rsidR="0065692B">
              <w:rPr>
                <w:rFonts w:ascii="Tahoma" w:hAnsi="Tahoma" w:cs="Tahoma"/>
                <w:sz w:val="20"/>
                <w:szCs w:val="20"/>
              </w:rPr>
              <w:t>ά</w:t>
            </w:r>
            <w:r w:rsidRPr="00425F64">
              <w:rPr>
                <w:rFonts w:ascii="Tahoma" w:hAnsi="Tahoma" w:cs="Tahoma"/>
                <w:sz w:val="20"/>
                <w:szCs w:val="20"/>
              </w:rPr>
              <w:t>ται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ως μία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επιχείρηση. Σε περίπτωση έργων συνεργασίας, ο δείκτης μετράει όλες τις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συμμετέχουσες επιχειρήσεις για τις οποίες το προϊόν είναι νέο.</w:t>
            </w:r>
          </w:p>
          <w:p w14:paraId="53846A59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Ένα προϊόν είναι νέο στην επιχείρηση εάν η επιχείρηση δεν παρήγαγε κάποιο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προϊόν με την ίδια λειτουργικότητα ή αν η τεχνολογία παραγωγής είναι ουσιαστικά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διαφορετική από την τεχνολογία των ήδη παραγόμενων προϊόντων. Τα προϊόντα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μπορεί να είναι υλικά ή άυλα (συμπεριλαμβανομένων των υπηρεσιών).</w:t>
            </w:r>
          </w:p>
          <w:p w14:paraId="19F0C7D4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Προσμετρούνται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τα υποστηριζόμενα έργα που στόχευαν να εισάγουν νέα στην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επιχείρηση προϊόντα αλλά τελικά δεν το κατάφεραν. Εάν ένα προϊόν είναι νέο και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 xml:space="preserve">στην αγορά και στην επιχείρηση, η επιχείρηση θα πρέπει να </w:t>
            </w:r>
            <w:proofErr w:type="spellStart"/>
            <w:r w:rsidRPr="00425F64">
              <w:rPr>
                <w:rFonts w:ascii="Tahoma" w:hAnsi="Tahoma" w:cs="Tahoma"/>
                <w:sz w:val="20"/>
                <w:szCs w:val="20"/>
              </w:rPr>
              <w:t>προσμετρηθεί</w:t>
            </w:r>
            <w:proofErr w:type="spellEnd"/>
            <w:r w:rsidRPr="00425F64">
              <w:rPr>
                <w:rFonts w:ascii="Tahoma" w:hAnsi="Tahoma" w:cs="Tahoma"/>
                <w:sz w:val="20"/>
                <w:szCs w:val="20"/>
              </w:rPr>
              <w:t xml:space="preserve"> και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στους δύο σχετικούς δείκτες (Βλέπε Δείκτη CO28 «Αριθμός επιχειρήσεων που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ενισχύονται για να εισάγουν προϊόντα νέα στην αγορά»).</w:t>
            </w:r>
          </w:p>
          <w:p w14:paraId="452ECE48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Ο Δείκτης CO01 θα πρέπει επίσης να χρησιμοποιείται όπου γίνεται χρήση του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Δείκτη CO29.</w:t>
            </w:r>
          </w:p>
          <w:p w14:paraId="2FAC77D3" w14:textId="77777777" w:rsidR="007A1050" w:rsidRPr="00425F64" w:rsidRDefault="007A1050" w:rsidP="007A105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Σημειωτέα η συνάφεια με τον Δείκτη CO28 «Αριθμός επιχειρήσεων που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ενισχύονται για να εισάγ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>ουν προϊόντα νέα στην αγορά»</w:t>
            </w:r>
            <w:r w:rsidRPr="00425F64">
              <w:rPr>
                <w:rFonts w:ascii="Tahoma" w:hAnsi="Tahoma" w:cs="Tahoma"/>
                <w:sz w:val="20"/>
                <w:szCs w:val="20"/>
              </w:rPr>
              <w:t>. Ενώ οι περισσότερες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κλασσικές καινοτομίες οδηγούν σε προϊόντα που είναι νέα τόσο στην αγορά όσο</w:t>
            </w:r>
          </w:p>
          <w:p w14:paraId="067DA110" w14:textId="77777777" w:rsidR="007A1050" w:rsidRPr="00425F64" w:rsidRDefault="007A1050" w:rsidP="00DD08E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και στην επιχείρηση, είναι δυνατό το προϊόν να είναι νέο στην επιχείρηση αλλά όχι</w:t>
            </w:r>
            <w:r w:rsidR="00DD08E6" w:rsidRPr="00425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5F64">
              <w:rPr>
                <w:rFonts w:ascii="Tahoma" w:hAnsi="Tahoma" w:cs="Tahoma"/>
                <w:sz w:val="20"/>
                <w:szCs w:val="20"/>
              </w:rPr>
              <w:t>νέο στην αγορά, π.χ. κάποιες μεταφορές τεχνολογίας.</w:t>
            </w:r>
          </w:p>
        </w:tc>
      </w:tr>
      <w:tr w:rsidR="006F0DDE" w:rsidRPr="00425F64" w14:paraId="510DDBE0" w14:textId="77777777" w:rsidTr="00194C59">
        <w:tc>
          <w:tcPr>
            <w:tcW w:w="1384" w:type="dxa"/>
            <w:vAlign w:val="center"/>
          </w:tcPr>
          <w:p w14:paraId="78939DA8" w14:textId="3950B37B" w:rsidR="007E4F46" w:rsidRPr="00425F64" w:rsidRDefault="007E4F46" w:rsidP="00682B6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lastRenderedPageBreak/>
              <w:t>05802</w:t>
            </w:r>
          </w:p>
        </w:tc>
        <w:tc>
          <w:tcPr>
            <w:tcW w:w="3247" w:type="dxa"/>
          </w:tcPr>
          <w:p w14:paraId="52142466" w14:textId="77777777" w:rsidR="007E4F46" w:rsidRPr="00425F64" w:rsidRDefault="007E4F46" w:rsidP="007E4F4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Αιτήσεις διπλωμάτων ευρεσιτεχνίας σε εθνικό επίπεδο στο πλαίσιο της δράσης</w:t>
            </w:r>
          </w:p>
        </w:tc>
        <w:tc>
          <w:tcPr>
            <w:tcW w:w="9511" w:type="dxa"/>
          </w:tcPr>
          <w:p w14:paraId="69C54C52" w14:textId="77777777" w:rsidR="007E4F46" w:rsidRPr="00425F64" w:rsidRDefault="007E4F4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Αιτήσεις διπλωμάτων ευρεσιτεχνίας σε εθνικό επίπεδο στο πλαίσιο της δράσης (μπορεί να πάρει και μηδενική τιμή)</w:t>
            </w:r>
            <w:r w:rsidR="00FA68AE" w:rsidRPr="00425F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F0DDE" w:rsidRPr="00425F64" w14:paraId="3ED720C9" w14:textId="77777777" w:rsidTr="00194C59">
        <w:tc>
          <w:tcPr>
            <w:tcW w:w="1384" w:type="dxa"/>
            <w:vAlign w:val="center"/>
          </w:tcPr>
          <w:p w14:paraId="1BB90468" w14:textId="68023A3E" w:rsidR="007E4F46" w:rsidRPr="00425F64" w:rsidRDefault="007E4F46" w:rsidP="00682B6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05803</w:t>
            </w:r>
          </w:p>
        </w:tc>
        <w:tc>
          <w:tcPr>
            <w:tcW w:w="3247" w:type="dxa"/>
          </w:tcPr>
          <w:p w14:paraId="23EAD011" w14:textId="77777777" w:rsidR="007E4F46" w:rsidRPr="00425F64" w:rsidRDefault="007E4F46" w:rsidP="007E4F46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Αιτήσεις διπλωμάτων ευρεσιτεχνίας σε Ευρωπαϊκό επίπεδο στο πλαίσιο της δράσης</w:t>
            </w:r>
          </w:p>
        </w:tc>
        <w:tc>
          <w:tcPr>
            <w:tcW w:w="9511" w:type="dxa"/>
          </w:tcPr>
          <w:p w14:paraId="023CDE31" w14:textId="77777777" w:rsidR="007E4F46" w:rsidRPr="00425F64" w:rsidRDefault="007E4F46" w:rsidP="00682B60">
            <w:pPr>
              <w:rPr>
                <w:rFonts w:ascii="Tahoma" w:hAnsi="Tahoma" w:cs="Tahoma"/>
                <w:sz w:val="20"/>
                <w:szCs w:val="20"/>
              </w:rPr>
            </w:pPr>
            <w:r w:rsidRPr="00425F64">
              <w:rPr>
                <w:rFonts w:ascii="Tahoma" w:hAnsi="Tahoma" w:cs="Tahoma"/>
                <w:sz w:val="20"/>
                <w:szCs w:val="20"/>
              </w:rPr>
              <w:t>Αιτήσεις διπλωμάτων ευρεσιτεχνίας σε Ευρωπαϊκό επίπεδο στο πλαίσιο της δράσης (μπορεί να πάρει και μηδενική τιμή)</w:t>
            </w:r>
            <w:r w:rsidR="00FA68AE" w:rsidRPr="00425F6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424B23F" w14:textId="77777777" w:rsidR="007E4F46" w:rsidRPr="00425F64" w:rsidRDefault="007E4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B9F" w:rsidRPr="00425F64" w14:paraId="7C7BCBC4" w14:textId="77777777" w:rsidTr="00194C59">
        <w:tc>
          <w:tcPr>
            <w:tcW w:w="1384" w:type="dxa"/>
            <w:vAlign w:val="center"/>
          </w:tcPr>
          <w:p w14:paraId="5E11A033" w14:textId="38813E15" w:rsidR="00047B9F" w:rsidRPr="00425F64" w:rsidRDefault="00047B9F" w:rsidP="00047B9F">
            <w:pPr>
              <w:rPr>
                <w:rFonts w:ascii="Tahoma" w:hAnsi="Tahoma" w:cs="Tahoma"/>
                <w:sz w:val="20"/>
                <w:szCs w:val="20"/>
              </w:rPr>
            </w:pPr>
            <w:r w:rsidRPr="00047B9F">
              <w:rPr>
                <w:rFonts w:ascii="Tahoma" w:hAnsi="Tahoma" w:cs="Tahoma"/>
                <w:sz w:val="20"/>
                <w:szCs w:val="20"/>
              </w:rPr>
              <w:t>06707</w:t>
            </w:r>
          </w:p>
        </w:tc>
        <w:tc>
          <w:tcPr>
            <w:tcW w:w="3247" w:type="dxa"/>
          </w:tcPr>
          <w:p w14:paraId="653BB4EB" w14:textId="77777777" w:rsidR="00F9090C" w:rsidRPr="00F9090C" w:rsidRDefault="00047B9F" w:rsidP="007E4F46">
            <w:pPr>
              <w:rPr>
                <w:rFonts w:ascii="Tahoma" w:hAnsi="Tahoma" w:cs="Tahoma"/>
                <w:sz w:val="20"/>
                <w:szCs w:val="20"/>
              </w:rPr>
            </w:pPr>
            <w:r w:rsidRPr="00047B9F">
              <w:rPr>
                <w:rFonts w:ascii="Tahoma" w:hAnsi="Tahoma" w:cs="Tahoma"/>
                <w:sz w:val="20"/>
                <w:szCs w:val="20"/>
              </w:rPr>
              <w:t>Αύξηση του αριθμού των επιχειρήσεων μελών Συνεργατικών Σχηματισμών</w:t>
            </w:r>
          </w:p>
        </w:tc>
        <w:tc>
          <w:tcPr>
            <w:tcW w:w="9511" w:type="dxa"/>
          </w:tcPr>
          <w:p w14:paraId="3E9886E5" w14:textId="77777777" w:rsidR="00047B9F" w:rsidRPr="00425F64" w:rsidRDefault="00A35586" w:rsidP="00F90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Αριθμός νέων μελών ΣΣ</w:t>
            </w:r>
          </w:p>
        </w:tc>
      </w:tr>
    </w:tbl>
    <w:p w14:paraId="34451078" w14:textId="77777777" w:rsidR="001054C4" w:rsidRPr="00425F64" w:rsidRDefault="002D1D93">
      <w:pPr>
        <w:rPr>
          <w:rFonts w:ascii="Tahoma" w:hAnsi="Tahoma" w:cs="Tahoma"/>
          <w:sz w:val="20"/>
          <w:szCs w:val="20"/>
        </w:rPr>
      </w:pPr>
    </w:p>
    <w:sectPr w:rsidR="001054C4" w:rsidRPr="00425F64" w:rsidSect="00DD08E6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F1AB" w14:textId="77777777" w:rsidR="006D513D" w:rsidRDefault="006D513D" w:rsidP="007E4F46">
      <w:pPr>
        <w:spacing w:after="0" w:line="240" w:lineRule="auto"/>
      </w:pPr>
      <w:r>
        <w:separator/>
      </w:r>
    </w:p>
  </w:endnote>
  <w:endnote w:type="continuationSeparator" w:id="0">
    <w:p w14:paraId="3354746F" w14:textId="77777777" w:rsidR="006D513D" w:rsidRDefault="006D513D" w:rsidP="007E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0F8C" w14:textId="77777777" w:rsidR="00453BDD" w:rsidRDefault="00453BDD" w:rsidP="00453BDD">
    <w:pPr>
      <w:pStyle w:val="a8"/>
      <w:tabs>
        <w:tab w:val="clear" w:pos="8306"/>
      </w:tabs>
      <w:ind w:left="1440" w:right="3002"/>
      <w:rPr>
        <w:rFonts w:ascii="Calibri" w:hAnsi="Calibri"/>
        <w:sz w:val="18"/>
        <w:szCs w:val="18"/>
      </w:rPr>
    </w:pPr>
  </w:p>
  <w:p w14:paraId="1434581C" w14:textId="1BB04E11" w:rsidR="00453BDD" w:rsidRPr="00F70F03" w:rsidRDefault="00453BDD" w:rsidP="00453BDD">
    <w:pPr>
      <w:pStyle w:val="a8"/>
      <w:tabs>
        <w:tab w:val="clear" w:pos="8306"/>
      </w:tabs>
      <w:ind w:left="1440" w:right="3002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6B541AA4" wp14:editId="148F063C">
          <wp:simplePos x="0" y="0"/>
          <wp:positionH relativeFrom="column">
            <wp:posOffset>4472305</wp:posOffset>
          </wp:positionH>
          <wp:positionV relativeFrom="paragraph">
            <wp:posOffset>139065</wp:posOffset>
          </wp:positionV>
          <wp:extent cx="928370" cy="640080"/>
          <wp:effectExtent l="1905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4DEEDAA0" wp14:editId="5F461A1E">
          <wp:simplePos x="0" y="0"/>
          <wp:positionH relativeFrom="column">
            <wp:posOffset>0</wp:posOffset>
          </wp:positionH>
          <wp:positionV relativeFrom="paragraph">
            <wp:posOffset>139065</wp:posOffset>
          </wp:positionV>
          <wp:extent cx="710565" cy="71056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0F03">
      <w:rPr>
        <w:rFonts w:ascii="Calibri" w:hAnsi="Calibri"/>
        <w:sz w:val="18"/>
        <w:szCs w:val="18"/>
      </w:rPr>
      <w:tab/>
    </w:r>
    <w:r w:rsidR="00DD3338" w:rsidRPr="00F70F03">
      <w:rPr>
        <w:rFonts w:ascii="Calibri" w:hAnsi="Calibri"/>
        <w:sz w:val="18"/>
        <w:szCs w:val="18"/>
        <w:lang w:val="en-US"/>
      </w:rPr>
      <w:fldChar w:fldCharType="begin"/>
    </w:r>
    <w:r w:rsidRPr="00F70F03">
      <w:rPr>
        <w:rFonts w:ascii="Calibri" w:hAnsi="Calibri"/>
        <w:sz w:val="18"/>
        <w:szCs w:val="18"/>
        <w:lang w:val="en-US"/>
      </w:rPr>
      <w:instrText>PAGE</w:instrText>
    </w:r>
    <w:r w:rsidRPr="00F70F03">
      <w:rPr>
        <w:rFonts w:ascii="Calibri" w:hAnsi="Calibri"/>
        <w:sz w:val="18"/>
        <w:szCs w:val="18"/>
      </w:rPr>
      <w:instrText xml:space="preserve">   \* </w:instrText>
    </w:r>
    <w:r w:rsidRPr="00F70F03">
      <w:rPr>
        <w:rFonts w:ascii="Calibri" w:hAnsi="Calibri"/>
        <w:sz w:val="18"/>
        <w:szCs w:val="18"/>
        <w:lang w:val="en-US"/>
      </w:rPr>
      <w:instrText>MERGEFORMAT</w:instrText>
    </w:r>
    <w:r w:rsidR="00DD3338" w:rsidRPr="00F70F03">
      <w:rPr>
        <w:rFonts w:ascii="Calibri" w:hAnsi="Calibri"/>
        <w:sz w:val="18"/>
        <w:szCs w:val="18"/>
        <w:lang w:val="en-US"/>
      </w:rPr>
      <w:fldChar w:fldCharType="separate"/>
    </w:r>
    <w:r w:rsidR="002D1D93" w:rsidRPr="002D1D93">
      <w:rPr>
        <w:rFonts w:ascii="Calibri" w:hAnsi="Calibri"/>
        <w:noProof/>
        <w:sz w:val="18"/>
        <w:szCs w:val="18"/>
      </w:rPr>
      <w:t>4</w:t>
    </w:r>
    <w:r w:rsidR="00DD3338" w:rsidRPr="00F70F03">
      <w:rPr>
        <w:rFonts w:ascii="Calibri" w:hAnsi="Calibri"/>
        <w:sz w:val="18"/>
        <w:szCs w:val="18"/>
        <w:lang w:val="en-US"/>
      </w:rPr>
      <w:fldChar w:fldCharType="end"/>
    </w:r>
    <w:r w:rsidRPr="00F70F03">
      <w:rPr>
        <w:rFonts w:ascii="Calibri" w:hAnsi="Calibri"/>
        <w:noProof/>
        <w:sz w:val="18"/>
        <w:szCs w:val="18"/>
      </w:rPr>
      <w:t>/</w:t>
    </w:r>
    <w:r w:rsidR="00DD3338" w:rsidRPr="00F70F03">
      <w:rPr>
        <w:rFonts w:ascii="Calibri" w:hAnsi="Calibri"/>
        <w:noProof/>
        <w:sz w:val="18"/>
        <w:szCs w:val="18"/>
        <w:lang w:val="en-US"/>
      </w:rPr>
      <w:fldChar w:fldCharType="begin"/>
    </w:r>
    <w:r w:rsidRPr="00F70F03">
      <w:rPr>
        <w:rFonts w:ascii="Calibri" w:hAnsi="Calibri"/>
        <w:noProof/>
        <w:sz w:val="18"/>
        <w:szCs w:val="18"/>
      </w:rPr>
      <w:instrText xml:space="preserve"> </w:instrText>
    </w:r>
    <w:r w:rsidRPr="00F70F03">
      <w:rPr>
        <w:rFonts w:ascii="Calibri" w:hAnsi="Calibri"/>
        <w:noProof/>
        <w:sz w:val="18"/>
        <w:szCs w:val="18"/>
        <w:lang w:val="en-US"/>
      </w:rPr>
      <w:instrText>NUMPAGES</w:instrText>
    </w:r>
    <w:r w:rsidRPr="00F70F03">
      <w:rPr>
        <w:rFonts w:ascii="Calibri" w:hAnsi="Calibri"/>
        <w:noProof/>
        <w:sz w:val="18"/>
        <w:szCs w:val="18"/>
      </w:rPr>
      <w:instrText xml:space="preserve"> </w:instrText>
    </w:r>
    <w:r w:rsidR="00DD3338" w:rsidRPr="00F70F03">
      <w:rPr>
        <w:rFonts w:ascii="Calibri" w:hAnsi="Calibri"/>
        <w:noProof/>
        <w:sz w:val="18"/>
        <w:szCs w:val="18"/>
        <w:lang w:val="en-US"/>
      </w:rPr>
      <w:fldChar w:fldCharType="separate"/>
    </w:r>
    <w:r w:rsidR="002D1D93">
      <w:rPr>
        <w:rFonts w:ascii="Calibri" w:hAnsi="Calibri"/>
        <w:noProof/>
        <w:sz w:val="18"/>
        <w:szCs w:val="18"/>
        <w:lang w:val="en-US"/>
      </w:rPr>
      <w:t>4</w:t>
    </w:r>
    <w:r w:rsidR="00DD3338" w:rsidRPr="00F70F03">
      <w:rPr>
        <w:rFonts w:ascii="Calibri" w:hAnsi="Calibri"/>
        <w:noProof/>
        <w:sz w:val="18"/>
        <w:szCs w:val="18"/>
        <w:lang w:val="en-US"/>
      </w:rPr>
      <w:fldChar w:fldCharType="end"/>
    </w:r>
    <w:r>
      <w:rPr>
        <w:rFonts w:ascii="Calibri" w:hAnsi="Calibri"/>
        <w:sz w:val="18"/>
        <w:szCs w:val="18"/>
      </w:rPr>
      <w:t xml:space="preserve"> </w:t>
    </w:r>
  </w:p>
  <w:p w14:paraId="3724F361" w14:textId="77777777" w:rsidR="00453BDD" w:rsidRDefault="00453B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6519" w14:textId="77777777" w:rsidR="006D513D" w:rsidRDefault="006D513D" w:rsidP="007E4F46">
      <w:pPr>
        <w:spacing w:after="0" w:line="240" w:lineRule="auto"/>
      </w:pPr>
      <w:r>
        <w:separator/>
      </w:r>
    </w:p>
  </w:footnote>
  <w:footnote w:type="continuationSeparator" w:id="0">
    <w:p w14:paraId="3648F190" w14:textId="77777777" w:rsidR="006D513D" w:rsidRDefault="006D513D" w:rsidP="007E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FE08" w14:textId="2EA41DD3" w:rsidR="00453BDD" w:rsidRDefault="00453BDD">
    <w:pPr>
      <w:pStyle w:val="a7"/>
    </w:pPr>
    <w:r w:rsidRPr="00DD55B6">
      <w:rPr>
        <w:rFonts w:ascii="Tahoma" w:hAnsi="Tahoma" w:cs="Tahoma"/>
        <w:i/>
        <w:sz w:val="20"/>
        <w:szCs w:val="20"/>
      </w:rPr>
      <w:t xml:space="preserve">Παράρτημα </w:t>
    </w:r>
    <w:r>
      <w:rPr>
        <w:rFonts w:ascii="Tahoma" w:hAnsi="Tahoma" w:cs="Tahoma"/>
        <w:i/>
        <w:sz w:val="20"/>
        <w:szCs w:val="20"/>
      </w:rPr>
      <w:t>ΧΙ</w:t>
    </w:r>
    <w:r w:rsidRPr="00DD55B6">
      <w:rPr>
        <w:rFonts w:ascii="Tahoma" w:hAnsi="Tahoma" w:cs="Tahoma"/>
        <w:i/>
        <w:sz w:val="20"/>
        <w:szCs w:val="20"/>
      </w:rPr>
      <w:t xml:space="preserve"> </w:t>
    </w:r>
    <w:r>
      <w:rPr>
        <w:rFonts w:ascii="Tahoma" w:hAnsi="Tahoma" w:cs="Tahoma"/>
        <w:i/>
        <w:sz w:val="20"/>
        <w:szCs w:val="20"/>
      </w:rPr>
      <w:t xml:space="preserve"> </w:t>
    </w:r>
    <w:r w:rsidR="00682B60">
      <w:rPr>
        <w:rFonts w:ascii="Tahoma" w:hAnsi="Tahoma" w:cs="Tahoma"/>
        <w:i/>
        <w:sz w:val="20"/>
        <w:szCs w:val="20"/>
      </w:rPr>
      <w:t>ΟΡΙΣΜΟΙ ΔΕΙΚΤΩΝ ΔΡΑΣΗΣ</w:t>
    </w:r>
    <w:r w:rsidRPr="00854563">
      <w:rPr>
        <w:rFonts w:ascii="Tahoma" w:hAnsi="Tahoma" w:cs="Tahoma"/>
        <w:i/>
        <w:sz w:val="20"/>
        <w:szCs w:val="20"/>
      </w:rPr>
      <w:t>-</w:t>
    </w:r>
    <w:r>
      <w:rPr>
        <w:rFonts w:ascii="Tahoma" w:hAnsi="Tahoma" w:cs="Tahoma"/>
        <w:i/>
        <w:sz w:val="20"/>
        <w:szCs w:val="20"/>
      </w:rPr>
      <w:t xml:space="preserve"> 2η ΠΡΟΣΚΛΗΣΗ</w:t>
    </w:r>
    <w:r w:rsidRPr="00321EE1">
      <w:rPr>
        <w:rFonts w:ascii="Tahoma" w:hAnsi="Tahoma" w:cs="Tahoma"/>
        <w:i/>
        <w:sz w:val="20"/>
        <w:szCs w:val="20"/>
      </w:rPr>
      <w:t xml:space="preserve">: </w:t>
    </w:r>
    <w:r>
      <w:rPr>
        <w:rFonts w:ascii="Tahoma" w:hAnsi="Tahoma" w:cs="Tahoma"/>
        <w:i/>
        <w:sz w:val="20"/>
        <w:szCs w:val="20"/>
      </w:rPr>
      <w:t xml:space="preserve">ΕΠΙΧΕΙΡΗΣΕΙΣ </w:t>
    </w:r>
    <w:r w:rsidRPr="00DD55B6">
      <w:rPr>
        <w:rFonts w:ascii="Tahoma" w:hAnsi="Tahoma" w:cs="Tahoma"/>
        <w:i/>
        <w:sz w:val="20"/>
        <w:szCs w:val="20"/>
      </w:rPr>
      <w:t>(υπόδειγμα)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C65"/>
    <w:multiLevelType w:val="hybridMultilevel"/>
    <w:tmpl w:val="FDB23B52"/>
    <w:lvl w:ilvl="0" w:tplc="0408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0"/>
    <w:rsid w:val="00047B9F"/>
    <w:rsid w:val="00055318"/>
    <w:rsid w:val="000554FB"/>
    <w:rsid w:val="00194C59"/>
    <w:rsid w:val="001E6B49"/>
    <w:rsid w:val="00227F78"/>
    <w:rsid w:val="002D1D93"/>
    <w:rsid w:val="00425F64"/>
    <w:rsid w:val="00453BDD"/>
    <w:rsid w:val="004A44D4"/>
    <w:rsid w:val="004F6442"/>
    <w:rsid w:val="005302E5"/>
    <w:rsid w:val="005D0837"/>
    <w:rsid w:val="005E62AA"/>
    <w:rsid w:val="00640743"/>
    <w:rsid w:val="0065692B"/>
    <w:rsid w:val="00662784"/>
    <w:rsid w:val="00682B60"/>
    <w:rsid w:val="006931F2"/>
    <w:rsid w:val="006D513D"/>
    <w:rsid w:val="006E58E1"/>
    <w:rsid w:val="006F0DDE"/>
    <w:rsid w:val="00733313"/>
    <w:rsid w:val="0073653E"/>
    <w:rsid w:val="00757EDC"/>
    <w:rsid w:val="007A1050"/>
    <w:rsid w:val="007E4F46"/>
    <w:rsid w:val="00963FBD"/>
    <w:rsid w:val="009B326B"/>
    <w:rsid w:val="00A35586"/>
    <w:rsid w:val="00AB36D5"/>
    <w:rsid w:val="00B92797"/>
    <w:rsid w:val="00BC15C2"/>
    <w:rsid w:val="00C70279"/>
    <w:rsid w:val="00C84B5D"/>
    <w:rsid w:val="00D16574"/>
    <w:rsid w:val="00D651DF"/>
    <w:rsid w:val="00DA14DC"/>
    <w:rsid w:val="00DD08E6"/>
    <w:rsid w:val="00DD3338"/>
    <w:rsid w:val="00E16862"/>
    <w:rsid w:val="00E96157"/>
    <w:rsid w:val="00EF4AAF"/>
    <w:rsid w:val="00F40281"/>
    <w:rsid w:val="00F43D4D"/>
    <w:rsid w:val="00F9090C"/>
    <w:rsid w:val="00FA68AE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DB64"/>
  <w15:docId w15:val="{0A28B620-A1C7-4D26-AC20-BDCE8DB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2,Bullet21,Bullet22,Bullet23,Bullet211,Bullet24,Bullet25,Bullet26,Bullet27,bl11,Bullet212,Bullet28,bl12,Bullet213,Bullet29,bl13,Bullet214,Bullet210,Bullet215,Γράφημα,List Paragraph1,Παράγραφος λίστας2,Liste à puces retrait droite"/>
    <w:basedOn w:val="a"/>
    <w:link w:val="Char"/>
    <w:uiPriority w:val="34"/>
    <w:qFormat/>
    <w:rsid w:val="00640743"/>
    <w:pPr>
      <w:suppressAutoHyphens/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locked/>
    <w:rsid w:val="00640743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footnote text"/>
    <w:aliases w:val="Schriftart: 9 pt,Schriftart: 10 pt,Schriftart: 8 pt,WB-Fußnotentext,fn,Footnotes,Footnote ak"/>
    <w:basedOn w:val="a"/>
    <w:link w:val="Char0"/>
    <w:rsid w:val="007E4F46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Char0">
    <w:name w:val="Κείμενο υποσημείωσης Char"/>
    <w:aliases w:val="Schriftart: 9 pt Char,Schriftart: 10 pt Char,Schriftart: 8 pt Char,WB-Fußnotentext Char,fn Char,Footnotes Char,Footnote ak Char"/>
    <w:basedOn w:val="a0"/>
    <w:link w:val="a5"/>
    <w:rsid w:val="007E4F46"/>
    <w:rPr>
      <w:rFonts w:ascii="Tahoma" w:eastAsia="Times New Roman" w:hAnsi="Tahoma" w:cs="Times New Roman"/>
      <w:sz w:val="20"/>
      <w:szCs w:val="20"/>
      <w:lang w:val="en-GB"/>
    </w:rPr>
  </w:style>
  <w:style w:type="character" w:styleId="a6">
    <w:name w:val="footnote reference"/>
    <w:aliases w:val="Footnote symbol"/>
    <w:rsid w:val="007E4F46"/>
    <w:rPr>
      <w:vertAlign w:val="superscript"/>
    </w:rPr>
  </w:style>
  <w:style w:type="character" w:styleId="-">
    <w:name w:val="Hyperlink"/>
    <w:uiPriority w:val="99"/>
    <w:rsid w:val="007E4F46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453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53BDD"/>
  </w:style>
  <w:style w:type="paragraph" w:styleId="a8">
    <w:name w:val="footer"/>
    <w:basedOn w:val="a"/>
    <w:link w:val="Char2"/>
    <w:uiPriority w:val="99"/>
    <w:unhideWhenUsed/>
    <w:rsid w:val="00453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453BDD"/>
  </w:style>
  <w:style w:type="paragraph" w:styleId="a9">
    <w:name w:val="Balloon Text"/>
    <w:basedOn w:val="a"/>
    <w:link w:val="Char3"/>
    <w:uiPriority w:val="99"/>
    <w:semiHidden/>
    <w:unhideWhenUsed/>
    <w:rsid w:val="0068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82B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ΖΩΓΓΟΥ ΕΛΕΝΗ</cp:lastModifiedBy>
  <cp:revision>11</cp:revision>
  <cp:lastPrinted>2020-10-05T08:25:00Z</cp:lastPrinted>
  <dcterms:created xsi:type="dcterms:W3CDTF">2020-09-30T08:59:00Z</dcterms:created>
  <dcterms:modified xsi:type="dcterms:W3CDTF">2020-10-21T11:14:00Z</dcterms:modified>
</cp:coreProperties>
</file>