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6" w:rsidRPr="006D747E" w:rsidRDefault="00795620" w:rsidP="001B104D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bookmarkStart w:id="0" w:name="_Hlk82534196"/>
      <w:r w:rsidRPr="001D4694">
        <w:rPr>
          <w:rFonts w:ascii="Calibri" w:eastAsia="Times New Roman" w:hAnsi="Calibri" w:cs="Times New Roman"/>
          <w:kern w:val="1"/>
          <w:lang w:eastAsia="ar-SA"/>
        </w:rPr>
        <w:t xml:space="preserve">     </w:t>
      </w:r>
      <w:r w:rsidR="00894CEB">
        <w:rPr>
          <w:rFonts w:ascii="Calibri" w:eastAsia="Times New Roman" w:hAnsi="Calibri" w:cs="Times New Roman"/>
          <w:kern w:val="1"/>
          <w:lang w:eastAsia="ar-SA"/>
        </w:rPr>
        <w:t xml:space="preserve">                                                                                            </w:t>
      </w:r>
    </w:p>
    <w:p w:rsidR="00922EF6" w:rsidRDefault="000E42C1" w:rsidP="000E42C1">
      <w:pPr>
        <w:tabs>
          <w:tab w:val="left" w:pos="870"/>
        </w:tabs>
        <w:suppressAutoHyphens/>
        <w:spacing w:after="0" w:line="240" w:lineRule="auto"/>
        <w:ind w:left="-993" w:right="-666"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1F29" wp14:editId="7FE54C3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C1" w:rsidRDefault="000E42C1" w:rsidP="000E42C1">
                            <w:pPr>
                              <w:jc w:val="right"/>
                            </w:pPr>
                            <w:r w:rsidRPr="00922EF6">
                              <w:rPr>
                                <w:rFonts w:ascii="Calibri" w:eastAsia="Times New Roman" w:hAnsi="Calibri" w:cs="Times New Roman"/>
                                <w:noProof/>
                                <w:kern w:val="1"/>
                                <w:lang w:val="en-GB" w:eastAsia="en-GB"/>
                              </w:rPr>
                              <w:drawing>
                                <wp:inline distT="0" distB="0" distL="0" distR="0" wp14:anchorId="4F37D109" wp14:editId="2B5B2D99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JgiwIAAIoFAAAOAAAAZHJzL2Uyb0RvYy54bWysVE1v2zAMvQ/YfxB0X51kbdM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" fillcolor="white [3201]" stroked="f" strokeweight=".5pt">
                <v:textbox>
                  <w:txbxContent>
                    <w:p w:rsidR="000E42C1" w:rsidRDefault="000E42C1" w:rsidP="000E42C1">
                      <w:pPr>
                        <w:jc w:val="right"/>
                      </w:pPr>
                      <w:r w:rsidRPr="00922EF6">
                        <w:rPr>
                          <w:rFonts w:ascii="Calibri" w:eastAsia="Times New Roman" w:hAnsi="Calibri" w:cs="Times New Roman"/>
                          <w:noProof/>
                          <w:kern w:val="1"/>
                          <w:lang w:eastAsia="el-GR"/>
                        </w:rPr>
                        <w:drawing>
                          <wp:inline distT="0" distB="0" distL="0" distR="0" wp14:anchorId="0092A05B" wp14:editId="141E787C">
                            <wp:extent cx="1547495" cy="668020"/>
                            <wp:effectExtent l="0" t="0" r="0" b="0"/>
                            <wp:docPr id="9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694">
        <w:rPr>
          <w:rFonts w:ascii="CG Times" w:eastAsia="Times New Roman" w:hAnsi="CG Times" w:cs="Times New Roman"/>
          <w:noProof/>
          <w:sz w:val="20"/>
          <w:szCs w:val="20"/>
          <w:lang w:val="en-GB" w:eastAsia="en-GB"/>
        </w:rPr>
        <w:drawing>
          <wp:inline distT="0" distB="0" distL="0" distR="0" wp14:anchorId="1AAA08DE" wp14:editId="0822DE54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94">
        <w:rPr>
          <w:noProof/>
          <w:lang w:eastAsia="el-GR"/>
        </w:rPr>
        <w:t xml:space="preserve">                          </w:t>
      </w:r>
      <w:r w:rsidR="001D4694" w:rsidRPr="001D4694">
        <w:rPr>
          <w:rFonts w:ascii="Calibri" w:eastAsia="Times New Roman" w:hAnsi="Calibri" w:cs="Times New Roman"/>
          <w:noProof/>
          <w:kern w:val="1"/>
          <w:lang w:eastAsia="el-GR"/>
        </w:rPr>
        <w:t xml:space="preserve">   </w:t>
      </w:r>
      <w:r w:rsidR="00922EF6" w:rsidRPr="00922EF6">
        <w:rPr>
          <w:rFonts w:ascii="Calibri" w:eastAsia="Times New Roman" w:hAnsi="Calibri" w:cs="Times New Roman"/>
          <w:kern w:val="1"/>
          <w:lang w:eastAsia="ar-SA"/>
        </w:rPr>
        <w:tab/>
      </w:r>
    </w:p>
    <w:p w:rsidR="00786246" w:rsidRDefault="00786246" w:rsidP="00A178A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:rsidR="00786246" w:rsidRDefault="00786246" w:rsidP="00A178A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</w:p>
    <w:p w:rsidR="000E42C1" w:rsidRDefault="000E42C1" w:rsidP="00A178A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</w:p>
    <w:p w:rsidR="000E42C1" w:rsidRPr="00922EF6" w:rsidRDefault="000E42C1" w:rsidP="00A178A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</w:p>
    <w:p w:rsidR="00F66192" w:rsidRPr="007108EB" w:rsidRDefault="00F66192" w:rsidP="001D469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66192">
        <w:rPr>
          <w:rFonts w:ascii="Calibri" w:eastAsia="Times New Roman" w:hAnsi="Calibri" w:cs="Times New Roman"/>
          <w:b/>
          <w:bCs/>
          <w:sz w:val="24"/>
          <w:szCs w:val="24"/>
        </w:rPr>
        <w:t>ΔΕΛΤΙΟ</w:t>
      </w:r>
      <w:r w:rsidRPr="001D469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66192">
        <w:rPr>
          <w:rFonts w:ascii="Calibri" w:eastAsia="Times New Roman" w:hAnsi="Calibri" w:cs="Times New Roman"/>
          <w:b/>
          <w:bCs/>
          <w:sz w:val="24"/>
          <w:szCs w:val="24"/>
        </w:rPr>
        <w:t>ΤΥΠΟΥ</w:t>
      </w:r>
      <w:r w:rsidRPr="001D4694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</w:t>
      </w:r>
      <w:r w:rsidR="001D469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1D4694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2023D4" w:rsidRPr="001D4694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</w:t>
      </w:r>
      <w:r w:rsidR="00E333D7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3</w:t>
      </w:r>
      <w:bookmarkStart w:id="1" w:name="_GoBack"/>
      <w:bookmarkEnd w:id="1"/>
      <w:r w:rsidR="007108EB" w:rsidRPr="007108EB">
        <w:rPr>
          <w:rFonts w:ascii="Calibri" w:eastAsia="Times New Roman" w:hAnsi="Calibri" w:cs="Times New Roman"/>
          <w:b/>
          <w:bCs/>
          <w:sz w:val="24"/>
          <w:szCs w:val="24"/>
        </w:rPr>
        <w:t>/11</w:t>
      </w:r>
      <w:r w:rsidR="002023D4" w:rsidRPr="007108EB">
        <w:rPr>
          <w:rFonts w:ascii="Calibri" w:eastAsia="Times New Roman" w:hAnsi="Calibri" w:cs="Times New Roman"/>
          <w:b/>
          <w:bCs/>
          <w:sz w:val="24"/>
          <w:szCs w:val="24"/>
        </w:rPr>
        <w:t>/2021</w:t>
      </w:r>
    </w:p>
    <w:p w:rsidR="00FF1091" w:rsidRDefault="00E5342A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Στο 1,5</w:t>
      </w:r>
      <w:r w:rsidRPr="00E5342A">
        <w:rPr>
          <w:rFonts w:ascii="Arial" w:eastAsia="Times New Roman" w:hAnsi="Arial" w:cs="Arial"/>
          <w:b/>
          <w:sz w:val="24"/>
          <w:szCs w:val="24"/>
          <w:lang w:eastAsia="el-GR"/>
        </w:rPr>
        <w:t>0</w:t>
      </w:r>
      <w:r w:rsidR="007108EB" w:rsidRPr="007108EB">
        <w:rPr>
          <w:rFonts w:ascii="Arial" w:eastAsia="Times New Roman" w:hAnsi="Arial" w:cs="Arial"/>
          <w:b/>
          <w:sz w:val="24"/>
          <w:szCs w:val="24"/>
          <w:lang w:eastAsia="el-GR"/>
        </w:rPr>
        <w:t>% το ποσοστό δαπανών για Έρευνα &amp; Ανάπτυξη το 2020 στην Ελλάδα</w:t>
      </w:r>
      <w:r w:rsidRPr="00E5342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</w:p>
    <w:p w:rsidR="002023D4" w:rsidRPr="00E5342A" w:rsidRDefault="00E5342A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5342A">
        <w:rPr>
          <w:rFonts w:ascii="Arial" w:eastAsia="Times New Roman" w:hAnsi="Arial" w:cs="Arial"/>
          <w:b/>
          <w:sz w:val="24"/>
          <w:szCs w:val="24"/>
          <w:lang w:eastAsia="el-GR"/>
        </w:rPr>
        <w:t>ξεπερνώντας το</w:t>
      </w:r>
      <w:r w:rsidR="007D74E1">
        <w:rPr>
          <w:rFonts w:ascii="Arial" w:eastAsia="Times New Roman" w:hAnsi="Arial" w:cs="Arial"/>
          <w:b/>
          <w:sz w:val="24"/>
          <w:szCs w:val="24"/>
          <w:lang w:eastAsia="el-GR"/>
        </w:rPr>
        <w:t>ν</w:t>
      </w:r>
      <w:r w:rsidRPr="00E5342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στόχο του 1,30% του Εθνικού Προγράμματος Μεταρρυθμίσεων</w:t>
      </w: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667F615" wp14:editId="3D586E41">
            <wp:simplePos x="0" y="0"/>
            <wp:positionH relativeFrom="column">
              <wp:posOffset>352425</wp:posOffset>
            </wp:positionH>
            <wp:positionV relativeFrom="paragraph">
              <wp:posOffset>12700</wp:posOffset>
            </wp:positionV>
            <wp:extent cx="5143500" cy="2844165"/>
            <wp:effectExtent l="0" t="0" r="0" b="0"/>
            <wp:wrapSquare wrapText="bothSides"/>
            <wp:docPr id="2" name="Picture 2" descr="https://www.ekt.gr/sites/ekt-site/files/press/Figure1_RDstatistics_2020_provisional_Greece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kt.gr/sites/ekt-site/files/press/Figure1_RDstatistics_2020_provisional_Greece_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FF1091" w:rsidRDefault="00FF1091" w:rsidP="007108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922EF6" w:rsidRPr="00922EF6" w:rsidRDefault="00922EF6" w:rsidP="00922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bookmarkEnd w:id="0"/>
    <w:p w:rsidR="007108EB" w:rsidRPr="007108EB" w:rsidRDefault="007108EB" w:rsidP="007108E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</w:pP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Στο </w:t>
      </w:r>
      <w:r w:rsidRPr="007108EB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1,50%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διαμορφώθηκε το </w:t>
      </w:r>
      <w:r w:rsidRPr="00CA383B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2020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το ποσοστό των δαπανών Έρευνας &amp; Ανάπτυξης (Ε&amp;Α) επί του ΑΕΠ, σύμφωνα με τα προκαταρκτικά στοιχεία που δημοσίευσε το </w:t>
      </w:r>
      <w:r w:rsidRPr="007108EB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Εθνικό Κέντρο Τεκμηρίωσης και Ηλεκτρονικού Περιεχομένου (ΕΚΤ)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, ως η αρμόδια Εθνική Αρχή του Ελληνικού Στατιστικού Συστήματος για τις ευρωπαϊκές στατιστικές Έρευνας, Ανάπτυξης και Καινοτομίας. </w:t>
      </w:r>
    </w:p>
    <w:p w:rsidR="007108EB" w:rsidRPr="007108EB" w:rsidRDefault="007108EB" w:rsidP="007108E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</w:pP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Το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2020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, οι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δαπάνες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που πραγματοποιήθηκαν για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Ε&amp;Α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στην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Ελλάδα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ήταν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2.473,45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εκατ. ευρώ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, αυξημένες κατά 135,8 εκατ. ευρώ σε σχέση με το 2019 (ποσοστό αύξησης 5,8%).</w:t>
      </w:r>
    </w:p>
    <w:p w:rsidR="007108EB" w:rsidRPr="007108EB" w:rsidRDefault="007108EB" w:rsidP="007108E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</w:pP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lastRenderedPageBreak/>
        <w:t>Με βάση την, κατά 5,8%, αύξηση των δαπανών Ε&amp;Α και τη μείωση, κατά 9,8%, του ΑΕΠ στην Ελλάδα το 2020, ο  δείκτης "</w:t>
      </w:r>
      <w:r w:rsidRPr="00CA383B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Ένταση Ε&amp;Α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", που εκφράζει τις </w:t>
      </w:r>
      <w:r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δαπάνες Ε&amp;Α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ως ποσοστό του ΑΕΠ, διαμορφώ</w:t>
      </w:r>
      <w:r w:rsid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θηκε σε </w:t>
      </w:r>
      <w:r w:rsidR="00CA383B" w:rsidRPr="00CA383B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1,50%</w:t>
      </w:r>
      <w:r w:rsid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από 1,28% το 2019, </w:t>
      </w:r>
      <w:r w:rsidR="00CA383B" w:rsidRP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παρουσιάζοντας αύξησ</w:t>
      </w:r>
      <w:r w:rsid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η κατά 0,22 ποσοστιαίες μονάδες,</w:t>
      </w:r>
      <w:r w:rsidR="00CA383B" w:rsidRPr="00CA383B">
        <w:t xml:space="preserve"> </w:t>
      </w:r>
      <w:r w:rsidR="00CA383B"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ξεπερνώντας το</w:t>
      </w:r>
      <w:r w:rsidR="007D74E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ν</w:t>
      </w:r>
      <w:r w:rsidR="00CA383B"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 xml:space="preserve"> στόχο του 1,30%</w:t>
      </w:r>
      <w:r w:rsidR="00CA383B" w:rsidRP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του </w:t>
      </w:r>
      <w:r w:rsidR="00CA383B" w:rsidRPr="007D74E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Εθνικού Προγράμματος Μεταρρυθμίσεων</w:t>
      </w:r>
      <w:r w:rsid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</w:t>
      </w:r>
      <w:r w:rsidR="00CA383B" w:rsidRPr="00FF109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για το 2020</w:t>
      </w:r>
      <w:r w:rsidR="00CA383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.</w:t>
      </w:r>
    </w:p>
    <w:p w:rsidR="006D747E" w:rsidRDefault="007108EB" w:rsidP="007108E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</w:pP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Τα αποτελέσματα </w:t>
      </w:r>
      <w:r w:rsidR="007D74E1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της στατιστικής έρευνας του ΕΚΤ</w:t>
      </w:r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 που διεξήχθη το 2021 σε φορείς με ερευνητικές και αναπτυξιακές δραστηριότητες είναι διαθέσιμα στην έκδοση “Βασικοί Δείκτες Έρευνας και Ανάπτυξης για δαπάνες και προσωπικό το 2020 στην Ελλάδα – Προκαταρκτικά στοιχεία” (</w:t>
      </w:r>
      <w:hyperlink r:id="rId12" w:tgtFrame="_blank" w:history="1">
        <w:r w:rsidRPr="007108EB">
          <w:rPr>
            <w:rStyle w:val="Hyperlink"/>
            <w:rFonts w:ascii="Arial" w:eastAsia="Andale Sans UI" w:hAnsi="Arial" w:cs="Arial"/>
            <w:iCs/>
            <w:kern w:val="3"/>
            <w:sz w:val="24"/>
            <w:szCs w:val="24"/>
            <w:lang w:eastAsia="ja-JP" w:bidi="fa-IR"/>
          </w:rPr>
          <w:t>https://metrics.ekt.gr/publications/505</w:t>
        </w:r>
      </w:hyperlink>
      <w:r w:rsidRPr="007108EB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).</w:t>
      </w:r>
    </w:p>
    <w:p w:rsidR="007108EB" w:rsidRPr="007108EB" w:rsidRDefault="007108EB" w:rsidP="007108EB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</w:pPr>
    </w:p>
    <w:sectPr w:rsidR="007108EB" w:rsidRPr="007108EB" w:rsidSect="000E42C1">
      <w:footerReference w:type="default" r:id="rId13"/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89" w:rsidRDefault="007A7789" w:rsidP="00AE4F75">
      <w:pPr>
        <w:spacing w:after="0" w:line="240" w:lineRule="auto"/>
      </w:pPr>
      <w:r>
        <w:separator/>
      </w:r>
    </w:p>
  </w:endnote>
  <w:endnote w:type="continuationSeparator" w:id="0">
    <w:p w:rsidR="007A7789" w:rsidRDefault="007A7789" w:rsidP="00A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75" w:rsidRDefault="00AE4F75" w:rsidP="00AE4F75">
    <w:pPr>
      <w:pStyle w:val="Footer"/>
      <w:rPr>
        <w:rFonts w:ascii="Calibri" w:eastAsia="Times New Roman" w:hAnsi="Calibri" w:cs="Times New Roman"/>
        <w:i/>
        <w:color w:val="0000FF"/>
        <w:sz w:val="16"/>
        <w:szCs w:val="16"/>
        <w:u w:val="single"/>
        <w:lang w:eastAsia="el-GR"/>
      </w:rPr>
    </w:pP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Γενική Γραμματεία Έρευνας και Καινοτομίας </w:t>
    </w:r>
    <w:r w:rsidR="001D4694">
      <w:rPr>
        <w:rFonts w:ascii="Calibri" w:eastAsia="Times New Roman" w:hAnsi="Calibri" w:cs="Arial"/>
        <w:i/>
        <w:sz w:val="16"/>
        <w:szCs w:val="16"/>
        <w:lang w:eastAsia="el-GR"/>
      </w:rPr>
      <w:t>(</w:t>
    </w:r>
    <w:r w:rsidRPr="00922EF6">
      <w:rPr>
        <w:rFonts w:ascii="Calibri" w:eastAsia="Times New Roman" w:hAnsi="Calibri" w:cs="Arial"/>
        <w:b/>
        <w:i/>
        <w:sz w:val="16"/>
        <w:szCs w:val="16"/>
        <w:lang w:eastAsia="el-GR"/>
      </w:rPr>
      <w:t>ΓΓΕΚ</w:t>
    </w:r>
    <w:r w:rsidR="001D4694">
      <w:rPr>
        <w:rFonts w:ascii="Calibri" w:eastAsia="Times New Roman" w:hAnsi="Calibri" w:cs="Arial"/>
        <w:b/>
        <w:i/>
        <w:sz w:val="16"/>
        <w:szCs w:val="16"/>
        <w:lang w:eastAsia="el-GR"/>
      </w:rPr>
      <w:t>)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Arial"/>
        <w:sz w:val="16"/>
        <w:szCs w:val="16"/>
        <w:lang w:eastAsia="el-GR"/>
      </w:rPr>
      <w:t xml:space="preserve">// </w:t>
    </w:r>
    <w:r w:rsidR="007108EB">
      <w:rPr>
        <w:rFonts w:ascii="Calibri" w:eastAsia="Times New Roman" w:hAnsi="Calibri" w:cs="Arial"/>
        <w:i/>
        <w:sz w:val="16"/>
        <w:szCs w:val="16"/>
        <w:lang w:eastAsia="el-GR"/>
      </w:rPr>
      <w:t>Τηλ: 2131300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015// </w:t>
    </w:r>
    <w:r w:rsidRPr="00922EF6">
      <w:rPr>
        <w:rFonts w:ascii="Calibri" w:eastAsia="Times New Roman" w:hAnsi="Calibri" w:cs="Arial"/>
        <w:i/>
        <w:sz w:val="16"/>
        <w:szCs w:val="16"/>
        <w:lang w:val="en-US" w:eastAsia="el-GR"/>
      </w:rPr>
      <w:t>Email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: </w:t>
    </w:r>
    <w:hyperlink r:id="rId1" w:history="1"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@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gr</w:t>
      </w:r>
    </w:hyperlink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Times New Roman"/>
        <w:sz w:val="16"/>
        <w:szCs w:val="16"/>
        <w:lang w:eastAsia="el-GR"/>
      </w:rPr>
      <w:t xml:space="preserve"> // </w:t>
    </w:r>
    <w:hyperlink r:id="rId2" w:history="1"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http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://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www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gr</w:t>
      </w:r>
    </w:hyperlink>
  </w:p>
  <w:p w:rsidR="001D4694" w:rsidRPr="001D4694" w:rsidRDefault="001D4694" w:rsidP="00AE4F75">
    <w:pPr>
      <w:pStyle w:val="Footer"/>
    </w:pPr>
  </w:p>
  <w:p w:rsidR="00AE4F75" w:rsidRDefault="00AE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89" w:rsidRDefault="007A7789" w:rsidP="00AE4F75">
      <w:pPr>
        <w:spacing w:after="0" w:line="240" w:lineRule="auto"/>
      </w:pPr>
      <w:r>
        <w:separator/>
      </w:r>
    </w:p>
  </w:footnote>
  <w:footnote w:type="continuationSeparator" w:id="0">
    <w:p w:rsidR="007A7789" w:rsidRDefault="007A7789" w:rsidP="00A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93D"/>
    <w:multiLevelType w:val="hybridMultilevel"/>
    <w:tmpl w:val="7F80B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2AD"/>
    <w:multiLevelType w:val="hybridMultilevel"/>
    <w:tmpl w:val="DD5807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275F9"/>
    <w:multiLevelType w:val="hybridMultilevel"/>
    <w:tmpl w:val="E9608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EF8"/>
    <w:multiLevelType w:val="hybridMultilevel"/>
    <w:tmpl w:val="A0B27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3DE1"/>
    <w:multiLevelType w:val="hybridMultilevel"/>
    <w:tmpl w:val="5088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1F26"/>
    <w:multiLevelType w:val="hybridMultilevel"/>
    <w:tmpl w:val="0AA6D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C"/>
    <w:rsid w:val="00031EA6"/>
    <w:rsid w:val="00043076"/>
    <w:rsid w:val="0007372C"/>
    <w:rsid w:val="000A5DAB"/>
    <w:rsid w:val="000B29EE"/>
    <w:rsid w:val="000C716C"/>
    <w:rsid w:val="000E42C1"/>
    <w:rsid w:val="001166BC"/>
    <w:rsid w:val="0014064E"/>
    <w:rsid w:val="001428B7"/>
    <w:rsid w:val="00174188"/>
    <w:rsid w:val="00190810"/>
    <w:rsid w:val="001B104D"/>
    <w:rsid w:val="001D4694"/>
    <w:rsid w:val="002023D4"/>
    <w:rsid w:val="00227A74"/>
    <w:rsid w:val="00230569"/>
    <w:rsid w:val="002C344F"/>
    <w:rsid w:val="003353F4"/>
    <w:rsid w:val="0034507A"/>
    <w:rsid w:val="003B693A"/>
    <w:rsid w:val="003D08C0"/>
    <w:rsid w:val="004E13C1"/>
    <w:rsid w:val="004F3EE6"/>
    <w:rsid w:val="0059424B"/>
    <w:rsid w:val="005B08DA"/>
    <w:rsid w:val="005B497F"/>
    <w:rsid w:val="005B6242"/>
    <w:rsid w:val="005C6B46"/>
    <w:rsid w:val="00640551"/>
    <w:rsid w:val="00691956"/>
    <w:rsid w:val="006B2662"/>
    <w:rsid w:val="006D5B78"/>
    <w:rsid w:val="006D747E"/>
    <w:rsid w:val="00700BED"/>
    <w:rsid w:val="007108EB"/>
    <w:rsid w:val="0071140B"/>
    <w:rsid w:val="00752D1F"/>
    <w:rsid w:val="00786246"/>
    <w:rsid w:val="00795620"/>
    <w:rsid w:val="007A7789"/>
    <w:rsid w:val="007B112C"/>
    <w:rsid w:val="007B6A2B"/>
    <w:rsid w:val="007D74E1"/>
    <w:rsid w:val="00894CEB"/>
    <w:rsid w:val="00895A81"/>
    <w:rsid w:val="008B613E"/>
    <w:rsid w:val="008C3AE5"/>
    <w:rsid w:val="008E27BF"/>
    <w:rsid w:val="00922EF6"/>
    <w:rsid w:val="00925097"/>
    <w:rsid w:val="009D0183"/>
    <w:rsid w:val="00A178A7"/>
    <w:rsid w:val="00A200B5"/>
    <w:rsid w:val="00AE4F75"/>
    <w:rsid w:val="00AF34EE"/>
    <w:rsid w:val="00AF60A5"/>
    <w:rsid w:val="00AF7B03"/>
    <w:rsid w:val="00B64A45"/>
    <w:rsid w:val="00BB452D"/>
    <w:rsid w:val="00BC7483"/>
    <w:rsid w:val="00BE43C5"/>
    <w:rsid w:val="00C208E5"/>
    <w:rsid w:val="00C30BD3"/>
    <w:rsid w:val="00C3755F"/>
    <w:rsid w:val="00C4489C"/>
    <w:rsid w:val="00CA383B"/>
    <w:rsid w:val="00CA3FF8"/>
    <w:rsid w:val="00CC5855"/>
    <w:rsid w:val="00CC589F"/>
    <w:rsid w:val="00DA327B"/>
    <w:rsid w:val="00E333D7"/>
    <w:rsid w:val="00E46C0C"/>
    <w:rsid w:val="00E50650"/>
    <w:rsid w:val="00E5342A"/>
    <w:rsid w:val="00E77EB2"/>
    <w:rsid w:val="00EA12F4"/>
    <w:rsid w:val="00F01016"/>
    <w:rsid w:val="00F66192"/>
    <w:rsid w:val="00F72AF1"/>
    <w:rsid w:val="00FA0903"/>
    <w:rsid w:val="00FE0593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75"/>
  </w:style>
  <w:style w:type="paragraph" w:styleId="Footer">
    <w:name w:val="footer"/>
    <w:basedOn w:val="Normal"/>
    <w:link w:val="Foot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75"/>
  </w:style>
  <w:style w:type="paragraph" w:styleId="BalloonText">
    <w:name w:val="Balloon Text"/>
    <w:basedOn w:val="Normal"/>
    <w:link w:val="BalloonTextChar"/>
    <w:uiPriority w:val="99"/>
    <w:semiHidden/>
    <w:unhideWhenUsed/>
    <w:rsid w:val="0020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3D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4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108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75"/>
  </w:style>
  <w:style w:type="paragraph" w:styleId="Footer">
    <w:name w:val="footer"/>
    <w:basedOn w:val="Normal"/>
    <w:link w:val="Foot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75"/>
  </w:style>
  <w:style w:type="paragraph" w:styleId="BalloonText">
    <w:name w:val="Balloon Text"/>
    <w:basedOn w:val="Normal"/>
    <w:link w:val="BalloonTextChar"/>
    <w:uiPriority w:val="99"/>
    <w:semiHidden/>
    <w:unhideWhenUsed/>
    <w:rsid w:val="0020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3D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4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108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trics.ekt.gr/publications/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t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SAKIB</dc:creator>
  <cp:lastModifiedBy>Mariam Sakib</cp:lastModifiedBy>
  <cp:revision>5</cp:revision>
  <dcterms:created xsi:type="dcterms:W3CDTF">2021-11-03T11:55:00Z</dcterms:created>
  <dcterms:modified xsi:type="dcterms:W3CDTF">2021-11-03T11:59:00Z</dcterms:modified>
</cp:coreProperties>
</file>