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E3" w:rsidRPr="003053E3" w:rsidRDefault="003053E3" w:rsidP="003053E3">
      <w:pPr>
        <w:ind w:firstLine="720"/>
        <w:jc w:val="right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053E3">
        <w:rPr>
          <w:rFonts w:asciiTheme="minorHAnsi" w:hAnsiTheme="minorHAnsi" w:cstheme="minorHAnsi"/>
          <w:bCs/>
          <w:sz w:val="22"/>
          <w:szCs w:val="22"/>
        </w:rPr>
        <w:t>Αθήν</w:t>
      </w:r>
      <w:proofErr w:type="spellEnd"/>
      <w:r w:rsidRPr="003053E3">
        <w:rPr>
          <w:rFonts w:asciiTheme="minorHAnsi" w:hAnsiTheme="minorHAnsi" w:cstheme="minorHAnsi"/>
          <w:bCs/>
          <w:sz w:val="22"/>
          <w:szCs w:val="22"/>
        </w:rPr>
        <w:t xml:space="preserve">α, </w:t>
      </w:r>
      <w:r w:rsidR="00BE4070" w:rsidRPr="00334A48">
        <w:rPr>
          <w:rFonts w:asciiTheme="minorHAnsi" w:hAnsiTheme="minorHAnsi" w:cstheme="minorHAnsi"/>
          <w:bCs/>
          <w:sz w:val="22"/>
          <w:szCs w:val="22"/>
          <w:lang w:val="el-GR"/>
        </w:rPr>
        <w:t>24</w:t>
      </w:r>
      <w:r w:rsidRPr="003053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53E3">
        <w:rPr>
          <w:rFonts w:asciiTheme="minorHAnsi" w:hAnsiTheme="minorHAnsi" w:cstheme="minorHAnsi"/>
          <w:sz w:val="22"/>
          <w:szCs w:val="22"/>
        </w:rPr>
        <w:t>Μα</w:t>
      </w:r>
      <w:proofErr w:type="spellStart"/>
      <w:r w:rsidRPr="003053E3">
        <w:rPr>
          <w:rFonts w:asciiTheme="minorHAnsi" w:hAnsiTheme="minorHAnsi" w:cstheme="minorHAnsi"/>
          <w:sz w:val="22"/>
          <w:szCs w:val="22"/>
        </w:rPr>
        <w:t>ΐου</w:t>
      </w:r>
      <w:proofErr w:type="spellEnd"/>
      <w:r w:rsidRPr="003053E3">
        <w:rPr>
          <w:rFonts w:asciiTheme="minorHAnsi" w:hAnsiTheme="minorHAnsi" w:cstheme="minorHAnsi"/>
          <w:sz w:val="22"/>
          <w:szCs w:val="22"/>
        </w:rPr>
        <w:t xml:space="preserve"> </w:t>
      </w:r>
      <w:r w:rsidRPr="003053E3">
        <w:rPr>
          <w:rFonts w:asciiTheme="minorHAnsi" w:hAnsiTheme="minorHAnsi" w:cstheme="minorHAnsi"/>
          <w:bCs/>
          <w:sz w:val="22"/>
          <w:szCs w:val="22"/>
        </w:rPr>
        <w:t>2018</w:t>
      </w:r>
    </w:p>
    <w:p w:rsidR="003053E3" w:rsidRDefault="003053E3" w:rsidP="003053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53E3" w:rsidRDefault="003053E3" w:rsidP="003053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E3">
        <w:rPr>
          <w:rFonts w:asciiTheme="minorHAnsi" w:hAnsiTheme="minorHAnsi" w:cstheme="minorHAnsi"/>
          <w:b/>
          <w:bCs/>
          <w:sz w:val="22"/>
          <w:szCs w:val="22"/>
        </w:rPr>
        <w:t>ΑΝΑΚΟΙΝΩΣΗ</w:t>
      </w:r>
    </w:p>
    <w:p w:rsidR="003053E3" w:rsidRPr="003053E3" w:rsidRDefault="003053E3" w:rsidP="003053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053E3" w:rsidRPr="003053E3" w:rsidRDefault="003053E3" w:rsidP="003053E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E3">
        <w:rPr>
          <w:rFonts w:asciiTheme="minorHAnsi" w:hAnsiTheme="minorHAnsi" w:cstheme="minorHAnsi"/>
          <w:b/>
          <w:bCs/>
          <w:sz w:val="22"/>
          <w:szCs w:val="22"/>
          <w:lang w:val="el-GR"/>
        </w:rPr>
        <w:t>Στατιστικά στοιχεία ελληνικής συμμετοχή στην Ά φάση υποβολής προτάσεων της Ενότητας 2 του προγράμματος PRIMA</w:t>
      </w:r>
    </w:p>
    <w:p w:rsidR="00EF74FE" w:rsidRDefault="00EF74FE" w:rsidP="00A925CD">
      <w:pPr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9D06A0" w:rsidRDefault="00334A48" w:rsidP="009D06A0">
      <w:pPr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>
        <w:rPr>
          <w:rStyle w:val="hps"/>
          <w:rFonts w:asciiTheme="minorHAnsi" w:hAnsiTheme="minorHAnsi" w:cstheme="minorHAnsi"/>
          <w:sz w:val="22"/>
          <w:szCs w:val="22"/>
          <w:lang w:val="el-GR"/>
        </w:rPr>
        <w:t>Σ</w:t>
      </w:r>
      <w:r w:rsidR="009D06A0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τις 27.03.2018 </w:t>
      </w:r>
      <w:r>
        <w:rPr>
          <w:rStyle w:val="hps"/>
          <w:rFonts w:asciiTheme="minorHAnsi" w:hAnsiTheme="minorHAnsi" w:cstheme="minorHAnsi"/>
          <w:sz w:val="22"/>
          <w:szCs w:val="22"/>
          <w:lang w:val="el-GR"/>
        </w:rPr>
        <w:t>ολοκληρώθηκε</w:t>
      </w:r>
      <w:r w:rsidR="009D06A0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η πρώτη φάση υποβολής προτάσεων της Ενότητας 2 του Προγράμματος PRIMA. </w:t>
      </w:r>
      <w:r>
        <w:rPr>
          <w:rStyle w:val="hps"/>
          <w:rFonts w:asciiTheme="minorHAnsi" w:hAnsiTheme="minorHAnsi" w:cstheme="minorHAnsi"/>
          <w:sz w:val="22"/>
          <w:szCs w:val="22"/>
          <w:lang w:val="el-GR"/>
        </w:rPr>
        <w:t>Η Ενότητα 2 του Προγράμματος αφορά δ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ραστηριότητες που επιλέγονται κατόπιν ανοικτών, διακρατικών, ανταγωνιστικών προσκλήσεων που οργανώνονται από το Ίδρυμα PRIMA και χρηματοδοτούνται από τους εθνικούς φορείς χρηματοδ</w:t>
      </w:r>
      <w:r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ότησης των συμμετεχόντων κρατών. </w:t>
      </w:r>
    </w:p>
    <w:p w:rsidR="003053E3" w:rsidRPr="003053E3" w:rsidRDefault="003053E3" w:rsidP="009D06A0">
      <w:pPr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FB6D44" w:rsidRPr="003053E3" w:rsidRDefault="00FB6D44" w:rsidP="00EF74FE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Συνολικά, υπεβλήθησαν 394 προτάσεις, σε 142 εκ των οποίων υπήρχε ελληνική συμμετοχή. Στον πίνακα 1 παρουσιάζονται τα στοιχεία προτάσεων </w:t>
      </w:r>
      <w:r w:rsidRPr="003053E3">
        <w:rPr>
          <w:rFonts w:asciiTheme="minorHAnsi" w:hAnsiTheme="minorHAnsi" w:cstheme="minorHAnsi"/>
          <w:sz w:val="22"/>
          <w:szCs w:val="22"/>
          <w:lang w:val="el-GR"/>
        </w:rPr>
        <w:t xml:space="preserve">ανά θεματική περιοχή </w:t>
      </w:r>
      <w:r w:rsidR="00EF74FE" w:rsidRPr="003053E3">
        <w:rPr>
          <w:rFonts w:asciiTheme="minorHAnsi" w:hAnsiTheme="minorHAnsi" w:cstheme="minorHAnsi"/>
          <w:sz w:val="22"/>
          <w:szCs w:val="22"/>
          <w:lang w:val="el-GR"/>
        </w:rPr>
        <w:t xml:space="preserve">(Διαχείριση υδάτων, Γεωργία και </w:t>
      </w:r>
      <w:proofErr w:type="spellStart"/>
      <w:r w:rsidR="00EF74FE" w:rsidRPr="003053E3">
        <w:rPr>
          <w:rFonts w:asciiTheme="minorHAnsi" w:hAnsiTheme="minorHAnsi" w:cstheme="minorHAnsi"/>
          <w:sz w:val="22"/>
          <w:szCs w:val="22"/>
          <w:lang w:val="el-GR"/>
        </w:rPr>
        <w:t>Αγροδιατροφή</w:t>
      </w:r>
      <w:proofErr w:type="spellEnd"/>
      <w:r w:rsidR="00EF74FE" w:rsidRPr="003053E3">
        <w:rPr>
          <w:rFonts w:asciiTheme="minorHAnsi" w:hAnsiTheme="minorHAnsi" w:cstheme="minorHAnsi"/>
          <w:sz w:val="22"/>
          <w:szCs w:val="22"/>
          <w:lang w:val="el-GR"/>
        </w:rPr>
        <w:t xml:space="preserve">-αλυσίδα αξίας) 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και στ</w:t>
      </w:r>
      <w:r w:rsidR="00C63942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α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63942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διαγράμματα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1</w:t>
      </w:r>
      <w:r w:rsidR="00C63942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και 2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αποτυπώνονται τα αντίστοιχα μεγέθη. </w:t>
      </w:r>
    </w:p>
    <w:p w:rsidR="00FB6D44" w:rsidRPr="003053E3" w:rsidRDefault="00FB6D44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FB6D44" w:rsidRPr="003053E3" w:rsidRDefault="00FB6D44" w:rsidP="00FB6D44">
      <w:pPr>
        <w:pStyle w:val="Defaul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3053E3">
        <w:rPr>
          <w:rFonts w:asciiTheme="minorHAnsi" w:hAnsiTheme="minorHAnsi" w:cstheme="minorHAnsi"/>
          <w:b/>
          <w:sz w:val="22"/>
          <w:szCs w:val="22"/>
        </w:rPr>
        <w:t xml:space="preserve">Πίνακας </w: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053E3">
        <w:rPr>
          <w:rFonts w:asciiTheme="minorHAnsi" w:hAnsiTheme="minorHAnsi" w:cstheme="minorHAnsi"/>
          <w:b/>
          <w:sz w:val="22"/>
          <w:szCs w:val="22"/>
        </w:rPr>
        <w:instrText xml:space="preserve"> SEQ Πίνακας \* ARABIC </w:instrTex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340F7" w:rsidRPr="003053E3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053E3">
        <w:rPr>
          <w:rFonts w:asciiTheme="minorHAnsi" w:hAnsiTheme="minorHAnsi" w:cstheme="minorHAnsi"/>
          <w:b/>
          <w:sz w:val="22"/>
          <w:szCs w:val="22"/>
        </w:rPr>
        <w:t xml:space="preserve">: Κατανομή Προτάσεων Έργων </w:t>
      </w:r>
      <w:r w:rsidRPr="003053E3">
        <w:rPr>
          <w:rFonts w:asciiTheme="minorHAnsi" w:hAnsiTheme="minorHAnsi" w:cstheme="minorHAnsi"/>
          <w:b/>
          <w:sz w:val="22"/>
          <w:szCs w:val="22"/>
          <w:lang w:val="en-US"/>
        </w:rPr>
        <w:t>PRIM</w:t>
      </w:r>
      <w:r w:rsidR="00F31450" w:rsidRPr="003053E3">
        <w:rPr>
          <w:rFonts w:asciiTheme="minorHAnsi" w:hAnsiTheme="minorHAnsi" w:cstheme="minorHAnsi"/>
          <w:b/>
          <w:sz w:val="22"/>
          <w:szCs w:val="22"/>
        </w:rPr>
        <w:t>Α και</w:t>
      </w:r>
      <w:r w:rsidRPr="003053E3">
        <w:rPr>
          <w:rFonts w:asciiTheme="minorHAnsi" w:hAnsiTheme="minorHAnsi" w:cstheme="minorHAnsi"/>
          <w:b/>
          <w:sz w:val="22"/>
          <w:szCs w:val="22"/>
        </w:rPr>
        <w:t xml:space="preserve"> Ελληνικές Συμμετοχές ανά θεματική περιοχή </w:t>
      </w:r>
    </w:p>
    <w:p w:rsidR="00FB6D44" w:rsidRPr="003053E3" w:rsidRDefault="00FB6D44" w:rsidP="00FB6D4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1LightAccent1"/>
        <w:tblW w:w="5000" w:type="pct"/>
        <w:tblLook w:val="0620" w:firstRow="1" w:lastRow="0" w:firstColumn="0" w:lastColumn="0" w:noHBand="1" w:noVBand="1"/>
      </w:tblPr>
      <w:tblGrid>
        <w:gridCol w:w="1489"/>
        <w:gridCol w:w="2030"/>
        <w:gridCol w:w="1756"/>
        <w:gridCol w:w="1896"/>
        <w:gridCol w:w="1883"/>
      </w:tblGrid>
      <w:tr w:rsidR="00F31450" w:rsidRPr="003053E3" w:rsidTr="00C63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822" w:type="pct"/>
            <w:noWrap/>
            <w:hideMark/>
          </w:tcPr>
          <w:p w:rsidR="00FB6D44" w:rsidRPr="003053E3" w:rsidRDefault="00FB6D44" w:rsidP="00496E7F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1" w:type="pct"/>
            <w:hideMark/>
          </w:tcPr>
          <w:p w:rsidR="00FB6D44" w:rsidRPr="003053E3" w:rsidRDefault="00FB6D44" w:rsidP="00496E7F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Αριθμός Προτάσεων που υπεβλήθησαν</w:t>
            </w:r>
          </w:p>
        </w:tc>
        <w:tc>
          <w:tcPr>
            <w:tcW w:w="970" w:type="pct"/>
            <w:hideMark/>
          </w:tcPr>
          <w:p w:rsidR="00FB6D44" w:rsidRPr="003053E3" w:rsidRDefault="00FB6D44" w:rsidP="00496E7F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% </w:t>
            </w:r>
            <w:r w:rsidR="00F31450"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Προτάσεων</w:t>
            </w:r>
          </w:p>
        </w:tc>
        <w:tc>
          <w:tcPr>
            <w:tcW w:w="1047" w:type="pct"/>
            <w:hideMark/>
          </w:tcPr>
          <w:p w:rsidR="00FB6D44" w:rsidRPr="003053E3" w:rsidRDefault="00F24FB6" w:rsidP="00496E7F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Προτάσεις με Ελληνική Συμμετοχή</w:t>
            </w:r>
          </w:p>
        </w:tc>
        <w:tc>
          <w:tcPr>
            <w:tcW w:w="1040" w:type="pct"/>
            <w:hideMark/>
          </w:tcPr>
          <w:p w:rsidR="00FB6D44" w:rsidRPr="003053E3" w:rsidRDefault="00FB6D44" w:rsidP="00496E7F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% </w:t>
            </w:r>
            <w:r w:rsidR="00F24FB6"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Προτάσεις με Ελληνική Συμμετοχή</w:t>
            </w:r>
          </w:p>
        </w:tc>
      </w:tr>
      <w:tr w:rsidR="00C63942" w:rsidRPr="003053E3" w:rsidTr="00C63942">
        <w:trPr>
          <w:trHeight w:val="300"/>
        </w:trPr>
        <w:tc>
          <w:tcPr>
            <w:tcW w:w="822" w:type="pct"/>
            <w:noWrap/>
            <w:hideMark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 xml:space="preserve">Ύδατα 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shd w:val="clear" w:color="auto" w:fill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24%</w:t>
            </w:r>
          </w:p>
        </w:tc>
        <w:tc>
          <w:tcPr>
            <w:tcW w:w="1047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040" w:type="pct"/>
            <w:noWrap/>
          </w:tcPr>
          <w:p w:rsidR="00C63942" w:rsidRPr="003053E3" w:rsidRDefault="00C63942" w:rsidP="00C63942">
            <w:pPr>
              <w:shd w:val="clear" w:color="auto" w:fill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39%</w:t>
            </w:r>
          </w:p>
        </w:tc>
      </w:tr>
      <w:tr w:rsidR="00C63942" w:rsidRPr="003053E3" w:rsidTr="00C63942">
        <w:trPr>
          <w:trHeight w:val="300"/>
        </w:trPr>
        <w:tc>
          <w:tcPr>
            <w:tcW w:w="822" w:type="pct"/>
            <w:noWrap/>
            <w:hideMark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Γεωργία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47%</w:t>
            </w:r>
          </w:p>
        </w:tc>
        <w:tc>
          <w:tcPr>
            <w:tcW w:w="1047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040" w:type="pct"/>
            <w:noWrap/>
          </w:tcPr>
          <w:p w:rsidR="00C63942" w:rsidRPr="003053E3" w:rsidRDefault="00C63942" w:rsidP="00C63942">
            <w:pPr>
              <w:shd w:val="clear" w:color="auto" w:fill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29%</w:t>
            </w:r>
          </w:p>
        </w:tc>
      </w:tr>
      <w:tr w:rsidR="00C63942" w:rsidRPr="003053E3" w:rsidTr="00C63942">
        <w:trPr>
          <w:trHeight w:val="300"/>
        </w:trPr>
        <w:tc>
          <w:tcPr>
            <w:tcW w:w="822" w:type="pct"/>
            <w:noWrap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 xml:space="preserve">Τρόφιμα 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29%</w:t>
            </w:r>
          </w:p>
        </w:tc>
        <w:tc>
          <w:tcPr>
            <w:tcW w:w="1047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040" w:type="pct"/>
            <w:noWrap/>
          </w:tcPr>
          <w:p w:rsidR="00C63942" w:rsidRPr="003053E3" w:rsidRDefault="00C63942" w:rsidP="00C63942">
            <w:pPr>
              <w:shd w:val="clear" w:color="auto" w:fill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45%</w:t>
            </w:r>
          </w:p>
        </w:tc>
      </w:tr>
      <w:tr w:rsidR="00F31450" w:rsidRPr="003053E3" w:rsidTr="00C63942">
        <w:trPr>
          <w:trHeight w:val="300"/>
        </w:trPr>
        <w:tc>
          <w:tcPr>
            <w:tcW w:w="822" w:type="pct"/>
            <w:noWrap/>
          </w:tcPr>
          <w:p w:rsidR="00FB6D44" w:rsidRPr="003053E3" w:rsidRDefault="00FB6D44" w:rsidP="00F3145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121" w:type="pct"/>
            <w:noWrap/>
          </w:tcPr>
          <w:p w:rsidR="00FB6D44" w:rsidRPr="003053E3" w:rsidRDefault="00FB6D44" w:rsidP="00F3145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970" w:type="pct"/>
            <w:noWrap/>
          </w:tcPr>
          <w:p w:rsidR="00FB6D44" w:rsidRPr="003053E3" w:rsidRDefault="00FB6D44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047" w:type="pct"/>
            <w:noWrap/>
          </w:tcPr>
          <w:p w:rsidR="00FB6D44" w:rsidRPr="003053E3" w:rsidRDefault="00F31450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142</w:t>
            </w:r>
          </w:p>
        </w:tc>
        <w:tc>
          <w:tcPr>
            <w:tcW w:w="1040" w:type="pct"/>
            <w:noWrap/>
          </w:tcPr>
          <w:p w:rsidR="00FB6D44" w:rsidRPr="003053E3" w:rsidRDefault="00FB6D44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FB6D44" w:rsidRDefault="00FB6D44" w:rsidP="003053E3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</w:rPr>
      </w:pPr>
    </w:p>
    <w:p w:rsidR="003053E3" w:rsidRDefault="003053E3" w:rsidP="003053E3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</w:rPr>
      </w:pPr>
    </w:p>
    <w:p w:rsidR="003053E3" w:rsidRPr="003053E3" w:rsidRDefault="003053E3" w:rsidP="003053E3">
      <w:pPr>
        <w:pStyle w:val="Caption"/>
        <w:keepNext/>
        <w:jc w:val="center"/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</w:pP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t xml:space="preserve">Διάγραμμα 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begin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instrText xml:space="preserve"> SEQ Рисунок \* ARABIC </w:instrTex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separate"/>
      </w:r>
      <w:r w:rsidRPr="003053E3">
        <w:rPr>
          <w:rFonts w:asciiTheme="minorHAnsi" w:eastAsiaTheme="minorEastAsia" w:hAnsiTheme="minorHAnsi" w:cstheme="minorHAnsi"/>
          <w:bCs w:val="0"/>
          <w:noProof/>
          <w:color w:val="000000"/>
          <w:sz w:val="22"/>
          <w:szCs w:val="22"/>
          <w:shd w:val="clear" w:color="auto" w:fill="auto"/>
          <w:lang w:val="el-GR" w:eastAsia="en-US"/>
        </w:rPr>
        <w:t>1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end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t xml:space="preserve"> Κατανομή Προτάσεων Έργων PRIMΑ ανά θεματική περιοχή</w:t>
      </w:r>
    </w:p>
    <w:p w:rsidR="003053E3" w:rsidRDefault="003053E3" w:rsidP="003053E3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</w:rPr>
      </w:pPr>
      <w:r w:rsidRPr="003053E3">
        <w:rPr>
          <w:rStyle w:val="hps"/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0CF09DFD" wp14:editId="05E997B4">
            <wp:extent cx="4565674" cy="2743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90" cy="27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3" w:rsidRPr="003053E3" w:rsidRDefault="003053E3" w:rsidP="003053E3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</w:rPr>
      </w:pPr>
    </w:p>
    <w:p w:rsidR="003053E3" w:rsidRDefault="003053E3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3053E3" w:rsidRPr="003053E3" w:rsidRDefault="003053E3" w:rsidP="003053E3">
      <w:pPr>
        <w:pStyle w:val="Caption"/>
        <w:keepNext/>
        <w:jc w:val="center"/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</w:pP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t xml:space="preserve">Διάγραμμα 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begin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instrText xml:space="preserve"> SEQ Рисунок \* ARABIC </w:instrTex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separate"/>
      </w:r>
      <w:r w:rsidRPr="003053E3">
        <w:rPr>
          <w:rFonts w:asciiTheme="minorHAnsi" w:eastAsiaTheme="minorEastAsia" w:hAnsiTheme="minorHAnsi" w:cstheme="minorHAnsi"/>
          <w:bCs w:val="0"/>
          <w:noProof/>
          <w:color w:val="000000"/>
          <w:sz w:val="22"/>
          <w:szCs w:val="22"/>
          <w:shd w:val="clear" w:color="auto" w:fill="auto"/>
          <w:lang w:val="el-GR" w:eastAsia="en-US"/>
        </w:rPr>
        <w:t>2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end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t xml:space="preserve"> Κατανομή Προτάσεων Έργων PRIMΑ ανά θεματική περιοχή με Ελληνική συμμετοχή</w:t>
      </w:r>
    </w:p>
    <w:p w:rsidR="003053E3" w:rsidRDefault="003053E3" w:rsidP="003053E3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 w:rsidRPr="003053E3">
        <w:rPr>
          <w:rStyle w:val="Emphasis"/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2F644C3F" wp14:editId="35CDE2E8">
            <wp:extent cx="4714875" cy="283774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3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E3" w:rsidRDefault="003053E3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FB6D44" w:rsidRPr="003053E3" w:rsidRDefault="00F31450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Αναλυτικά, 213 </w:t>
      </w:r>
      <w:r w:rsidR="00BE4070">
        <w:rPr>
          <w:rStyle w:val="hps"/>
          <w:rFonts w:asciiTheme="minorHAnsi" w:hAnsiTheme="minorHAnsi" w:cstheme="minorHAnsi"/>
          <w:sz w:val="22"/>
          <w:szCs w:val="22"/>
          <w:lang w:val="el-GR"/>
        </w:rPr>
        <w:t>ε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λληνικοί φορείς συμμετείχαν σε 142 προτάσεις έργων, </w:t>
      </w:r>
      <w:r w:rsidR="00E810F3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σε 37 από αυτές σε ρόλο συντονιστή, με μέση αιτούμενη χρηματοδότηση ανά Έλληνα εταίρο 264.685,71 € και συνολικά 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αιτούμενη δημοσία δαπάνη 37.585.371,00 €.</w:t>
      </w:r>
      <w:r w:rsidR="00C63942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810F3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Η </w:t>
      </w:r>
      <w:r w:rsidR="00EF74FE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ΓΓΕΤ συμμετέχει σε όλους τους τομείς της προκήρυξης για την Ενότητα 2, με συνολικό ποσό συμμετοχής 2 εκατ. Ευρώ. </w:t>
      </w:r>
    </w:p>
    <w:p w:rsidR="00F31450" w:rsidRPr="003053E3" w:rsidRDefault="00F31450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FB6D44" w:rsidRPr="003053E3" w:rsidRDefault="00FB6D44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Στον πίνακα </w:t>
      </w:r>
      <w:r w:rsidR="00C63942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2</w:t>
      </w:r>
      <w:r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 που ακολουθεί παρατίθενται</w:t>
      </w:r>
      <w:r w:rsidR="00EF74FE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, ανά θεματική περιοχή, η κατανομή συμμετοχών/ αιτούμενης χρηματοδότησης, </w:t>
      </w:r>
      <w:r w:rsidR="00F42CBE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 xml:space="preserve">και στο </w:t>
      </w:r>
      <w:r w:rsidR="00EF74FE" w:rsidRPr="003053E3">
        <w:rPr>
          <w:rStyle w:val="hps"/>
          <w:rFonts w:asciiTheme="minorHAnsi" w:hAnsiTheme="minorHAnsi" w:cstheme="minorHAnsi"/>
          <w:sz w:val="22"/>
          <w:szCs w:val="22"/>
          <w:lang w:val="el-GR"/>
        </w:rPr>
        <w:t>διάγραμμα 3 αποτυπώνονται τα αντίστοιχα μεγέθη</w:t>
      </w:r>
    </w:p>
    <w:p w:rsidR="00C63942" w:rsidRPr="003053E3" w:rsidRDefault="00C63942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EF74FE" w:rsidRPr="003053E3" w:rsidRDefault="00EF74FE" w:rsidP="00EF74FE">
      <w:pPr>
        <w:pStyle w:val="Default"/>
        <w:outlineLvl w:val="2"/>
        <w:rPr>
          <w:rFonts w:asciiTheme="minorHAnsi" w:hAnsiTheme="minorHAnsi" w:cstheme="minorHAnsi"/>
          <w:b/>
          <w:sz w:val="22"/>
          <w:szCs w:val="22"/>
        </w:rPr>
      </w:pPr>
      <w:bookmarkStart w:id="0" w:name="_Toc442442719"/>
      <w:bookmarkStart w:id="1" w:name="_Toc444256638"/>
      <w:bookmarkStart w:id="2" w:name="_Toc444262783"/>
      <w:bookmarkStart w:id="3" w:name="_Toc447092728"/>
      <w:r w:rsidRPr="003053E3">
        <w:rPr>
          <w:rFonts w:asciiTheme="minorHAnsi" w:hAnsiTheme="minorHAnsi" w:cstheme="minorHAnsi"/>
          <w:b/>
          <w:sz w:val="22"/>
          <w:szCs w:val="22"/>
        </w:rPr>
        <w:t xml:space="preserve">Πίνακας </w: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3053E3">
        <w:rPr>
          <w:rFonts w:asciiTheme="minorHAnsi" w:hAnsiTheme="minorHAnsi" w:cstheme="minorHAnsi"/>
          <w:b/>
          <w:sz w:val="22"/>
          <w:szCs w:val="22"/>
        </w:rPr>
        <w:instrText xml:space="preserve"> SEQ Πίνακας \* ARABIC </w:instrTex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340F7" w:rsidRPr="003053E3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Pr="003053E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053E3">
        <w:rPr>
          <w:rFonts w:asciiTheme="minorHAnsi" w:hAnsiTheme="minorHAnsi" w:cstheme="minorHAnsi"/>
          <w:b/>
          <w:sz w:val="22"/>
          <w:szCs w:val="22"/>
        </w:rPr>
        <w:t xml:space="preserve">: Αριθμός Ελληνικών συμμετοχών / Αιτούμενη Χρηματοδότηση ανά </w:t>
      </w:r>
      <w:bookmarkEnd w:id="0"/>
      <w:bookmarkEnd w:id="1"/>
      <w:bookmarkEnd w:id="2"/>
      <w:r w:rsidRPr="003053E3">
        <w:rPr>
          <w:rFonts w:asciiTheme="minorHAnsi" w:hAnsiTheme="minorHAnsi" w:cstheme="minorHAnsi"/>
          <w:b/>
          <w:sz w:val="22"/>
          <w:szCs w:val="22"/>
        </w:rPr>
        <w:t>θεματική περιοχή.</w:t>
      </w:r>
      <w:bookmarkEnd w:id="3"/>
    </w:p>
    <w:p w:rsidR="00EF74FE" w:rsidRPr="003053E3" w:rsidRDefault="00EF74FE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GridTable1LightAccent1"/>
        <w:tblW w:w="5000" w:type="pct"/>
        <w:tblLook w:val="0620" w:firstRow="1" w:lastRow="0" w:firstColumn="0" w:lastColumn="0" w:noHBand="1" w:noVBand="1"/>
      </w:tblPr>
      <w:tblGrid>
        <w:gridCol w:w="1434"/>
        <w:gridCol w:w="1976"/>
        <w:gridCol w:w="1703"/>
        <w:gridCol w:w="2227"/>
        <w:gridCol w:w="1714"/>
      </w:tblGrid>
      <w:tr w:rsidR="00C63942" w:rsidRPr="003053E3" w:rsidTr="00F93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822" w:type="pct"/>
            <w:noWrap/>
            <w:hideMark/>
          </w:tcPr>
          <w:p w:rsidR="00C63942" w:rsidRPr="003053E3" w:rsidRDefault="00C63942" w:rsidP="00C63942">
            <w:pPr>
              <w:pStyle w:val="Default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1" w:type="pct"/>
            <w:vAlign w:val="center"/>
            <w:hideMark/>
          </w:tcPr>
          <w:p w:rsidR="00C63942" w:rsidRPr="003053E3" w:rsidRDefault="00C63942" w:rsidP="00C63942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Αριθμός Ελληνικών συμμετοχών σε π</w:t>
            </w: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ροτάσεις</w:t>
            </w:r>
          </w:p>
        </w:tc>
        <w:tc>
          <w:tcPr>
            <w:tcW w:w="970" w:type="pct"/>
            <w:vAlign w:val="center"/>
            <w:hideMark/>
          </w:tcPr>
          <w:p w:rsidR="00C63942" w:rsidRPr="003053E3" w:rsidRDefault="00C63942" w:rsidP="00C63942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% Ελληνικών Συμμετοχών</w:t>
            </w:r>
          </w:p>
        </w:tc>
        <w:tc>
          <w:tcPr>
            <w:tcW w:w="1259" w:type="pct"/>
            <w:vAlign w:val="center"/>
            <w:hideMark/>
          </w:tcPr>
          <w:p w:rsidR="00C63942" w:rsidRPr="003053E3" w:rsidRDefault="00EF74FE" w:rsidP="00C63942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Α</w:t>
            </w: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ιτούμενη</w:t>
            </w:r>
            <w:r w:rsidR="00C63942"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Χρηματοδότηση Ελληνικών Οργανισμών (€)</w:t>
            </w:r>
          </w:p>
        </w:tc>
        <w:tc>
          <w:tcPr>
            <w:tcW w:w="828" w:type="pct"/>
            <w:vAlign w:val="center"/>
            <w:hideMark/>
          </w:tcPr>
          <w:p w:rsidR="00C63942" w:rsidRPr="003053E3" w:rsidRDefault="00C63942" w:rsidP="00C63942">
            <w:pPr>
              <w:pStyle w:val="Default"/>
              <w:jc w:val="righ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% </w:t>
            </w:r>
            <w:r w:rsidR="00F93976"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Α</w:t>
            </w:r>
            <w:r w:rsidR="00F93976" w:rsidRPr="003053E3">
              <w:rPr>
                <w:rFonts w:asciiTheme="minorHAnsi" w:hAnsiTheme="minorHAnsi" w:cstheme="minorHAnsi"/>
                <w:sz w:val="22"/>
                <w:szCs w:val="22"/>
              </w:rPr>
              <w:t>ιτούμενη</w:t>
            </w:r>
            <w:r w:rsidR="00F93976"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Pr="003053E3">
              <w:rPr>
                <w:rFonts w:asciiTheme="minorHAnsi" w:hAnsiTheme="minorHAnsi" w:cstheme="minorHAnsi"/>
                <w:bCs w:val="0"/>
                <w:sz w:val="22"/>
                <w:szCs w:val="22"/>
              </w:rPr>
              <w:t>Χρηματοδότηση</w:t>
            </w:r>
          </w:p>
        </w:tc>
      </w:tr>
      <w:tr w:rsidR="00C63942" w:rsidRPr="003053E3" w:rsidTr="00F93976">
        <w:trPr>
          <w:trHeight w:val="300"/>
        </w:trPr>
        <w:tc>
          <w:tcPr>
            <w:tcW w:w="822" w:type="pct"/>
            <w:noWrap/>
            <w:hideMark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Ύδατα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27,23%</w:t>
            </w:r>
          </w:p>
        </w:tc>
        <w:tc>
          <w:tcPr>
            <w:tcW w:w="1259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10.895.325 €</w:t>
            </w:r>
          </w:p>
        </w:tc>
        <w:tc>
          <w:tcPr>
            <w:tcW w:w="828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28,99%</w:t>
            </w:r>
          </w:p>
        </w:tc>
      </w:tr>
      <w:tr w:rsidR="00C63942" w:rsidRPr="003053E3" w:rsidTr="00F93976">
        <w:trPr>
          <w:trHeight w:val="300"/>
        </w:trPr>
        <w:tc>
          <w:tcPr>
            <w:tcW w:w="822" w:type="pct"/>
            <w:noWrap/>
            <w:hideMark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Γεωργία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40,85%</w:t>
            </w:r>
          </w:p>
        </w:tc>
        <w:tc>
          <w:tcPr>
            <w:tcW w:w="1259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14.514.050 €</w:t>
            </w:r>
          </w:p>
        </w:tc>
        <w:tc>
          <w:tcPr>
            <w:tcW w:w="828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38,62%</w:t>
            </w:r>
          </w:p>
        </w:tc>
      </w:tr>
      <w:tr w:rsidR="00C63942" w:rsidRPr="003053E3" w:rsidTr="00F93976">
        <w:trPr>
          <w:trHeight w:val="300"/>
        </w:trPr>
        <w:tc>
          <w:tcPr>
            <w:tcW w:w="822" w:type="pct"/>
            <w:noWrap/>
          </w:tcPr>
          <w:p w:rsidR="00C63942" w:rsidRPr="003053E3" w:rsidRDefault="00C63942" w:rsidP="00C639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Τρόφιμα</w:t>
            </w:r>
          </w:p>
        </w:tc>
        <w:tc>
          <w:tcPr>
            <w:tcW w:w="1121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970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31,92%</w:t>
            </w:r>
          </w:p>
        </w:tc>
        <w:tc>
          <w:tcPr>
            <w:tcW w:w="1259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12.175.996 €</w:t>
            </w:r>
          </w:p>
        </w:tc>
        <w:tc>
          <w:tcPr>
            <w:tcW w:w="828" w:type="pct"/>
            <w:noWrap/>
          </w:tcPr>
          <w:p w:rsidR="00C63942" w:rsidRPr="003053E3" w:rsidRDefault="00C63942" w:rsidP="00C6394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</w:pPr>
            <w:r w:rsidRPr="003053E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32,40%</w:t>
            </w:r>
          </w:p>
        </w:tc>
      </w:tr>
      <w:tr w:rsidR="00C63942" w:rsidRPr="003053E3" w:rsidTr="00F93976">
        <w:trPr>
          <w:trHeight w:val="300"/>
        </w:trPr>
        <w:tc>
          <w:tcPr>
            <w:tcW w:w="822" w:type="pct"/>
            <w:noWrap/>
          </w:tcPr>
          <w:p w:rsidR="00C63942" w:rsidRPr="003053E3" w:rsidRDefault="00C63942" w:rsidP="00496E7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121" w:type="pct"/>
            <w:noWrap/>
          </w:tcPr>
          <w:p w:rsidR="00C63942" w:rsidRPr="003053E3" w:rsidRDefault="00C63942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>213</w:t>
            </w:r>
          </w:p>
        </w:tc>
        <w:tc>
          <w:tcPr>
            <w:tcW w:w="970" w:type="pct"/>
            <w:noWrap/>
          </w:tcPr>
          <w:p w:rsidR="00C63942" w:rsidRPr="003053E3" w:rsidRDefault="00C63942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259" w:type="pct"/>
            <w:noWrap/>
          </w:tcPr>
          <w:p w:rsidR="00C63942" w:rsidRPr="003053E3" w:rsidRDefault="00C63942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/>
              </w:rPr>
              <w:t xml:space="preserve">37.585.371 </w:t>
            </w:r>
            <w:r w:rsidRPr="003053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auto"/>
                <w:lang w:val="el-GR" w:eastAsia="en-US"/>
              </w:rPr>
              <w:t>€</w:t>
            </w:r>
          </w:p>
        </w:tc>
        <w:tc>
          <w:tcPr>
            <w:tcW w:w="828" w:type="pct"/>
            <w:noWrap/>
          </w:tcPr>
          <w:p w:rsidR="00C63942" w:rsidRPr="003053E3" w:rsidRDefault="00C63942" w:rsidP="00496E7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053E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AC43F5" w:rsidRPr="003053E3" w:rsidRDefault="00AC43F5" w:rsidP="007A4C4C">
      <w:pPr>
        <w:shd w:val="clear" w:color="auto" w:fill="auto"/>
        <w:autoSpaceDE w:val="0"/>
        <w:autoSpaceDN w:val="0"/>
        <w:adjustRightInd w:val="0"/>
        <w:jc w:val="both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</w:p>
    <w:p w:rsidR="00F42CBE" w:rsidRPr="003053E3" w:rsidRDefault="00F42CBE" w:rsidP="00F42CBE">
      <w:pPr>
        <w:pStyle w:val="Caption"/>
        <w:keepNext/>
        <w:jc w:val="both"/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</w:pP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lastRenderedPageBreak/>
        <w:t xml:space="preserve">Διάγραμμα 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begin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instrText xml:space="preserve"> SEQ Рисунок \* ARABIC </w:instrTex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separate"/>
      </w:r>
      <w:r w:rsidR="00D340F7" w:rsidRPr="003053E3">
        <w:rPr>
          <w:rFonts w:asciiTheme="minorHAnsi" w:eastAsiaTheme="minorEastAsia" w:hAnsiTheme="minorHAnsi" w:cstheme="minorHAnsi"/>
          <w:bCs w:val="0"/>
          <w:noProof/>
          <w:color w:val="000000"/>
          <w:sz w:val="22"/>
          <w:szCs w:val="22"/>
          <w:shd w:val="clear" w:color="auto" w:fill="auto"/>
          <w:lang w:val="el-GR" w:eastAsia="en-US"/>
        </w:rPr>
        <w:t>3</w:t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fldChar w:fldCharType="end"/>
      </w:r>
      <w:r w:rsidRPr="003053E3">
        <w:rPr>
          <w:rFonts w:asciiTheme="minorHAnsi" w:eastAsiaTheme="minorEastAsia" w:hAnsiTheme="minorHAnsi" w:cstheme="minorHAnsi"/>
          <w:bCs w:val="0"/>
          <w:color w:val="000000"/>
          <w:sz w:val="22"/>
          <w:szCs w:val="22"/>
          <w:shd w:val="clear" w:color="auto" w:fill="auto"/>
          <w:lang w:val="el-GR" w:eastAsia="en-US"/>
        </w:rPr>
        <w:t xml:space="preserve"> Κατανομή συμμετοχών/ αιτούμενης χρηματοδότησης προτάσεων PRIMΑ ανά θεματική περιοχή</w:t>
      </w:r>
    </w:p>
    <w:p w:rsidR="00F42CBE" w:rsidRPr="003053E3" w:rsidRDefault="00F42CBE" w:rsidP="00CE42F6">
      <w:pPr>
        <w:shd w:val="clear" w:color="auto" w:fill="auto"/>
        <w:autoSpaceDE w:val="0"/>
        <w:autoSpaceDN w:val="0"/>
        <w:adjustRightInd w:val="0"/>
        <w:jc w:val="center"/>
        <w:rPr>
          <w:rStyle w:val="hps"/>
          <w:rFonts w:asciiTheme="minorHAnsi" w:hAnsiTheme="minorHAnsi" w:cstheme="minorHAnsi"/>
          <w:sz w:val="22"/>
          <w:szCs w:val="22"/>
          <w:lang w:val="el-GR"/>
        </w:rPr>
      </w:pPr>
      <w:r w:rsidRPr="003053E3">
        <w:rPr>
          <w:rStyle w:val="hps"/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>
            <wp:extent cx="5974686" cy="32289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86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F6" w:rsidRDefault="00CE42F6" w:rsidP="00AF7A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6963" w:rsidRDefault="00886963" w:rsidP="00AF7A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6963" w:rsidRDefault="008F4FA3" w:rsidP="00AF7A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Τα αποτελέσματα της</w:t>
      </w:r>
      <w:r w:rsidR="00886963">
        <w:rPr>
          <w:rFonts w:asciiTheme="minorHAnsi" w:hAnsiTheme="minorHAnsi" w:cstheme="minorHAnsi"/>
          <w:sz w:val="22"/>
          <w:szCs w:val="22"/>
        </w:rPr>
        <w:t xml:space="preserve"> αξιολόγησης των προτάσεων αναμένεται να ανακοινωθούν </w:t>
      </w:r>
      <w:r>
        <w:rPr>
          <w:rFonts w:asciiTheme="minorHAnsi" w:hAnsiTheme="minorHAnsi" w:cstheme="minorHAnsi"/>
          <w:sz w:val="22"/>
          <w:szCs w:val="22"/>
        </w:rPr>
        <w:t xml:space="preserve">από το Ίδρυμα </w:t>
      </w:r>
      <w:r>
        <w:rPr>
          <w:rFonts w:asciiTheme="minorHAnsi" w:hAnsiTheme="minorHAnsi" w:cstheme="minorHAnsi"/>
          <w:sz w:val="22"/>
          <w:szCs w:val="22"/>
          <w:lang w:val="en-US"/>
        </w:rPr>
        <w:t>PRIMA</w:t>
      </w:r>
      <w:r w:rsidRPr="008F4F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στις </w:t>
      </w:r>
      <w:r w:rsidR="0088696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bookmarkStart w:id="4" w:name="_GoBack"/>
      <w:bookmarkEnd w:id="4"/>
      <w:r w:rsidR="00886963">
        <w:rPr>
          <w:rFonts w:asciiTheme="minorHAnsi" w:hAnsiTheme="minorHAnsi" w:cstheme="minorHAnsi"/>
          <w:sz w:val="22"/>
          <w:szCs w:val="22"/>
        </w:rPr>
        <w:t>Ιουνίου 2018.</w:t>
      </w:r>
    </w:p>
    <w:p w:rsidR="00886963" w:rsidRPr="00886963" w:rsidRDefault="00886963" w:rsidP="00AF7A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886963" w:rsidRPr="00886963" w:rsidSect="00F32237">
      <w:footerReference w:type="default" r:id="rId12"/>
      <w:pgSz w:w="12240" w:h="15840"/>
      <w:pgMar w:top="1247" w:right="1701" w:bottom="124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46" w:rsidRDefault="00667246" w:rsidP="000C0D3B">
      <w:r>
        <w:separator/>
      </w:r>
    </w:p>
  </w:endnote>
  <w:endnote w:type="continuationSeparator" w:id="0">
    <w:p w:rsidR="00667246" w:rsidRDefault="00667246" w:rsidP="000C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E1" w:rsidRPr="000C0D3B" w:rsidRDefault="009067E1">
    <w:pPr>
      <w:pStyle w:val="Footer"/>
      <w:jc w:val="right"/>
      <w:rPr>
        <w:sz w:val="20"/>
        <w:szCs w:val="20"/>
      </w:rPr>
    </w:pPr>
    <w:r w:rsidRPr="000C0D3B">
      <w:rPr>
        <w:sz w:val="20"/>
        <w:szCs w:val="20"/>
      </w:rPr>
      <w:fldChar w:fldCharType="begin"/>
    </w:r>
    <w:r w:rsidRPr="000C0D3B">
      <w:rPr>
        <w:sz w:val="20"/>
        <w:szCs w:val="20"/>
      </w:rPr>
      <w:instrText xml:space="preserve"> PAGE   \* MERGEFORMAT </w:instrText>
    </w:r>
    <w:r w:rsidRPr="000C0D3B">
      <w:rPr>
        <w:sz w:val="20"/>
        <w:szCs w:val="20"/>
      </w:rPr>
      <w:fldChar w:fldCharType="separate"/>
    </w:r>
    <w:r w:rsidR="008F4FA3">
      <w:rPr>
        <w:noProof/>
        <w:sz w:val="20"/>
        <w:szCs w:val="20"/>
      </w:rPr>
      <w:t>1</w:t>
    </w:r>
    <w:r w:rsidRPr="000C0D3B">
      <w:rPr>
        <w:sz w:val="20"/>
        <w:szCs w:val="20"/>
      </w:rPr>
      <w:fldChar w:fldCharType="end"/>
    </w:r>
  </w:p>
  <w:p w:rsidR="009067E1" w:rsidRDefault="00906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46" w:rsidRDefault="00667246" w:rsidP="000C0D3B">
      <w:r>
        <w:separator/>
      </w:r>
    </w:p>
  </w:footnote>
  <w:footnote w:type="continuationSeparator" w:id="0">
    <w:p w:rsidR="00667246" w:rsidRDefault="00667246" w:rsidP="000C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69A"/>
    <w:multiLevelType w:val="hybridMultilevel"/>
    <w:tmpl w:val="1312EB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247"/>
    <w:multiLevelType w:val="hybridMultilevel"/>
    <w:tmpl w:val="5D5E6B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172B"/>
    <w:multiLevelType w:val="hybridMultilevel"/>
    <w:tmpl w:val="9628E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1A1"/>
    <w:multiLevelType w:val="hybridMultilevel"/>
    <w:tmpl w:val="B48851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1C5C04"/>
    <w:multiLevelType w:val="hybridMultilevel"/>
    <w:tmpl w:val="886AD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E4076"/>
    <w:multiLevelType w:val="hybridMultilevel"/>
    <w:tmpl w:val="F2C86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5FEE"/>
    <w:multiLevelType w:val="hybridMultilevel"/>
    <w:tmpl w:val="7B643C6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217919"/>
    <w:multiLevelType w:val="hybridMultilevel"/>
    <w:tmpl w:val="066A80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833B1"/>
    <w:multiLevelType w:val="hybridMultilevel"/>
    <w:tmpl w:val="2C8C7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7714"/>
    <w:multiLevelType w:val="hybridMultilevel"/>
    <w:tmpl w:val="F2C86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30841"/>
    <w:multiLevelType w:val="hybridMultilevel"/>
    <w:tmpl w:val="E86036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35AF2"/>
    <w:multiLevelType w:val="hybridMultilevel"/>
    <w:tmpl w:val="5E3EE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32985"/>
    <w:multiLevelType w:val="hybridMultilevel"/>
    <w:tmpl w:val="FBC8DB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16EE"/>
    <w:multiLevelType w:val="hybridMultilevel"/>
    <w:tmpl w:val="BE2E9E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044101"/>
    <w:multiLevelType w:val="hybridMultilevel"/>
    <w:tmpl w:val="23BEB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C5D05"/>
    <w:multiLevelType w:val="hybridMultilevel"/>
    <w:tmpl w:val="D2988F7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996BD1"/>
    <w:multiLevelType w:val="hybridMultilevel"/>
    <w:tmpl w:val="7EAAD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A101B"/>
    <w:multiLevelType w:val="hybridMultilevel"/>
    <w:tmpl w:val="13EC92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5649EA"/>
    <w:multiLevelType w:val="hybridMultilevel"/>
    <w:tmpl w:val="1312EB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A1730"/>
    <w:multiLevelType w:val="hybridMultilevel"/>
    <w:tmpl w:val="CEE47D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CC0C4F"/>
    <w:multiLevelType w:val="hybridMultilevel"/>
    <w:tmpl w:val="A9ACB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505BE"/>
    <w:multiLevelType w:val="hybridMultilevel"/>
    <w:tmpl w:val="DBC6E8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EA395E"/>
    <w:multiLevelType w:val="hybridMultilevel"/>
    <w:tmpl w:val="1C820D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D557F"/>
    <w:multiLevelType w:val="hybridMultilevel"/>
    <w:tmpl w:val="52108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3"/>
  </w:num>
  <w:num w:numId="4">
    <w:abstractNumId w:val="22"/>
  </w:num>
  <w:num w:numId="5">
    <w:abstractNumId w:val="17"/>
  </w:num>
  <w:num w:numId="6">
    <w:abstractNumId w:val="21"/>
  </w:num>
  <w:num w:numId="7">
    <w:abstractNumId w:val="18"/>
  </w:num>
  <w:num w:numId="8">
    <w:abstractNumId w:val="0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19"/>
  </w:num>
  <w:num w:numId="15">
    <w:abstractNumId w:val="14"/>
  </w:num>
  <w:num w:numId="16">
    <w:abstractNumId w:val="16"/>
  </w:num>
  <w:num w:numId="17">
    <w:abstractNumId w:val="4"/>
  </w:num>
  <w:num w:numId="18">
    <w:abstractNumId w:val="20"/>
  </w:num>
  <w:num w:numId="19">
    <w:abstractNumId w:val="2"/>
  </w:num>
  <w:num w:numId="20">
    <w:abstractNumId w:val="1"/>
  </w:num>
  <w:num w:numId="21">
    <w:abstractNumId w:val="13"/>
  </w:num>
  <w:num w:numId="22">
    <w:abstractNumId w:val="3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9"/>
    <w:rsid w:val="00004E5E"/>
    <w:rsid w:val="00014F8C"/>
    <w:rsid w:val="000357FC"/>
    <w:rsid w:val="00042DFB"/>
    <w:rsid w:val="00043EF0"/>
    <w:rsid w:val="00047FFE"/>
    <w:rsid w:val="00051037"/>
    <w:rsid w:val="000516D6"/>
    <w:rsid w:val="000527ED"/>
    <w:rsid w:val="00056FE4"/>
    <w:rsid w:val="00071C5A"/>
    <w:rsid w:val="00075C64"/>
    <w:rsid w:val="000A0AAF"/>
    <w:rsid w:val="000A7AB2"/>
    <w:rsid w:val="000B1706"/>
    <w:rsid w:val="000B1FA4"/>
    <w:rsid w:val="000B34D2"/>
    <w:rsid w:val="000C0D3B"/>
    <w:rsid w:val="000D0D41"/>
    <w:rsid w:val="000D7417"/>
    <w:rsid w:val="0010030F"/>
    <w:rsid w:val="001046FB"/>
    <w:rsid w:val="00120508"/>
    <w:rsid w:val="00144FEE"/>
    <w:rsid w:val="00163231"/>
    <w:rsid w:val="00163B57"/>
    <w:rsid w:val="001874FC"/>
    <w:rsid w:val="00194759"/>
    <w:rsid w:val="001A14C9"/>
    <w:rsid w:val="001C1AB3"/>
    <w:rsid w:val="001C4B97"/>
    <w:rsid w:val="001E1441"/>
    <w:rsid w:val="001E7B3B"/>
    <w:rsid w:val="00201E33"/>
    <w:rsid w:val="00204F67"/>
    <w:rsid w:val="002158D8"/>
    <w:rsid w:val="00235C8D"/>
    <w:rsid w:val="00245089"/>
    <w:rsid w:val="00254E70"/>
    <w:rsid w:val="00267386"/>
    <w:rsid w:val="002708BB"/>
    <w:rsid w:val="00281E5D"/>
    <w:rsid w:val="002842A6"/>
    <w:rsid w:val="0028541C"/>
    <w:rsid w:val="00286FB4"/>
    <w:rsid w:val="00291F28"/>
    <w:rsid w:val="002B3987"/>
    <w:rsid w:val="002D16C2"/>
    <w:rsid w:val="002E1884"/>
    <w:rsid w:val="00300276"/>
    <w:rsid w:val="003053E3"/>
    <w:rsid w:val="00317F20"/>
    <w:rsid w:val="0032757E"/>
    <w:rsid w:val="00334A48"/>
    <w:rsid w:val="00343213"/>
    <w:rsid w:val="003536EB"/>
    <w:rsid w:val="003626F4"/>
    <w:rsid w:val="00377489"/>
    <w:rsid w:val="00395239"/>
    <w:rsid w:val="003E0A8A"/>
    <w:rsid w:val="0040319E"/>
    <w:rsid w:val="00404277"/>
    <w:rsid w:val="00421DAF"/>
    <w:rsid w:val="00443251"/>
    <w:rsid w:val="004731CE"/>
    <w:rsid w:val="004745AA"/>
    <w:rsid w:val="00474DA5"/>
    <w:rsid w:val="004952C1"/>
    <w:rsid w:val="004A6F2C"/>
    <w:rsid w:val="004B680D"/>
    <w:rsid w:val="004D5408"/>
    <w:rsid w:val="004F56E4"/>
    <w:rsid w:val="0050710C"/>
    <w:rsid w:val="00517DFC"/>
    <w:rsid w:val="00537D90"/>
    <w:rsid w:val="00555A50"/>
    <w:rsid w:val="00576652"/>
    <w:rsid w:val="005A52E5"/>
    <w:rsid w:val="005B2FE9"/>
    <w:rsid w:val="005C1538"/>
    <w:rsid w:val="005C265D"/>
    <w:rsid w:val="005D72CC"/>
    <w:rsid w:val="005E2089"/>
    <w:rsid w:val="005E6DBB"/>
    <w:rsid w:val="005F2C12"/>
    <w:rsid w:val="0060641F"/>
    <w:rsid w:val="00614C92"/>
    <w:rsid w:val="00640172"/>
    <w:rsid w:val="00655795"/>
    <w:rsid w:val="00656B48"/>
    <w:rsid w:val="00667246"/>
    <w:rsid w:val="00674805"/>
    <w:rsid w:val="00683AF3"/>
    <w:rsid w:val="006C37AE"/>
    <w:rsid w:val="006E4273"/>
    <w:rsid w:val="006E6CD1"/>
    <w:rsid w:val="00700A04"/>
    <w:rsid w:val="00704F4E"/>
    <w:rsid w:val="00712111"/>
    <w:rsid w:val="00715016"/>
    <w:rsid w:val="00737131"/>
    <w:rsid w:val="0077567E"/>
    <w:rsid w:val="0079034F"/>
    <w:rsid w:val="00791A52"/>
    <w:rsid w:val="007932C5"/>
    <w:rsid w:val="007A4C4C"/>
    <w:rsid w:val="007A5604"/>
    <w:rsid w:val="007D1D03"/>
    <w:rsid w:val="007D33DF"/>
    <w:rsid w:val="007E5689"/>
    <w:rsid w:val="007F4FA6"/>
    <w:rsid w:val="007F775A"/>
    <w:rsid w:val="0081582B"/>
    <w:rsid w:val="00853FF6"/>
    <w:rsid w:val="00877821"/>
    <w:rsid w:val="00886963"/>
    <w:rsid w:val="00893341"/>
    <w:rsid w:val="00895F9F"/>
    <w:rsid w:val="008A1B06"/>
    <w:rsid w:val="008A7274"/>
    <w:rsid w:val="008D0B1D"/>
    <w:rsid w:val="008D4475"/>
    <w:rsid w:val="008D7073"/>
    <w:rsid w:val="008F46CE"/>
    <w:rsid w:val="008F4FA3"/>
    <w:rsid w:val="009067E1"/>
    <w:rsid w:val="00925AD8"/>
    <w:rsid w:val="009461F5"/>
    <w:rsid w:val="00956DCE"/>
    <w:rsid w:val="0096440A"/>
    <w:rsid w:val="009671EA"/>
    <w:rsid w:val="009828FD"/>
    <w:rsid w:val="00997070"/>
    <w:rsid w:val="009A16AC"/>
    <w:rsid w:val="009B3B3E"/>
    <w:rsid w:val="009B43CB"/>
    <w:rsid w:val="009C50D0"/>
    <w:rsid w:val="009D06A0"/>
    <w:rsid w:val="009F0897"/>
    <w:rsid w:val="009F3CAE"/>
    <w:rsid w:val="009F4CFE"/>
    <w:rsid w:val="00A26701"/>
    <w:rsid w:val="00A35924"/>
    <w:rsid w:val="00A81917"/>
    <w:rsid w:val="00A925CD"/>
    <w:rsid w:val="00AA7E68"/>
    <w:rsid w:val="00AC37F6"/>
    <w:rsid w:val="00AC43F5"/>
    <w:rsid w:val="00AC7E01"/>
    <w:rsid w:val="00AE5940"/>
    <w:rsid w:val="00AF6A0D"/>
    <w:rsid w:val="00AF7AC7"/>
    <w:rsid w:val="00B02F0B"/>
    <w:rsid w:val="00B05F48"/>
    <w:rsid w:val="00B15296"/>
    <w:rsid w:val="00B21F84"/>
    <w:rsid w:val="00B25194"/>
    <w:rsid w:val="00B42AD2"/>
    <w:rsid w:val="00B73241"/>
    <w:rsid w:val="00B94E14"/>
    <w:rsid w:val="00B96FDA"/>
    <w:rsid w:val="00BD6BEF"/>
    <w:rsid w:val="00BE4070"/>
    <w:rsid w:val="00BF07CD"/>
    <w:rsid w:val="00BF2F5D"/>
    <w:rsid w:val="00BF6303"/>
    <w:rsid w:val="00C1223D"/>
    <w:rsid w:val="00C145FD"/>
    <w:rsid w:val="00C30EC3"/>
    <w:rsid w:val="00C344A0"/>
    <w:rsid w:val="00C5149F"/>
    <w:rsid w:val="00C63942"/>
    <w:rsid w:val="00C7202E"/>
    <w:rsid w:val="00C751D4"/>
    <w:rsid w:val="00C940B4"/>
    <w:rsid w:val="00CB0A74"/>
    <w:rsid w:val="00CB0D86"/>
    <w:rsid w:val="00CC6F17"/>
    <w:rsid w:val="00CE42F6"/>
    <w:rsid w:val="00CE5DD4"/>
    <w:rsid w:val="00CE6EE2"/>
    <w:rsid w:val="00D048FA"/>
    <w:rsid w:val="00D07656"/>
    <w:rsid w:val="00D11A58"/>
    <w:rsid w:val="00D27350"/>
    <w:rsid w:val="00D340F7"/>
    <w:rsid w:val="00D36D63"/>
    <w:rsid w:val="00D50C76"/>
    <w:rsid w:val="00D54EED"/>
    <w:rsid w:val="00D60567"/>
    <w:rsid w:val="00D66FBE"/>
    <w:rsid w:val="00D870DA"/>
    <w:rsid w:val="00DF4F87"/>
    <w:rsid w:val="00E03485"/>
    <w:rsid w:val="00E164E1"/>
    <w:rsid w:val="00E208BB"/>
    <w:rsid w:val="00E3310C"/>
    <w:rsid w:val="00E347AA"/>
    <w:rsid w:val="00E4064D"/>
    <w:rsid w:val="00E413FE"/>
    <w:rsid w:val="00E41523"/>
    <w:rsid w:val="00E75680"/>
    <w:rsid w:val="00E810F3"/>
    <w:rsid w:val="00E862CB"/>
    <w:rsid w:val="00E921D8"/>
    <w:rsid w:val="00E9235B"/>
    <w:rsid w:val="00EB7FDF"/>
    <w:rsid w:val="00EE659E"/>
    <w:rsid w:val="00EF1A31"/>
    <w:rsid w:val="00EF74FE"/>
    <w:rsid w:val="00F24FB6"/>
    <w:rsid w:val="00F31450"/>
    <w:rsid w:val="00F32237"/>
    <w:rsid w:val="00F3412B"/>
    <w:rsid w:val="00F42CBE"/>
    <w:rsid w:val="00F82BFF"/>
    <w:rsid w:val="00F93976"/>
    <w:rsid w:val="00FB6D44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uiPriority w:val="99"/>
    <w:unhideWhenUsed/>
    <w:rsid w:val="007E5689"/>
    <w:rPr>
      <w:color w:val="0000FF"/>
      <w:u w:val="single"/>
    </w:rPr>
  </w:style>
  <w:style w:type="table" w:styleId="TableGrid">
    <w:name w:val="Table Grid"/>
    <w:basedOn w:val="TableNormal"/>
    <w:unhideWhenUsed/>
    <w:rsid w:val="007E5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C0D3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0D3B"/>
    <w:rPr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C0D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C0D3B"/>
    <w:rPr>
      <w:sz w:val="24"/>
      <w:szCs w:val="24"/>
      <w:shd w:val="solid" w:color="FFFFFF" w:fill="auto"/>
      <w:lang w:val="ru-RU" w:eastAsia="ru-RU"/>
    </w:rPr>
  </w:style>
  <w:style w:type="character" w:customStyle="1" w:styleId="longtext">
    <w:name w:val="long_text"/>
    <w:basedOn w:val="DefaultParagraphFont"/>
    <w:rsid w:val="000516D6"/>
  </w:style>
  <w:style w:type="character" w:customStyle="1" w:styleId="apple-style-span">
    <w:name w:val="apple-style-span"/>
    <w:basedOn w:val="DefaultParagraphFont"/>
    <w:rsid w:val="00267386"/>
  </w:style>
  <w:style w:type="paragraph" w:styleId="NormalWeb">
    <w:name w:val="Normal (Web)"/>
    <w:basedOn w:val="Normal"/>
    <w:uiPriority w:val="99"/>
    <w:semiHidden/>
    <w:unhideWhenUsed/>
    <w:rsid w:val="00144FEE"/>
    <w:pPr>
      <w:shd w:val="clear" w:color="auto" w:fill="auto"/>
      <w:spacing w:before="100" w:beforeAutospacing="1" w:after="100" w:afterAutospacing="1"/>
    </w:pPr>
    <w:rPr>
      <w:shd w:val="clear" w:color="auto" w:fill="auto"/>
      <w:lang w:val="el-GR" w:eastAsia="el-GR"/>
    </w:rPr>
  </w:style>
  <w:style w:type="character" w:customStyle="1" w:styleId="apple-converted-space">
    <w:name w:val="apple-converted-space"/>
    <w:basedOn w:val="DefaultParagraphFont"/>
    <w:rsid w:val="00144FEE"/>
  </w:style>
  <w:style w:type="character" w:styleId="Emphasis">
    <w:name w:val="Emphasis"/>
    <w:uiPriority w:val="20"/>
    <w:qFormat/>
    <w:rsid w:val="00144FEE"/>
    <w:rPr>
      <w:i/>
      <w:iCs/>
    </w:rPr>
  </w:style>
  <w:style w:type="paragraph" w:customStyle="1" w:styleId="documentdescription">
    <w:name w:val="documentdescription"/>
    <w:basedOn w:val="Normal"/>
    <w:rsid w:val="00144FEE"/>
    <w:pPr>
      <w:shd w:val="clear" w:color="auto" w:fill="auto"/>
      <w:spacing w:before="100" w:beforeAutospacing="1" w:after="100" w:afterAutospacing="1"/>
    </w:pPr>
    <w:rPr>
      <w:shd w:val="clear" w:color="auto" w:fill="auto"/>
      <w:lang w:val="el-GR" w:eastAsia="el-GR"/>
    </w:rPr>
  </w:style>
  <w:style w:type="character" w:styleId="Strong">
    <w:name w:val="Strong"/>
    <w:uiPriority w:val="22"/>
    <w:qFormat/>
    <w:rsid w:val="00144FEE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144FEE"/>
  </w:style>
  <w:style w:type="paragraph" w:styleId="Title">
    <w:name w:val="Title"/>
    <w:basedOn w:val="Normal"/>
    <w:link w:val="TitleChar"/>
    <w:qFormat/>
    <w:rsid w:val="00791A52"/>
    <w:pPr>
      <w:shd w:val="clear" w:color="auto" w:fill="auto"/>
      <w:spacing w:line="360" w:lineRule="auto"/>
      <w:jc w:val="center"/>
    </w:pPr>
    <w:rPr>
      <w:b/>
      <w:bCs/>
      <w:shd w:val="clear" w:color="auto" w:fill="auto"/>
      <w:lang w:val="en-US" w:eastAsia="en-US"/>
    </w:rPr>
  </w:style>
  <w:style w:type="character" w:customStyle="1" w:styleId="TitleChar">
    <w:name w:val="Title Char"/>
    <w:link w:val="Title"/>
    <w:rsid w:val="00791A52"/>
    <w:rPr>
      <w:b/>
      <w:bCs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791A52"/>
  </w:style>
  <w:style w:type="character" w:customStyle="1" w:styleId="atn">
    <w:name w:val="atn"/>
    <w:basedOn w:val="DefaultParagraphFont"/>
    <w:rsid w:val="000A7AB2"/>
  </w:style>
  <w:style w:type="paragraph" w:styleId="ListParagraph">
    <w:name w:val="List Paragraph"/>
    <w:basedOn w:val="Normal"/>
    <w:link w:val="ListParagraphChar"/>
    <w:uiPriority w:val="34"/>
    <w:qFormat/>
    <w:rsid w:val="00982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2B"/>
    <w:rPr>
      <w:rFonts w:ascii="Tahoma" w:hAnsi="Tahoma" w:cs="Tahoma"/>
      <w:sz w:val="16"/>
      <w:szCs w:val="16"/>
      <w:shd w:val="solid" w:color="FFFFFF" w:fill="auto"/>
      <w:lang w:val="ru-RU" w:eastAsia="ru-RU"/>
    </w:rPr>
  </w:style>
  <w:style w:type="paragraph" w:styleId="Caption">
    <w:name w:val="caption"/>
    <w:basedOn w:val="Normal"/>
    <w:next w:val="Normal"/>
    <w:uiPriority w:val="99"/>
    <w:unhideWhenUsed/>
    <w:qFormat/>
    <w:rsid w:val="00C1223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D06A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9D06A0"/>
    <w:rPr>
      <w:rFonts w:ascii="Calibri" w:eastAsiaTheme="minorEastAsia" w:hAnsi="Calibri" w:cs="Calibri"/>
      <w:color w:val="365F91" w:themeColor="accent1" w:themeShade="BF"/>
      <w:szCs w:val="1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Accent1">
    <w:name w:val="Grid Table 1 Light Accent 1"/>
    <w:basedOn w:val="TableNormal"/>
    <w:uiPriority w:val="46"/>
    <w:rsid w:val="00C639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F42CBE"/>
    <w:rPr>
      <w:sz w:val="24"/>
      <w:szCs w:val="24"/>
      <w:shd w:val="solid" w:color="FFFFFF" w:fill="auto"/>
      <w:lang w:val="ru-RU" w:eastAsia="ru-RU"/>
    </w:rPr>
  </w:style>
  <w:style w:type="paragraph" w:customStyle="1" w:styleId="Style1">
    <w:name w:val="Style1"/>
    <w:basedOn w:val="Normal"/>
    <w:link w:val="Style1Char"/>
    <w:qFormat/>
    <w:rsid w:val="00AF7AC7"/>
    <w:pPr>
      <w:shd w:val="clear" w:color="auto" w:fill="auto"/>
      <w:spacing w:after="200" w:line="276" w:lineRule="auto"/>
      <w:jc w:val="center"/>
    </w:pPr>
    <w:rPr>
      <w:rFonts w:ascii="Calibri" w:eastAsiaTheme="minorEastAsia" w:hAnsi="Calibri" w:cs="Calibri"/>
      <w:b/>
      <w:sz w:val="22"/>
      <w:szCs w:val="22"/>
      <w:shd w:val="clear" w:color="auto" w:fill="auto"/>
      <w:lang w:val="el-GR" w:eastAsia="en-US"/>
    </w:rPr>
  </w:style>
  <w:style w:type="character" w:customStyle="1" w:styleId="Style1Char">
    <w:name w:val="Style1 Char"/>
    <w:basedOn w:val="DefaultParagraphFont"/>
    <w:link w:val="Style1"/>
    <w:rsid w:val="00AF7AC7"/>
    <w:rPr>
      <w:rFonts w:ascii="Calibri" w:eastAsiaTheme="minorEastAsia" w:hAnsi="Calibri" w:cs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pPr>
      <w:shd w:val="solid" w:color="FFFFFF" w:fill="auto"/>
    </w:pPr>
    <w:rPr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uiPriority w:val="99"/>
    <w:unhideWhenUsed/>
    <w:rsid w:val="007E5689"/>
    <w:rPr>
      <w:color w:val="0000FF"/>
      <w:u w:val="single"/>
    </w:rPr>
  </w:style>
  <w:style w:type="table" w:styleId="TableGrid">
    <w:name w:val="Table Grid"/>
    <w:basedOn w:val="TableNormal"/>
    <w:unhideWhenUsed/>
    <w:rsid w:val="007E5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C0D3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C0D3B"/>
    <w:rPr>
      <w:sz w:val="24"/>
      <w:szCs w:val="24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C0D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C0D3B"/>
    <w:rPr>
      <w:sz w:val="24"/>
      <w:szCs w:val="24"/>
      <w:shd w:val="solid" w:color="FFFFFF" w:fill="auto"/>
      <w:lang w:val="ru-RU" w:eastAsia="ru-RU"/>
    </w:rPr>
  </w:style>
  <w:style w:type="character" w:customStyle="1" w:styleId="longtext">
    <w:name w:val="long_text"/>
    <w:basedOn w:val="DefaultParagraphFont"/>
    <w:rsid w:val="000516D6"/>
  </w:style>
  <w:style w:type="character" w:customStyle="1" w:styleId="apple-style-span">
    <w:name w:val="apple-style-span"/>
    <w:basedOn w:val="DefaultParagraphFont"/>
    <w:rsid w:val="00267386"/>
  </w:style>
  <w:style w:type="paragraph" w:styleId="NormalWeb">
    <w:name w:val="Normal (Web)"/>
    <w:basedOn w:val="Normal"/>
    <w:uiPriority w:val="99"/>
    <w:semiHidden/>
    <w:unhideWhenUsed/>
    <w:rsid w:val="00144FEE"/>
    <w:pPr>
      <w:shd w:val="clear" w:color="auto" w:fill="auto"/>
      <w:spacing w:before="100" w:beforeAutospacing="1" w:after="100" w:afterAutospacing="1"/>
    </w:pPr>
    <w:rPr>
      <w:shd w:val="clear" w:color="auto" w:fill="auto"/>
      <w:lang w:val="el-GR" w:eastAsia="el-GR"/>
    </w:rPr>
  </w:style>
  <w:style w:type="character" w:customStyle="1" w:styleId="apple-converted-space">
    <w:name w:val="apple-converted-space"/>
    <w:basedOn w:val="DefaultParagraphFont"/>
    <w:rsid w:val="00144FEE"/>
  </w:style>
  <w:style w:type="character" w:styleId="Emphasis">
    <w:name w:val="Emphasis"/>
    <w:uiPriority w:val="20"/>
    <w:qFormat/>
    <w:rsid w:val="00144FEE"/>
    <w:rPr>
      <w:i/>
      <w:iCs/>
    </w:rPr>
  </w:style>
  <w:style w:type="paragraph" w:customStyle="1" w:styleId="documentdescription">
    <w:name w:val="documentdescription"/>
    <w:basedOn w:val="Normal"/>
    <w:rsid w:val="00144FEE"/>
    <w:pPr>
      <w:shd w:val="clear" w:color="auto" w:fill="auto"/>
      <w:spacing w:before="100" w:beforeAutospacing="1" w:after="100" w:afterAutospacing="1"/>
    </w:pPr>
    <w:rPr>
      <w:shd w:val="clear" w:color="auto" w:fill="auto"/>
      <w:lang w:val="el-GR" w:eastAsia="el-GR"/>
    </w:rPr>
  </w:style>
  <w:style w:type="character" w:styleId="Strong">
    <w:name w:val="Strong"/>
    <w:uiPriority w:val="22"/>
    <w:qFormat/>
    <w:rsid w:val="00144FEE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144FEE"/>
  </w:style>
  <w:style w:type="paragraph" w:styleId="Title">
    <w:name w:val="Title"/>
    <w:basedOn w:val="Normal"/>
    <w:link w:val="TitleChar"/>
    <w:qFormat/>
    <w:rsid w:val="00791A52"/>
    <w:pPr>
      <w:shd w:val="clear" w:color="auto" w:fill="auto"/>
      <w:spacing w:line="360" w:lineRule="auto"/>
      <w:jc w:val="center"/>
    </w:pPr>
    <w:rPr>
      <w:b/>
      <w:bCs/>
      <w:shd w:val="clear" w:color="auto" w:fill="auto"/>
      <w:lang w:val="en-US" w:eastAsia="en-US"/>
    </w:rPr>
  </w:style>
  <w:style w:type="character" w:customStyle="1" w:styleId="TitleChar">
    <w:name w:val="Title Char"/>
    <w:link w:val="Title"/>
    <w:rsid w:val="00791A52"/>
    <w:rPr>
      <w:b/>
      <w:bCs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791A52"/>
  </w:style>
  <w:style w:type="character" w:customStyle="1" w:styleId="atn">
    <w:name w:val="atn"/>
    <w:basedOn w:val="DefaultParagraphFont"/>
    <w:rsid w:val="000A7AB2"/>
  </w:style>
  <w:style w:type="paragraph" w:styleId="ListParagraph">
    <w:name w:val="List Paragraph"/>
    <w:basedOn w:val="Normal"/>
    <w:link w:val="ListParagraphChar"/>
    <w:uiPriority w:val="34"/>
    <w:qFormat/>
    <w:rsid w:val="00982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2B"/>
    <w:rPr>
      <w:rFonts w:ascii="Tahoma" w:hAnsi="Tahoma" w:cs="Tahoma"/>
      <w:sz w:val="16"/>
      <w:szCs w:val="16"/>
      <w:shd w:val="solid" w:color="FFFFFF" w:fill="auto"/>
      <w:lang w:val="ru-RU" w:eastAsia="ru-RU"/>
    </w:rPr>
  </w:style>
  <w:style w:type="paragraph" w:styleId="Caption">
    <w:name w:val="caption"/>
    <w:basedOn w:val="Normal"/>
    <w:next w:val="Normal"/>
    <w:uiPriority w:val="99"/>
    <w:unhideWhenUsed/>
    <w:qFormat/>
    <w:rsid w:val="00C1223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D06A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9D06A0"/>
    <w:rPr>
      <w:rFonts w:ascii="Calibri" w:eastAsiaTheme="minorEastAsia" w:hAnsi="Calibri" w:cs="Calibri"/>
      <w:color w:val="365F91" w:themeColor="accent1" w:themeShade="BF"/>
      <w:szCs w:val="1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Accent1">
    <w:name w:val="Grid Table 1 Light Accent 1"/>
    <w:basedOn w:val="TableNormal"/>
    <w:uiPriority w:val="46"/>
    <w:rsid w:val="00C639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F42CBE"/>
    <w:rPr>
      <w:sz w:val="24"/>
      <w:szCs w:val="24"/>
      <w:shd w:val="solid" w:color="FFFFFF" w:fill="auto"/>
      <w:lang w:val="ru-RU" w:eastAsia="ru-RU"/>
    </w:rPr>
  </w:style>
  <w:style w:type="paragraph" w:customStyle="1" w:styleId="Style1">
    <w:name w:val="Style1"/>
    <w:basedOn w:val="Normal"/>
    <w:link w:val="Style1Char"/>
    <w:qFormat/>
    <w:rsid w:val="00AF7AC7"/>
    <w:pPr>
      <w:shd w:val="clear" w:color="auto" w:fill="auto"/>
      <w:spacing w:after="200" w:line="276" w:lineRule="auto"/>
      <w:jc w:val="center"/>
    </w:pPr>
    <w:rPr>
      <w:rFonts w:ascii="Calibri" w:eastAsiaTheme="minorEastAsia" w:hAnsi="Calibri" w:cs="Calibri"/>
      <w:b/>
      <w:sz w:val="22"/>
      <w:szCs w:val="22"/>
      <w:shd w:val="clear" w:color="auto" w:fill="auto"/>
      <w:lang w:val="el-GR" w:eastAsia="en-US"/>
    </w:rPr>
  </w:style>
  <w:style w:type="character" w:customStyle="1" w:styleId="Style1Char">
    <w:name w:val="Style1 Char"/>
    <w:basedOn w:val="DefaultParagraphFont"/>
    <w:link w:val="Style1"/>
    <w:rsid w:val="00AF7AC7"/>
    <w:rPr>
      <w:rFonts w:ascii="Calibri" w:eastAsiaTheme="minorEastAsia" w:hAnsi="Calibri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0F7D-B15F-47E6-852B-E5BE2DA8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Conference Bucharest letter</vt:lpstr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m.koniaris</dc:creator>
  <cp:lastModifiedBy>Maria Christoula</cp:lastModifiedBy>
  <cp:revision>3</cp:revision>
  <cp:lastPrinted>2018-04-24T14:15:00Z</cp:lastPrinted>
  <dcterms:created xsi:type="dcterms:W3CDTF">2018-05-24T13:16:00Z</dcterms:created>
  <dcterms:modified xsi:type="dcterms:W3CDTF">2018-05-24T13:20:00Z</dcterms:modified>
</cp:coreProperties>
</file>