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0D" w:rsidRDefault="0018410D" w:rsidP="00E5271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8410D" w:rsidRPr="00506589" w:rsidRDefault="0018410D" w:rsidP="0018410D">
      <w:pPr>
        <w:widowControl w:val="0"/>
        <w:tabs>
          <w:tab w:val="left" w:pos="4600"/>
        </w:tabs>
        <w:autoSpaceDE w:val="0"/>
        <w:autoSpaceDN w:val="0"/>
        <w:spacing w:after="0" w:line="240" w:lineRule="auto"/>
        <w:ind w:right="772"/>
        <w:rPr>
          <w:rFonts w:ascii="Calibri" w:eastAsia="Calibri" w:hAnsi="Calibri" w:cs="Tahoma"/>
          <w:b/>
          <w:bCs/>
          <w:sz w:val="24"/>
          <w:szCs w:val="24"/>
        </w:rPr>
      </w:pPr>
      <w:r w:rsidRPr="00725C4E">
        <w:rPr>
          <w:rFonts w:ascii="Calibri" w:hAnsi="Calibri"/>
        </w:rPr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5.75pt" o:ole="" filled="t">
            <v:fill color2="black"/>
            <v:imagedata r:id="rId8" o:title=""/>
          </v:shape>
          <o:OLEObject Type="Embed" ProgID="PBrush" ShapeID="_x0000_i1025" DrawAspect="Content" ObjectID="_1617078671" r:id="rId9"/>
        </w:object>
      </w:r>
      <w:r w:rsidRPr="00506589">
        <w:rPr>
          <w:rFonts w:ascii="Calibri" w:eastAsia="Calibri" w:hAnsi="Calibri" w:cs="Tahoma"/>
          <w:b/>
          <w:bCs/>
          <w:sz w:val="24"/>
          <w:szCs w:val="24"/>
        </w:rPr>
        <w:tab/>
        <w:t xml:space="preserve">                     </w:t>
      </w:r>
    </w:p>
    <w:p w:rsidR="0018410D" w:rsidRPr="00506589" w:rsidRDefault="0018410D" w:rsidP="0018410D">
      <w:pPr>
        <w:widowControl w:val="0"/>
        <w:autoSpaceDE w:val="0"/>
        <w:autoSpaceDN w:val="0"/>
        <w:spacing w:after="0" w:line="240" w:lineRule="auto"/>
        <w:ind w:right="772"/>
        <w:rPr>
          <w:rFonts w:ascii="Calibri" w:eastAsia="Calibri" w:hAnsi="Calibri" w:cs="Tahoma"/>
          <w:b/>
          <w:bCs/>
          <w:sz w:val="24"/>
          <w:szCs w:val="24"/>
        </w:rPr>
      </w:pPr>
      <w:r w:rsidRPr="00506589">
        <w:rPr>
          <w:rFonts w:ascii="Calibri" w:eastAsia="Calibri" w:hAnsi="Calibri" w:cs="Tahoma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8410D" w:rsidRPr="00A7069D" w:rsidRDefault="0018410D" w:rsidP="0018410D">
      <w:pPr>
        <w:widowControl w:val="0"/>
        <w:autoSpaceDE w:val="0"/>
        <w:autoSpaceDN w:val="0"/>
        <w:spacing w:after="0" w:line="240" w:lineRule="auto"/>
        <w:ind w:right="772"/>
        <w:rPr>
          <w:rFonts w:ascii="Calibri" w:eastAsia="Calibri" w:hAnsi="Calibri" w:cs="Tahoma"/>
          <w:b/>
          <w:bCs/>
          <w:sz w:val="24"/>
          <w:szCs w:val="24"/>
        </w:rPr>
      </w:pPr>
      <w:r w:rsidRPr="00A7069D">
        <w:rPr>
          <w:rFonts w:ascii="Calibri" w:eastAsia="Calibri" w:hAnsi="Calibri" w:cs="Tahoma"/>
          <w:b/>
          <w:bCs/>
          <w:sz w:val="24"/>
          <w:szCs w:val="24"/>
        </w:rPr>
        <w:t>ΕΛΛΗΝΙΚΗ ΔΗΜΟΚΡΑΤΙΑ</w:t>
      </w:r>
      <w:r w:rsidRPr="00A7069D">
        <w:rPr>
          <w:rFonts w:ascii="Calibri" w:eastAsia="Calibri" w:hAnsi="Calibri" w:cs="Tahoma"/>
          <w:b/>
          <w:bCs/>
          <w:sz w:val="24"/>
          <w:szCs w:val="24"/>
        </w:rPr>
        <w:tab/>
      </w:r>
      <w:r w:rsidRPr="00A7069D">
        <w:rPr>
          <w:rFonts w:ascii="Calibri" w:eastAsia="Calibri" w:hAnsi="Calibri" w:cs="Tahoma"/>
          <w:b/>
          <w:bCs/>
          <w:sz w:val="24"/>
          <w:szCs w:val="24"/>
        </w:rPr>
        <w:tab/>
      </w:r>
      <w:r w:rsidRPr="00A7069D">
        <w:rPr>
          <w:rFonts w:ascii="Calibri" w:eastAsia="Calibri" w:hAnsi="Calibri" w:cs="Tahoma"/>
          <w:b/>
          <w:bCs/>
          <w:sz w:val="24"/>
          <w:szCs w:val="24"/>
        </w:rPr>
        <w:tab/>
      </w:r>
      <w:r w:rsidRPr="00A7069D">
        <w:rPr>
          <w:rFonts w:ascii="Calibri" w:eastAsia="Calibri" w:hAnsi="Calibri" w:cs="Tahoma"/>
          <w:b/>
          <w:bCs/>
          <w:sz w:val="24"/>
          <w:szCs w:val="24"/>
        </w:rPr>
        <w:tab/>
      </w:r>
    </w:p>
    <w:p w:rsidR="0018410D" w:rsidRPr="00A7069D" w:rsidRDefault="0018410D" w:rsidP="0018410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  <w:r w:rsidRPr="00A7069D">
        <w:rPr>
          <w:rFonts w:ascii="Calibri" w:eastAsia="Calibri" w:hAnsi="Calibri" w:cs="Tahoma"/>
          <w:b/>
          <w:bCs/>
          <w:sz w:val="24"/>
          <w:szCs w:val="24"/>
        </w:rPr>
        <w:t>ΥΠΟΥΡΓΕΙΟ ΠΑΙΔΕΙΑΣ, ΕΡΕΥΝΑΣ ΚΑΙ ΘΡΗΣΚΕΥΜΑΤΩΝ</w:t>
      </w:r>
    </w:p>
    <w:p w:rsidR="0018410D" w:rsidRPr="00A7069D" w:rsidRDefault="0018410D" w:rsidP="0018410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  <w:r w:rsidRPr="00A7069D">
        <w:rPr>
          <w:rFonts w:ascii="Calibri" w:eastAsia="Calibri" w:hAnsi="Calibri" w:cs="Tahoma"/>
          <w:b/>
          <w:bCs/>
          <w:sz w:val="24"/>
          <w:szCs w:val="24"/>
        </w:rPr>
        <w:t>ΓΕΝΙΚΗ ΓΡΑΜΜΑΤΕΙΑ ΕΡΕΥΝΑΣ ΚΑΙ ΤΕΧΝΟΛΟΓΙΑΣ</w:t>
      </w:r>
    </w:p>
    <w:p w:rsidR="0018410D" w:rsidRPr="00547C45" w:rsidRDefault="0018410D" w:rsidP="0018410D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547C45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 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</w:t>
      </w:r>
    </w:p>
    <w:p w:rsidR="0018410D" w:rsidRPr="00547C45" w:rsidRDefault="0018410D" w:rsidP="0018410D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ΔΕΛΤΙΟ ΤΥΠΟΥ </w:t>
      </w:r>
      <w:r w:rsidRPr="00666783">
        <w:rPr>
          <w:rFonts w:ascii="Calibri" w:eastAsia="Times New Roman" w:hAnsi="Calibri" w:cs="Times New Roman"/>
          <w:b/>
          <w:bCs/>
          <w:sz w:val="24"/>
          <w:szCs w:val="24"/>
        </w:rPr>
        <w:t>|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1</w:t>
      </w:r>
      <w:r w:rsidRPr="00666783">
        <w:rPr>
          <w:rFonts w:ascii="Calibri" w:eastAsia="Times New Roman" w:hAnsi="Calibri" w:cs="Times New Roman"/>
          <w:b/>
          <w:bCs/>
          <w:sz w:val="24"/>
          <w:szCs w:val="24"/>
        </w:rPr>
        <w:t>8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.0</w:t>
      </w:r>
      <w:r w:rsidRPr="0018410D">
        <w:rPr>
          <w:rFonts w:ascii="Calibri" w:eastAsia="Times New Roman" w:hAnsi="Calibri" w:cs="Times New Roman"/>
          <w:b/>
          <w:bCs/>
          <w:sz w:val="24"/>
          <w:szCs w:val="24"/>
        </w:rPr>
        <w:t>4</w:t>
      </w:r>
      <w:r w:rsidRPr="00547C45">
        <w:rPr>
          <w:rFonts w:ascii="Calibri" w:eastAsia="Times New Roman" w:hAnsi="Calibri" w:cs="Times New Roman"/>
          <w:b/>
          <w:bCs/>
          <w:sz w:val="24"/>
          <w:szCs w:val="24"/>
        </w:rPr>
        <w:t>.2019</w:t>
      </w:r>
    </w:p>
    <w:p w:rsidR="0018410D" w:rsidRPr="0018410D" w:rsidRDefault="0018410D" w:rsidP="0018410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ahoma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Calibri" w:eastAsia="Times New Roman" w:hAnsi="Calibri" w:cs="Tahoma"/>
          <w:b/>
          <w:bCs/>
          <w:color w:val="000000"/>
          <w:kern w:val="1"/>
          <w:sz w:val="24"/>
          <w:szCs w:val="24"/>
          <w:lang w:eastAsia="hi-IN" w:bidi="hi-IN"/>
        </w:rPr>
        <w:t xml:space="preserve">Ενημερωτική Εκδήλωση στη Θεσσαλονίκη για τον </w:t>
      </w:r>
      <w:proofErr w:type="spellStart"/>
      <w:r>
        <w:rPr>
          <w:rFonts w:ascii="Calibri" w:eastAsia="Times New Roman" w:hAnsi="Calibri" w:cs="Tahoma"/>
          <w:b/>
          <w:bCs/>
          <w:color w:val="000000"/>
          <w:kern w:val="1"/>
          <w:sz w:val="24"/>
          <w:szCs w:val="24"/>
          <w:lang w:eastAsia="hi-IN" w:bidi="hi-IN"/>
        </w:rPr>
        <w:t>Β΄κύκλο</w:t>
      </w:r>
      <w:proofErr w:type="spellEnd"/>
    </w:p>
    <w:p w:rsidR="0018410D" w:rsidRPr="00547C45" w:rsidRDefault="0018410D" w:rsidP="0018410D">
      <w:pPr>
        <w:jc w:val="center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>
        <w:rPr>
          <w:b/>
        </w:rPr>
        <w:t>«</w:t>
      </w:r>
      <w:r>
        <w:rPr>
          <w:rFonts w:ascii="Calibri" w:eastAsia="Times New Roman" w:hAnsi="Calibri" w:cs="Tahoma"/>
          <w:b/>
          <w:bCs/>
          <w:caps/>
          <w:sz w:val="24"/>
          <w:szCs w:val="24"/>
          <w:lang w:eastAsia="ar-SA"/>
        </w:rPr>
        <w:t>ερευνω</w:t>
      </w:r>
      <w:r w:rsidRPr="00666783">
        <w:rPr>
          <w:rFonts w:ascii="Calibri" w:eastAsia="Times New Roman" w:hAnsi="Calibri" w:cs="Tahoma"/>
          <w:b/>
          <w:bCs/>
          <w:caps/>
          <w:sz w:val="24"/>
          <w:szCs w:val="24"/>
          <w:lang w:eastAsia="ar-SA"/>
        </w:rPr>
        <w:t xml:space="preserve"> - </w:t>
      </w:r>
      <w:r w:rsidRPr="00CD459B">
        <w:rPr>
          <w:rFonts w:ascii="Calibri" w:eastAsia="Times New Roman" w:hAnsi="Calibri" w:cs="Tahoma"/>
          <w:b/>
          <w:bCs/>
          <w:caps/>
          <w:sz w:val="24"/>
          <w:szCs w:val="24"/>
          <w:lang w:eastAsia="ar-SA"/>
        </w:rPr>
        <w:t>δημιουργω</w:t>
      </w:r>
      <w:r w:rsidRPr="00666783">
        <w:rPr>
          <w:rFonts w:ascii="Calibri" w:eastAsia="Times New Roman" w:hAnsi="Calibri" w:cs="Tahoma"/>
          <w:b/>
          <w:bCs/>
          <w:caps/>
          <w:sz w:val="24"/>
          <w:szCs w:val="24"/>
          <w:lang w:eastAsia="ar-SA"/>
        </w:rPr>
        <w:t xml:space="preserve"> - </w:t>
      </w:r>
      <w:r w:rsidRPr="00CD459B">
        <w:rPr>
          <w:rFonts w:ascii="Calibri" w:eastAsia="Times New Roman" w:hAnsi="Calibri" w:cs="Tahoma"/>
          <w:b/>
          <w:bCs/>
          <w:caps/>
          <w:sz w:val="24"/>
          <w:szCs w:val="24"/>
          <w:lang w:eastAsia="ar-SA"/>
        </w:rPr>
        <w:t xml:space="preserve">καινοτομω» </w:t>
      </w:r>
    </w:p>
    <w:p w:rsidR="0018410D" w:rsidRPr="0018410D" w:rsidRDefault="0018410D" w:rsidP="0018410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ahoma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Calibri" w:eastAsia="Times New Roman" w:hAnsi="Calibri" w:cs="Tahoma"/>
          <w:b/>
          <w:bCs/>
          <w:color w:val="000000"/>
          <w:kern w:val="1"/>
          <w:sz w:val="24"/>
          <w:szCs w:val="24"/>
          <w:lang w:eastAsia="hi-IN" w:bidi="hi-IN"/>
        </w:rPr>
        <w:t>και για Φοροαπαλλαγές και Αποσβέσεις</w:t>
      </w:r>
    </w:p>
    <w:p w:rsidR="0018410D" w:rsidRPr="00ED6ACC" w:rsidRDefault="0018410D" w:rsidP="00ED6ACC">
      <w:pPr>
        <w:rPr>
          <w:rFonts w:ascii="Arial" w:hAnsi="Arial" w:cs="Arial"/>
          <w:b/>
          <w:sz w:val="24"/>
          <w:szCs w:val="24"/>
        </w:rPr>
      </w:pPr>
    </w:p>
    <w:p w:rsidR="008D50D8" w:rsidRPr="0018410D" w:rsidRDefault="00F9707C" w:rsidP="008D50D8">
      <w:pPr>
        <w:jc w:val="both"/>
        <w:rPr>
          <w:rFonts w:cstheme="minorHAnsi"/>
        </w:rPr>
      </w:pPr>
      <w:r w:rsidRPr="0018410D">
        <w:rPr>
          <w:rFonts w:cstheme="minorHAnsi"/>
        </w:rPr>
        <w:t>Ε</w:t>
      </w:r>
      <w:r w:rsidR="00E52719" w:rsidRPr="0018410D">
        <w:rPr>
          <w:rFonts w:cstheme="minorHAnsi"/>
        </w:rPr>
        <w:t xml:space="preserve">κδήλωση </w:t>
      </w:r>
      <w:r w:rsidR="001E7F1A" w:rsidRPr="0018410D">
        <w:rPr>
          <w:rFonts w:cstheme="minorHAnsi"/>
        </w:rPr>
        <w:t xml:space="preserve">με μεγάλη συμμετοχή  </w:t>
      </w:r>
      <w:r w:rsidRPr="0018410D">
        <w:rPr>
          <w:rFonts w:cstheme="minorHAnsi"/>
        </w:rPr>
        <w:t>φορέων και επιχειρήσεων</w:t>
      </w:r>
      <w:r w:rsidR="001E7F1A" w:rsidRPr="0018410D">
        <w:rPr>
          <w:rFonts w:cstheme="minorHAnsi"/>
        </w:rPr>
        <w:t>,</w:t>
      </w:r>
      <w:r w:rsidRPr="0018410D">
        <w:rPr>
          <w:rFonts w:cstheme="minorHAnsi"/>
        </w:rPr>
        <w:t xml:space="preserve"> από το ερευνητικό οικοσύστημα της Θεσσαλ</w:t>
      </w:r>
      <w:r w:rsidR="009C5341">
        <w:rPr>
          <w:rFonts w:cstheme="minorHAnsi"/>
        </w:rPr>
        <w:t>ονίκης και γενικότερα της Κεντρικής</w:t>
      </w:r>
      <w:r w:rsidRPr="0018410D">
        <w:rPr>
          <w:rFonts w:cstheme="minorHAnsi"/>
        </w:rPr>
        <w:t xml:space="preserve"> Μακεδονίας, </w:t>
      </w:r>
      <w:r w:rsidR="001E7F1A" w:rsidRPr="0018410D">
        <w:rPr>
          <w:rFonts w:cstheme="minorHAnsi"/>
        </w:rPr>
        <w:t>πραγματοποιήθηκε στη</w:t>
      </w:r>
      <w:r w:rsidR="009C5341">
        <w:rPr>
          <w:rFonts w:cstheme="minorHAnsi"/>
        </w:rPr>
        <w:t xml:space="preserve"> Θεσσαλονίκη χθε</w:t>
      </w:r>
      <w:r w:rsidRPr="0018410D">
        <w:rPr>
          <w:rFonts w:cstheme="minorHAnsi"/>
        </w:rPr>
        <w:t xml:space="preserve">ς, Τρίτη 16/4/2019, </w:t>
      </w:r>
      <w:r w:rsidR="00E52719" w:rsidRPr="0018410D">
        <w:rPr>
          <w:rFonts w:cstheme="minorHAnsi"/>
        </w:rPr>
        <w:t xml:space="preserve"> </w:t>
      </w:r>
      <w:r w:rsidRPr="0018410D">
        <w:rPr>
          <w:rFonts w:cstheme="minorHAnsi"/>
        </w:rPr>
        <w:t>από την ΕΥΔΕ –ΕΤΑΚ</w:t>
      </w:r>
      <w:r w:rsidR="001E7F1A" w:rsidRPr="0018410D">
        <w:rPr>
          <w:rFonts w:cstheme="minorHAnsi"/>
        </w:rPr>
        <w:t xml:space="preserve">, </w:t>
      </w:r>
      <w:r w:rsidRPr="0018410D">
        <w:rPr>
          <w:rFonts w:cstheme="minorHAnsi"/>
        </w:rPr>
        <w:t xml:space="preserve"> </w:t>
      </w:r>
      <w:r w:rsidR="00E52719" w:rsidRPr="0018410D">
        <w:rPr>
          <w:rFonts w:cstheme="minorHAnsi"/>
        </w:rPr>
        <w:t xml:space="preserve">στο πλαίσιο της ενημέρωσης για τον Β΄ κύκλο της εμβληματικής </w:t>
      </w:r>
      <w:r w:rsidRPr="0018410D">
        <w:rPr>
          <w:rFonts w:cstheme="minorHAnsi"/>
        </w:rPr>
        <w:t xml:space="preserve">Ενιαίας </w:t>
      </w:r>
      <w:r w:rsidR="00E52719" w:rsidRPr="0018410D">
        <w:rPr>
          <w:rFonts w:cstheme="minorHAnsi"/>
        </w:rPr>
        <w:t xml:space="preserve">Δράσης </w:t>
      </w:r>
      <w:r w:rsidR="008D50D8" w:rsidRPr="0018410D">
        <w:rPr>
          <w:rFonts w:eastAsia="Times New Roman" w:cstheme="minorHAnsi"/>
          <w:color w:val="000000"/>
          <w:lang w:eastAsia="el-GR"/>
        </w:rPr>
        <w:t>Κρατικών Ενισχύσεων </w:t>
      </w:r>
      <w:r w:rsidR="008D50D8" w:rsidRPr="0018410D">
        <w:rPr>
          <w:rFonts w:eastAsia="Times New Roman" w:cstheme="minorHAnsi"/>
          <w:b/>
          <w:bCs/>
          <w:color w:val="000000"/>
          <w:lang w:eastAsia="el-GR"/>
        </w:rPr>
        <w:t xml:space="preserve">«ΕΡΕΥΝΩ – ΔΗΜΙΟΥΡΓΩ – ΚΑΙΝΟΤΟΜΩ» </w:t>
      </w:r>
      <w:r w:rsidR="008D50D8" w:rsidRPr="0018410D">
        <w:rPr>
          <w:rFonts w:eastAsia="Times New Roman" w:cstheme="minorHAnsi"/>
          <w:bCs/>
          <w:color w:val="000000"/>
          <w:lang w:eastAsia="el-GR"/>
        </w:rPr>
        <w:t>που</w:t>
      </w:r>
      <w:r w:rsidR="008D50D8" w:rsidRPr="0018410D">
        <w:rPr>
          <w:rFonts w:eastAsia="Times New Roman" w:cstheme="minorHAnsi"/>
          <w:b/>
          <w:bCs/>
          <w:color w:val="000000"/>
          <w:lang w:eastAsia="el-GR"/>
        </w:rPr>
        <w:t xml:space="preserve"> </w:t>
      </w:r>
      <w:r w:rsidR="008D50D8" w:rsidRPr="0018410D">
        <w:rPr>
          <w:rFonts w:eastAsia="Times New Roman" w:cstheme="minorHAnsi"/>
          <w:color w:val="000000"/>
          <w:lang w:eastAsia="el-GR"/>
        </w:rPr>
        <w:t>προκηρύχθηκε στο πλαίσιο του Επιχειρησιακού Προγράμματος ΑΝΤΑΓΩΝΙΣΤΙΚΟΤΗΤΑ, ΕΠΙΧΕΙΡΗΜΑΤΙΚΟΤΗΤΑ και ΚΑΙΝΟΤΟΜΙΑ (ΕΣΠΑ)</w:t>
      </w:r>
      <w:r w:rsidR="001E7F1A" w:rsidRPr="0018410D">
        <w:rPr>
          <w:rFonts w:cstheme="minorHAnsi"/>
        </w:rPr>
        <w:t>,</w:t>
      </w:r>
      <w:r w:rsidR="00E52719" w:rsidRPr="0018410D">
        <w:rPr>
          <w:rFonts w:cstheme="minorHAnsi"/>
        </w:rPr>
        <w:t xml:space="preserve"> με προϋπολογισμό </w:t>
      </w:r>
      <w:r w:rsidR="00F46383" w:rsidRPr="0018410D">
        <w:rPr>
          <w:rFonts w:cstheme="minorHAnsi"/>
        </w:rPr>
        <w:t>περί τα</w:t>
      </w:r>
      <w:r w:rsidR="00E52719" w:rsidRPr="0018410D">
        <w:rPr>
          <w:rFonts w:cstheme="minorHAnsi"/>
        </w:rPr>
        <w:t xml:space="preserve"> 250 </w:t>
      </w:r>
      <w:r w:rsidR="00F46383" w:rsidRPr="0018410D">
        <w:rPr>
          <w:rFonts w:cstheme="minorHAnsi"/>
        </w:rPr>
        <w:t xml:space="preserve">εκατ. </w:t>
      </w:r>
      <w:r w:rsidR="00E52719" w:rsidRPr="0018410D">
        <w:rPr>
          <w:rFonts w:cstheme="minorHAnsi"/>
        </w:rPr>
        <w:t>ευρώ.</w:t>
      </w:r>
    </w:p>
    <w:p w:rsidR="00F9707C" w:rsidRPr="0018410D" w:rsidRDefault="00F9707C" w:rsidP="008D50D8">
      <w:pPr>
        <w:jc w:val="both"/>
        <w:rPr>
          <w:rFonts w:cstheme="minorHAnsi"/>
        </w:rPr>
      </w:pPr>
      <w:r w:rsidRPr="0018410D">
        <w:rPr>
          <w:rFonts w:cstheme="minorHAnsi"/>
        </w:rPr>
        <w:t>Τα στελέχη της  ΕΥΔΕ–ΕΤΑΚ παρουσίασαν τα επιτυχή αποτελέσματα του Α’ κύκλου, που έκλεισε με χρηματοδοτήσεις έργων ύψους 373 εκατ. ευρώ και στη συνέχεια, ενημέρωσαν τους συμμετέχοντες για την τρέχουσα προκήρυξη του Β΄</w:t>
      </w:r>
      <w:r w:rsidR="00947303" w:rsidRPr="0018410D">
        <w:rPr>
          <w:rFonts w:cstheme="minorHAnsi"/>
        </w:rPr>
        <w:t xml:space="preserve"> </w:t>
      </w:r>
      <w:r w:rsidRPr="0018410D">
        <w:rPr>
          <w:rFonts w:cstheme="minorHAnsi"/>
        </w:rPr>
        <w:t>κύκλου της Δράσης, η οποία έχει σημαντικές βελτιώσεις.</w:t>
      </w:r>
    </w:p>
    <w:p w:rsidR="00F9707C" w:rsidRPr="0018410D" w:rsidRDefault="00F9707C" w:rsidP="00E52719">
      <w:pPr>
        <w:jc w:val="both"/>
        <w:rPr>
          <w:rFonts w:cstheme="minorHAnsi"/>
          <w:bCs/>
        </w:rPr>
      </w:pPr>
      <w:r w:rsidRPr="0018410D">
        <w:rPr>
          <w:rFonts w:cstheme="minorHAnsi"/>
        </w:rPr>
        <w:t xml:space="preserve">Συγκεκριμένα, μέσα από την </w:t>
      </w:r>
      <w:proofErr w:type="spellStart"/>
      <w:r w:rsidRPr="0018410D">
        <w:rPr>
          <w:rFonts w:cstheme="minorHAnsi"/>
        </w:rPr>
        <w:t>επικαιροποίηση</w:t>
      </w:r>
      <w:proofErr w:type="spellEnd"/>
      <w:r w:rsidRPr="0018410D">
        <w:rPr>
          <w:rFonts w:cstheme="minorHAnsi"/>
        </w:rPr>
        <w:t xml:space="preserve"> </w:t>
      </w:r>
      <w:r w:rsidR="00E03DB0" w:rsidRPr="0018410D">
        <w:rPr>
          <w:rFonts w:cstheme="minorHAnsi"/>
        </w:rPr>
        <w:t xml:space="preserve">των προτεραιοτήτων </w:t>
      </w:r>
      <w:r w:rsidRPr="0018410D">
        <w:rPr>
          <w:rFonts w:cstheme="minorHAnsi"/>
        </w:rPr>
        <w:t>της «</w:t>
      </w:r>
      <w:r w:rsidR="001E7F1A" w:rsidRPr="0018410D">
        <w:rPr>
          <w:rFonts w:cstheme="minorHAnsi"/>
        </w:rPr>
        <w:t>Σ</w:t>
      </w:r>
      <w:r w:rsidR="00E03DB0" w:rsidRPr="0018410D">
        <w:rPr>
          <w:rFonts w:cstheme="minorHAnsi"/>
        </w:rPr>
        <w:t xml:space="preserve">τρατηγικής </w:t>
      </w:r>
      <w:r w:rsidR="001E7F1A" w:rsidRPr="0018410D">
        <w:rPr>
          <w:rFonts w:cstheme="minorHAnsi"/>
        </w:rPr>
        <w:t>Έξυπνης Ε</w:t>
      </w:r>
      <w:r w:rsidRPr="0018410D">
        <w:rPr>
          <w:rFonts w:cstheme="minorHAnsi"/>
        </w:rPr>
        <w:t xml:space="preserve">ξειδίκευσης» </w:t>
      </w:r>
      <w:r w:rsidR="001E7F1A" w:rsidRPr="0018410D">
        <w:rPr>
          <w:rFonts w:cstheme="minorHAnsi"/>
        </w:rPr>
        <w:t>από τη</w:t>
      </w:r>
      <w:r w:rsidR="0018410D" w:rsidRPr="0018410D">
        <w:rPr>
          <w:rFonts w:cstheme="minorHAnsi"/>
        </w:rPr>
        <w:t xml:space="preserve"> </w:t>
      </w:r>
      <w:r w:rsidRPr="0018410D">
        <w:rPr>
          <w:rFonts w:cstheme="minorHAnsi"/>
        </w:rPr>
        <w:t xml:space="preserve">ΓΓΕΤ, </w:t>
      </w:r>
      <w:r w:rsidR="001E7F1A" w:rsidRPr="0018410D">
        <w:rPr>
          <w:rFonts w:cstheme="minorHAnsi"/>
        </w:rPr>
        <w:t>οι οποίες ενσωματώθηκαν στ</w:t>
      </w:r>
      <w:r w:rsidR="00E03DB0" w:rsidRPr="0018410D">
        <w:rPr>
          <w:rFonts w:cstheme="minorHAnsi"/>
        </w:rPr>
        <w:t>η δράση</w:t>
      </w:r>
      <w:r w:rsidRPr="0018410D">
        <w:rPr>
          <w:rFonts w:cstheme="minorHAnsi"/>
        </w:rPr>
        <w:t xml:space="preserve">, γίνονται πιο διακριτές οι νέες τεχνολογίες και ειδικά </w:t>
      </w:r>
      <w:r w:rsidR="00947303" w:rsidRPr="0018410D">
        <w:rPr>
          <w:rFonts w:cstheme="minorHAnsi"/>
        </w:rPr>
        <w:t xml:space="preserve">οι </w:t>
      </w:r>
      <w:r w:rsidRPr="0018410D">
        <w:rPr>
          <w:rFonts w:cstheme="minorHAnsi"/>
        </w:rPr>
        <w:t>σχετιζόμενες με τη λεγόμενη 4</w:t>
      </w:r>
      <w:r w:rsidRPr="0018410D">
        <w:rPr>
          <w:rFonts w:cstheme="minorHAnsi"/>
          <w:vertAlign w:val="superscript"/>
        </w:rPr>
        <w:t>η</w:t>
      </w:r>
      <w:r w:rsidRPr="0018410D">
        <w:rPr>
          <w:rFonts w:cstheme="minorHAnsi"/>
        </w:rPr>
        <w:t xml:space="preserve"> βιομηχανική επανάσταση, καθώς και </w:t>
      </w:r>
      <w:r w:rsidR="001E7F1A" w:rsidRPr="0018410D">
        <w:rPr>
          <w:rFonts w:cstheme="minorHAnsi"/>
        </w:rPr>
        <w:t>με τ</w:t>
      </w:r>
      <w:r w:rsidRPr="0018410D">
        <w:rPr>
          <w:rFonts w:cstheme="minorHAnsi"/>
        </w:rPr>
        <w:t>η</w:t>
      </w:r>
      <w:r w:rsidR="001E7F1A" w:rsidRPr="0018410D">
        <w:rPr>
          <w:rFonts w:cstheme="minorHAnsi"/>
        </w:rPr>
        <w:t>ν</w:t>
      </w:r>
      <w:r w:rsidRPr="0018410D">
        <w:rPr>
          <w:rFonts w:cstheme="minorHAnsi"/>
        </w:rPr>
        <w:t xml:space="preserve"> κυκλική οικονομία. </w:t>
      </w:r>
      <w:r w:rsidR="001E7F1A" w:rsidRPr="0018410D">
        <w:rPr>
          <w:rFonts w:cstheme="minorHAnsi"/>
        </w:rPr>
        <w:t xml:space="preserve">Επίσης έμφαση δίνεται στην ενίσχυση της στελέχωσης των επιχειρήσεων </w:t>
      </w:r>
      <w:r w:rsidRPr="0018410D">
        <w:rPr>
          <w:rFonts w:cstheme="minorHAnsi"/>
        </w:rPr>
        <w:t xml:space="preserve"> με επιστημονικό προσωπικό.</w:t>
      </w:r>
      <w:r w:rsidRPr="0018410D">
        <w:rPr>
          <w:rFonts w:cstheme="minorHAnsi"/>
          <w:bCs/>
        </w:rPr>
        <w:t xml:space="preserve"> </w:t>
      </w:r>
    </w:p>
    <w:p w:rsidR="00B66810" w:rsidRPr="0018410D" w:rsidRDefault="001E7F1A" w:rsidP="00F46383">
      <w:pPr>
        <w:jc w:val="both"/>
        <w:rPr>
          <w:rFonts w:cstheme="minorHAnsi"/>
        </w:rPr>
      </w:pPr>
      <w:r w:rsidRPr="0018410D">
        <w:rPr>
          <w:rFonts w:cstheme="minorHAnsi"/>
        </w:rPr>
        <w:t>Στην</w:t>
      </w:r>
      <w:r w:rsidR="00791EAD" w:rsidRPr="0018410D">
        <w:rPr>
          <w:rFonts w:cstheme="minorHAnsi"/>
        </w:rPr>
        <w:t xml:space="preserve"> ενημερωτική εκδήλωση συμμετείχε η Γ</w:t>
      </w:r>
      <w:r w:rsidR="00B83F4C" w:rsidRPr="0018410D">
        <w:rPr>
          <w:rFonts w:cstheme="minorHAnsi"/>
        </w:rPr>
        <w:t xml:space="preserve">ενική </w:t>
      </w:r>
      <w:r w:rsidR="00791EAD" w:rsidRPr="0018410D">
        <w:rPr>
          <w:rFonts w:cstheme="minorHAnsi"/>
        </w:rPr>
        <w:t>Γ</w:t>
      </w:r>
      <w:r w:rsidR="00B83F4C" w:rsidRPr="0018410D">
        <w:rPr>
          <w:rFonts w:cstheme="minorHAnsi"/>
        </w:rPr>
        <w:t>ραμματέας</w:t>
      </w:r>
      <w:r w:rsidR="00791EAD" w:rsidRPr="0018410D">
        <w:rPr>
          <w:rFonts w:cstheme="minorHAnsi"/>
        </w:rPr>
        <w:t xml:space="preserve"> </w:t>
      </w:r>
      <w:r w:rsidR="00B83F4C" w:rsidRPr="0018410D">
        <w:rPr>
          <w:rFonts w:cstheme="minorHAnsi"/>
        </w:rPr>
        <w:t>Έρευνας και Τεχνολογίας</w:t>
      </w:r>
      <w:r w:rsidR="0033739F">
        <w:rPr>
          <w:rFonts w:cstheme="minorHAnsi"/>
        </w:rPr>
        <w:t xml:space="preserve"> </w:t>
      </w:r>
      <w:proofErr w:type="spellStart"/>
      <w:r w:rsidR="0033739F">
        <w:rPr>
          <w:rFonts w:cstheme="minorHAnsi"/>
        </w:rPr>
        <w:t>Πατρίτσια</w:t>
      </w:r>
      <w:proofErr w:type="spellEnd"/>
      <w:r w:rsidR="00F46383" w:rsidRPr="0018410D">
        <w:rPr>
          <w:rFonts w:cstheme="minorHAnsi"/>
        </w:rPr>
        <w:t xml:space="preserve"> </w:t>
      </w:r>
      <w:proofErr w:type="spellStart"/>
      <w:r w:rsidR="00F46383" w:rsidRPr="0018410D">
        <w:rPr>
          <w:rFonts w:cstheme="minorHAnsi"/>
        </w:rPr>
        <w:t>Κυπριανίδου</w:t>
      </w:r>
      <w:proofErr w:type="spellEnd"/>
      <w:r w:rsidR="00F46383" w:rsidRPr="0018410D">
        <w:rPr>
          <w:rFonts w:cstheme="minorHAnsi"/>
        </w:rPr>
        <w:t>,</w:t>
      </w:r>
      <w:r w:rsidR="00ED6ACC" w:rsidRPr="00ED6ACC">
        <w:t xml:space="preserve"> </w:t>
      </w:r>
      <w:r w:rsidR="00ED6ACC" w:rsidRPr="0018410D">
        <w:rPr>
          <w:rFonts w:cstheme="minorHAnsi"/>
        </w:rPr>
        <w:t xml:space="preserve">η οποία </w:t>
      </w:r>
      <w:r w:rsidR="00ED6ACC">
        <w:t xml:space="preserve">δήλωσε : </w:t>
      </w:r>
      <w:r w:rsidR="00F46383" w:rsidRPr="0018410D">
        <w:rPr>
          <w:rFonts w:cstheme="minorHAnsi"/>
        </w:rPr>
        <w:t xml:space="preserve"> </w:t>
      </w:r>
      <w:bookmarkStart w:id="0" w:name="_GoBack"/>
      <w:bookmarkEnd w:id="0"/>
    </w:p>
    <w:p w:rsidR="00B66810" w:rsidRPr="0018410D" w:rsidRDefault="00E52719" w:rsidP="00E52719">
      <w:pPr>
        <w:spacing w:before="240"/>
        <w:jc w:val="both"/>
        <w:rPr>
          <w:rFonts w:cstheme="minorHAnsi"/>
        </w:rPr>
      </w:pPr>
      <w:r w:rsidRPr="0018410D">
        <w:rPr>
          <w:rFonts w:cstheme="minorHAnsi"/>
        </w:rPr>
        <w:t>«</w:t>
      </w:r>
      <w:r w:rsidR="001E7F1A" w:rsidRPr="0018410D">
        <w:rPr>
          <w:rFonts w:cstheme="minorHAnsi"/>
        </w:rPr>
        <w:t>Η πολιτική</w:t>
      </w:r>
      <w:r w:rsidR="00B66810" w:rsidRPr="0018410D">
        <w:rPr>
          <w:rFonts w:cstheme="minorHAnsi"/>
        </w:rPr>
        <w:t xml:space="preserve"> μας </w:t>
      </w:r>
      <w:r w:rsidR="001E7F1A" w:rsidRPr="0018410D">
        <w:rPr>
          <w:rFonts w:cstheme="minorHAnsi"/>
        </w:rPr>
        <w:t>στην Έρευνα είναι σημαντική</w:t>
      </w:r>
      <w:r w:rsidR="00B66810" w:rsidRPr="0018410D">
        <w:rPr>
          <w:rFonts w:cstheme="minorHAnsi"/>
        </w:rPr>
        <w:t xml:space="preserve"> για το αναπτυξιακό σχέδιο της χώρας, αλλά ταυτόχρονα </w:t>
      </w:r>
      <w:r w:rsidR="001E7F1A" w:rsidRPr="0018410D">
        <w:rPr>
          <w:rFonts w:cstheme="minorHAnsi"/>
        </w:rPr>
        <w:t>και</w:t>
      </w:r>
      <w:r w:rsidR="00B66810" w:rsidRPr="0018410D">
        <w:rPr>
          <w:rFonts w:cstheme="minorHAnsi"/>
        </w:rPr>
        <w:t xml:space="preserve"> για την αντιμετώπιση των σημαντικών προκλήσεων της εποχής μας και για τον καθορισμό της μελλοντικής θέσης της χώρας απέναντι σε ένα ταχέως εξελισσόμενο κόσμο.</w:t>
      </w:r>
      <w:r w:rsidR="001E7F1A" w:rsidRPr="0018410D">
        <w:rPr>
          <w:rFonts w:cstheme="minorHAnsi"/>
        </w:rPr>
        <w:t xml:space="preserve"> Μέσα</w:t>
      </w:r>
      <w:r w:rsidR="00B66810" w:rsidRPr="0018410D">
        <w:rPr>
          <w:rFonts w:cstheme="minorHAnsi"/>
        </w:rPr>
        <w:t xml:space="preserve"> από την ενιαία Δράση «Ερευνώ-Δημιουργώ-</w:t>
      </w:r>
      <w:proofErr w:type="spellStart"/>
      <w:r w:rsidR="00B66810" w:rsidRPr="0018410D">
        <w:rPr>
          <w:rFonts w:cstheme="minorHAnsi"/>
        </w:rPr>
        <w:t>Καινοτομ</w:t>
      </w:r>
      <w:proofErr w:type="spellEnd"/>
      <w:r w:rsidR="00B66810" w:rsidRPr="0018410D">
        <w:rPr>
          <w:rFonts w:cstheme="minorHAnsi"/>
        </w:rPr>
        <w:t>ώ» ενισχύονται οι συνέργειες μεταξύ ερευνητικών φορέων και επιχειρήσεων σε τομείς έντασης γνώσης και η απασχόληση εξειδικευμένου ανθρώπινου</w:t>
      </w:r>
      <w:r w:rsidR="00B66810" w:rsidRPr="00947303">
        <w:rPr>
          <w:rFonts w:ascii="Arial" w:hAnsi="Arial" w:cs="Arial"/>
          <w:sz w:val="24"/>
          <w:szCs w:val="24"/>
        </w:rPr>
        <w:t xml:space="preserve"> </w:t>
      </w:r>
      <w:r w:rsidR="00B66810" w:rsidRPr="0018410D">
        <w:rPr>
          <w:rFonts w:cstheme="minorHAnsi"/>
        </w:rPr>
        <w:t>δυναμικού και ειδικότερα νέων</w:t>
      </w:r>
      <w:r w:rsidR="00B66810" w:rsidRPr="00947303">
        <w:rPr>
          <w:rFonts w:ascii="Arial" w:hAnsi="Arial" w:cs="Arial"/>
          <w:sz w:val="24"/>
          <w:szCs w:val="24"/>
        </w:rPr>
        <w:t xml:space="preserve"> </w:t>
      </w:r>
      <w:r w:rsidR="00B66810" w:rsidRPr="0018410D">
        <w:rPr>
          <w:rFonts w:cstheme="minorHAnsi"/>
        </w:rPr>
        <w:t>επιστημόνων σε ποιοτικές θέσεις εργασίας στο δημόσιο και στον ιδιωτικό τομέα</w:t>
      </w:r>
      <w:r w:rsidR="00F46383" w:rsidRPr="0018410D">
        <w:rPr>
          <w:rFonts w:cstheme="minorHAnsi"/>
        </w:rPr>
        <w:t>».</w:t>
      </w:r>
    </w:p>
    <w:p w:rsidR="00007CEC" w:rsidRPr="0018410D" w:rsidRDefault="00007CEC" w:rsidP="00E52719">
      <w:pPr>
        <w:pStyle w:val="NormalWeb"/>
        <w:spacing w:before="96" w:beforeAutospacing="0" w:after="0" w:afterAutospacing="0" w:line="276" w:lineRule="auto"/>
        <w:jc w:val="both"/>
        <w:rPr>
          <w:rFonts w:asciiTheme="minorHAnsi" w:eastAsia="Cambria" w:hAnsiTheme="minorHAnsi" w:cstheme="minorHAnsi"/>
          <w:kern w:val="24"/>
          <w:sz w:val="22"/>
          <w:szCs w:val="22"/>
        </w:rPr>
      </w:pPr>
      <w:r w:rsidRPr="0018410D">
        <w:rPr>
          <w:rFonts w:asciiTheme="minorHAnsi" w:hAnsiTheme="minorHAnsi" w:cstheme="minorHAnsi"/>
          <w:sz w:val="22"/>
          <w:szCs w:val="22"/>
        </w:rPr>
        <w:lastRenderedPageBreak/>
        <w:t xml:space="preserve">Στο δεύτερο μέρος της </w:t>
      </w:r>
      <w:r w:rsidR="00352D7A" w:rsidRPr="0018410D">
        <w:rPr>
          <w:rFonts w:asciiTheme="minorHAnsi" w:hAnsiTheme="minorHAnsi" w:cstheme="minorHAnsi"/>
          <w:sz w:val="22"/>
          <w:szCs w:val="22"/>
        </w:rPr>
        <w:t>εκδήλωσης</w:t>
      </w:r>
      <w:r w:rsidR="0020678D" w:rsidRPr="0018410D">
        <w:rPr>
          <w:rFonts w:asciiTheme="minorHAnsi" w:hAnsiTheme="minorHAnsi" w:cstheme="minorHAnsi"/>
          <w:sz w:val="22"/>
          <w:szCs w:val="22"/>
        </w:rPr>
        <w:t xml:space="preserve">, στέλεχος της Γενικής Γραμματείας Έρευνας και Τεχνολογίας παρουσίασε στις </w:t>
      </w:r>
      <w:r w:rsidR="00352D7A" w:rsidRPr="0018410D">
        <w:rPr>
          <w:rFonts w:asciiTheme="minorHAnsi" w:hAnsiTheme="minorHAnsi" w:cstheme="minorHAnsi"/>
          <w:sz w:val="22"/>
          <w:szCs w:val="22"/>
        </w:rPr>
        <w:t>επιχειρήσεις τ</w:t>
      </w:r>
      <w:r w:rsidR="0020678D" w:rsidRPr="0018410D">
        <w:rPr>
          <w:rFonts w:asciiTheme="minorHAnsi" w:hAnsiTheme="minorHAnsi" w:cstheme="minorHAnsi"/>
          <w:sz w:val="22"/>
          <w:szCs w:val="22"/>
        </w:rPr>
        <w:t>ις</w:t>
      </w:r>
      <w:r w:rsidR="00352D7A" w:rsidRPr="0018410D">
        <w:rPr>
          <w:rFonts w:asciiTheme="minorHAnsi" w:hAnsiTheme="minorHAnsi" w:cstheme="minorHAnsi"/>
          <w:sz w:val="22"/>
          <w:szCs w:val="22"/>
        </w:rPr>
        <w:t xml:space="preserve"> δυνατ</w:t>
      </w:r>
      <w:r w:rsidR="0020678D" w:rsidRPr="0018410D">
        <w:rPr>
          <w:rFonts w:asciiTheme="minorHAnsi" w:hAnsiTheme="minorHAnsi" w:cstheme="minorHAnsi"/>
          <w:sz w:val="22"/>
          <w:szCs w:val="22"/>
        </w:rPr>
        <w:t xml:space="preserve">ότητες που έχουν </w:t>
      </w:r>
      <w:r w:rsidR="00352D7A" w:rsidRPr="0018410D">
        <w:rPr>
          <w:rFonts w:asciiTheme="minorHAnsi" w:hAnsiTheme="minorHAnsi" w:cstheme="minorHAnsi"/>
          <w:sz w:val="22"/>
          <w:szCs w:val="22"/>
        </w:rPr>
        <w:t>για</w:t>
      </w:r>
      <w:r w:rsidR="00905F3E" w:rsidRPr="0018410D">
        <w:rPr>
          <w:rFonts w:asciiTheme="minorHAnsi" w:hAnsiTheme="minorHAnsi" w:cstheme="minorHAnsi"/>
          <w:sz w:val="22"/>
          <w:szCs w:val="22"/>
        </w:rPr>
        <w:t xml:space="preserve"> φοροαπαλλαγές </w:t>
      </w:r>
      <w:r w:rsidR="00352D7A" w:rsidRPr="0018410D">
        <w:rPr>
          <w:rFonts w:asciiTheme="minorHAnsi" w:hAnsiTheme="minorHAnsi" w:cstheme="minorHAnsi"/>
          <w:sz w:val="22"/>
          <w:szCs w:val="22"/>
        </w:rPr>
        <w:t xml:space="preserve">και </w:t>
      </w:r>
      <w:r w:rsidR="00905F3E" w:rsidRPr="0018410D">
        <w:rPr>
          <w:rFonts w:asciiTheme="minorHAnsi" w:hAnsiTheme="minorHAnsi" w:cstheme="minorHAnsi"/>
          <w:sz w:val="22"/>
          <w:szCs w:val="22"/>
        </w:rPr>
        <w:t xml:space="preserve">αποσβέσεις </w:t>
      </w:r>
      <w:r w:rsidR="00352D7A" w:rsidRPr="0018410D">
        <w:rPr>
          <w:rFonts w:asciiTheme="minorHAnsi" w:hAnsiTheme="minorHAnsi" w:cstheme="minorHAnsi"/>
          <w:sz w:val="22"/>
          <w:szCs w:val="22"/>
        </w:rPr>
        <w:t xml:space="preserve">ερευνητικού εξοπλισμού μετά από </w:t>
      </w:r>
      <w:r w:rsidR="0020678D" w:rsidRPr="0018410D">
        <w:rPr>
          <w:rFonts w:asciiTheme="minorHAnsi" w:hAnsiTheme="minorHAnsi" w:cstheme="minorHAnsi"/>
          <w:sz w:val="22"/>
          <w:szCs w:val="22"/>
        </w:rPr>
        <w:t>πιστοποίηση</w:t>
      </w:r>
      <w:r w:rsidR="0020678D" w:rsidRPr="0018410D">
        <w:rPr>
          <w:rFonts w:asciiTheme="minorHAnsi" w:eastAsia="Cambria" w:hAnsiTheme="minorHAnsi" w:cstheme="minorHAnsi"/>
          <w:bCs/>
          <w:kern w:val="24"/>
          <w:sz w:val="22"/>
          <w:szCs w:val="22"/>
        </w:rPr>
        <w:t>. Με βάση την ΚΥΑ 109343/12 του 2017,</w:t>
      </w:r>
      <w:r w:rsidR="0020678D" w:rsidRPr="0018410D">
        <w:rPr>
          <w:rFonts w:asciiTheme="minorHAnsi" w:eastAsia="Cambria" w:hAnsiTheme="minorHAnsi" w:cstheme="minorHAnsi"/>
          <w:kern w:val="24"/>
          <w:sz w:val="22"/>
          <w:szCs w:val="22"/>
        </w:rPr>
        <w:t xml:space="preserve"> παρέχεται</w:t>
      </w:r>
      <w:r w:rsidR="0020678D" w:rsidRPr="0018410D">
        <w:rPr>
          <w:rFonts w:asciiTheme="minorHAnsi" w:eastAsia="Cambria" w:hAnsiTheme="minorHAnsi" w:cstheme="minorHAnsi"/>
          <w:bCs/>
          <w:kern w:val="24"/>
          <w:sz w:val="22"/>
          <w:szCs w:val="22"/>
        </w:rPr>
        <w:t xml:space="preserve"> </w:t>
      </w:r>
      <w:r w:rsidR="0020678D" w:rsidRPr="0018410D">
        <w:rPr>
          <w:rFonts w:asciiTheme="minorHAnsi" w:hAnsiTheme="minorHAnsi" w:cstheme="minorHAnsi"/>
          <w:sz w:val="22"/>
          <w:szCs w:val="22"/>
        </w:rPr>
        <w:t>έμμεση χρηματοδότηση</w:t>
      </w:r>
      <w:r w:rsidR="0020678D" w:rsidRPr="0018410D">
        <w:rPr>
          <w:rFonts w:asciiTheme="minorHAnsi" w:eastAsia="Cambria" w:hAnsiTheme="minorHAnsi" w:cstheme="minorHAnsi"/>
          <w:bCs/>
          <w:kern w:val="24"/>
          <w:sz w:val="22"/>
          <w:szCs w:val="22"/>
        </w:rPr>
        <w:t xml:space="preserve"> </w:t>
      </w:r>
      <w:r w:rsidRPr="0018410D">
        <w:rPr>
          <w:rFonts w:asciiTheme="minorHAnsi" w:eastAsia="Cambria" w:hAnsiTheme="minorHAnsi" w:cstheme="minorHAnsi"/>
          <w:kern w:val="24"/>
          <w:sz w:val="22"/>
          <w:szCs w:val="22"/>
        </w:rPr>
        <w:t xml:space="preserve">σε επιχειρήσεις που πραγματοποιούν δαπάνες </w:t>
      </w:r>
      <w:r w:rsidR="0020678D" w:rsidRPr="0018410D">
        <w:rPr>
          <w:rFonts w:asciiTheme="minorHAnsi" w:eastAsia="Cambria" w:hAnsiTheme="minorHAnsi" w:cstheme="minorHAnsi"/>
          <w:kern w:val="24"/>
          <w:sz w:val="22"/>
          <w:szCs w:val="22"/>
        </w:rPr>
        <w:t>επιστημονικής και τεχνολογικής έ</w:t>
      </w:r>
      <w:r w:rsidRPr="0018410D">
        <w:rPr>
          <w:rFonts w:asciiTheme="minorHAnsi" w:eastAsia="Cambria" w:hAnsiTheme="minorHAnsi" w:cstheme="minorHAnsi"/>
          <w:kern w:val="24"/>
          <w:sz w:val="22"/>
          <w:szCs w:val="22"/>
        </w:rPr>
        <w:t>ρευνας</w:t>
      </w:r>
      <w:r w:rsidR="0020678D" w:rsidRPr="0018410D">
        <w:rPr>
          <w:rFonts w:asciiTheme="minorHAnsi" w:hAnsiTheme="minorHAnsi" w:cstheme="minorHAnsi"/>
          <w:sz w:val="22"/>
          <w:szCs w:val="22"/>
        </w:rPr>
        <w:t xml:space="preserve"> με ίδιους πόρους.</w:t>
      </w:r>
    </w:p>
    <w:p w:rsidR="00841DE9" w:rsidRDefault="0020678D" w:rsidP="00E52719">
      <w:pPr>
        <w:jc w:val="both"/>
        <w:rPr>
          <w:rFonts w:cstheme="minorHAnsi"/>
        </w:rPr>
      </w:pPr>
      <w:r w:rsidRPr="0018410D">
        <w:rPr>
          <w:rFonts w:cstheme="minorHAnsi"/>
        </w:rPr>
        <w:t xml:space="preserve">Εντός των ημερών </w:t>
      </w:r>
      <w:r w:rsidR="00841DE9" w:rsidRPr="0018410D">
        <w:rPr>
          <w:rFonts w:cstheme="minorHAnsi"/>
        </w:rPr>
        <w:t xml:space="preserve">θα αναρτηθεί στον </w:t>
      </w:r>
      <w:proofErr w:type="spellStart"/>
      <w:r w:rsidR="00841DE9" w:rsidRPr="0018410D">
        <w:rPr>
          <w:rFonts w:cstheme="minorHAnsi"/>
        </w:rPr>
        <w:t>ιστότοπο</w:t>
      </w:r>
      <w:proofErr w:type="spellEnd"/>
      <w:r w:rsidR="00841DE9" w:rsidRPr="0018410D">
        <w:rPr>
          <w:rFonts w:cstheme="minorHAnsi"/>
        </w:rPr>
        <w:t xml:space="preserve"> της ΓΓΕΤ Πρόσκληση-Ανακοίνωση για την υποβολή δικαιολογητικών </w:t>
      </w:r>
      <w:r w:rsidR="00EE6047" w:rsidRPr="0018410D">
        <w:rPr>
          <w:rFonts w:cstheme="minorHAnsi"/>
        </w:rPr>
        <w:t>που αφορούν το οικονομικό έτος</w:t>
      </w:r>
      <w:r w:rsidR="00841DE9" w:rsidRPr="0018410D">
        <w:rPr>
          <w:rFonts w:cstheme="minorHAnsi"/>
        </w:rPr>
        <w:t xml:space="preserve"> 2018</w:t>
      </w:r>
      <w:r w:rsidR="00EE6047" w:rsidRPr="0018410D">
        <w:rPr>
          <w:rFonts w:cstheme="minorHAnsi"/>
        </w:rPr>
        <w:t xml:space="preserve"> </w:t>
      </w:r>
      <w:r w:rsidR="0018410D">
        <w:rPr>
          <w:rFonts w:cstheme="minorHAnsi"/>
        </w:rPr>
        <w:t>εκ μέρους των επιχειρήσεων</w:t>
      </w:r>
      <w:r w:rsidR="00841DE9" w:rsidRPr="0018410D">
        <w:rPr>
          <w:rFonts w:cstheme="minorHAnsi"/>
        </w:rPr>
        <w:t>.</w:t>
      </w:r>
    </w:p>
    <w:p w:rsidR="009C5341" w:rsidRDefault="009C5341" w:rsidP="00E52719">
      <w:pPr>
        <w:jc w:val="both"/>
        <w:rPr>
          <w:rFonts w:cstheme="minorHAnsi"/>
        </w:rPr>
      </w:pPr>
    </w:p>
    <w:p w:rsidR="009C5341" w:rsidRPr="00CD459B" w:rsidRDefault="009C5341" w:rsidP="009C5341">
      <w:pPr>
        <w:jc w:val="center"/>
      </w:pPr>
      <w:r w:rsidRPr="00547C45">
        <w:rPr>
          <w:rFonts w:ascii="Calibri" w:eastAsia="Times New Roman" w:hAnsi="Calibri" w:cs="Arial"/>
          <w:i/>
          <w:sz w:val="16"/>
          <w:szCs w:val="16"/>
          <w:lang w:eastAsia="el-GR"/>
        </w:rPr>
        <w:t xml:space="preserve">Γενική Γραμματεία Έρευνας και Τεχνολογίας </w:t>
      </w:r>
      <w:r w:rsidRPr="00547C45">
        <w:rPr>
          <w:rFonts w:ascii="Calibri" w:eastAsia="Times New Roman" w:hAnsi="Calibri" w:cs="Arial"/>
          <w:b/>
          <w:i/>
          <w:sz w:val="16"/>
          <w:szCs w:val="16"/>
          <w:lang w:eastAsia="el-GR"/>
        </w:rPr>
        <w:t>ΓΓΕΤ</w:t>
      </w:r>
      <w:r w:rsidRPr="00547C45">
        <w:rPr>
          <w:rFonts w:ascii="Calibri" w:eastAsia="Times New Roman" w:hAnsi="Calibri" w:cs="Arial"/>
          <w:i/>
          <w:sz w:val="16"/>
          <w:szCs w:val="16"/>
          <w:lang w:eastAsia="el-GR"/>
        </w:rPr>
        <w:t xml:space="preserve"> </w:t>
      </w:r>
      <w:r w:rsidRPr="00547C45">
        <w:rPr>
          <w:rFonts w:ascii="Calibri" w:eastAsia="Times New Roman" w:hAnsi="Calibri" w:cs="Arial"/>
          <w:sz w:val="16"/>
          <w:szCs w:val="16"/>
          <w:lang w:eastAsia="el-GR"/>
        </w:rPr>
        <w:t>//</w:t>
      </w:r>
      <w:r>
        <w:rPr>
          <w:rFonts w:ascii="Calibri" w:eastAsia="Times New Roman" w:hAnsi="Calibri" w:cs="Arial"/>
          <w:sz w:val="16"/>
          <w:szCs w:val="16"/>
          <w:lang w:eastAsia="el-GR"/>
        </w:rPr>
        <w:t xml:space="preserve"> </w:t>
      </w:r>
      <w:r w:rsidRPr="00A7069D">
        <w:rPr>
          <w:rFonts w:ascii="Calibri" w:eastAsia="Times New Roman" w:hAnsi="Calibri" w:cs="Arial"/>
          <w:i/>
          <w:sz w:val="16"/>
          <w:szCs w:val="16"/>
          <w:lang w:eastAsia="el-GR"/>
        </w:rPr>
        <w:t xml:space="preserve"> </w:t>
      </w:r>
      <w:r w:rsidRPr="00547C45">
        <w:rPr>
          <w:rFonts w:ascii="Calibri" w:eastAsia="Times New Roman" w:hAnsi="Calibri" w:cs="Arial"/>
          <w:i/>
          <w:sz w:val="16"/>
          <w:szCs w:val="16"/>
          <w:lang w:val="en-US" w:eastAsia="el-GR"/>
        </w:rPr>
        <w:t>Email</w:t>
      </w:r>
      <w:r w:rsidRPr="00547C45">
        <w:rPr>
          <w:rFonts w:ascii="Calibri" w:eastAsia="Times New Roman" w:hAnsi="Calibri" w:cs="Arial"/>
          <w:i/>
          <w:sz w:val="16"/>
          <w:szCs w:val="16"/>
          <w:lang w:eastAsia="el-GR"/>
        </w:rPr>
        <w:t xml:space="preserve">: </w:t>
      </w:r>
      <w:hyperlink r:id="rId10" w:history="1">
        <w:r w:rsidRPr="00547C45">
          <w:rPr>
            <w:rFonts w:ascii="Calibri" w:eastAsia="Times New Roman" w:hAnsi="Calibri" w:cs="Arial"/>
            <w:i/>
            <w:color w:val="0000FF"/>
            <w:sz w:val="16"/>
            <w:szCs w:val="16"/>
            <w:u w:val="single"/>
            <w:lang w:val="en-US" w:eastAsia="el-GR"/>
          </w:rPr>
          <w:t>gsrt</w:t>
        </w:r>
        <w:r w:rsidRPr="00547C45">
          <w:rPr>
            <w:rFonts w:ascii="Calibri" w:eastAsia="Times New Roman" w:hAnsi="Calibri" w:cs="Arial"/>
            <w:i/>
            <w:color w:val="0000FF"/>
            <w:sz w:val="16"/>
            <w:szCs w:val="16"/>
            <w:u w:val="single"/>
            <w:lang w:eastAsia="el-GR"/>
          </w:rPr>
          <w:t>@</w:t>
        </w:r>
        <w:r w:rsidRPr="00547C45">
          <w:rPr>
            <w:rFonts w:ascii="Calibri" w:eastAsia="Times New Roman" w:hAnsi="Calibri" w:cs="Arial"/>
            <w:i/>
            <w:color w:val="0000FF"/>
            <w:sz w:val="16"/>
            <w:szCs w:val="16"/>
            <w:u w:val="single"/>
            <w:lang w:val="en-US" w:eastAsia="el-GR"/>
          </w:rPr>
          <w:t>gsrt</w:t>
        </w:r>
        <w:r w:rsidRPr="00547C45">
          <w:rPr>
            <w:rFonts w:ascii="Calibri" w:eastAsia="Times New Roman" w:hAnsi="Calibri" w:cs="Arial"/>
            <w:i/>
            <w:color w:val="0000FF"/>
            <w:sz w:val="16"/>
            <w:szCs w:val="16"/>
            <w:u w:val="single"/>
            <w:lang w:eastAsia="el-GR"/>
          </w:rPr>
          <w:t>.</w:t>
        </w:r>
        <w:r w:rsidRPr="00547C45">
          <w:rPr>
            <w:rFonts w:ascii="Calibri" w:eastAsia="Times New Roman" w:hAnsi="Calibri" w:cs="Arial"/>
            <w:i/>
            <w:color w:val="0000FF"/>
            <w:sz w:val="16"/>
            <w:szCs w:val="16"/>
            <w:u w:val="single"/>
            <w:lang w:val="en-US" w:eastAsia="el-GR"/>
          </w:rPr>
          <w:t>gr</w:t>
        </w:r>
      </w:hyperlink>
      <w:r w:rsidRPr="00547C45">
        <w:rPr>
          <w:rFonts w:ascii="Calibri" w:eastAsia="Times New Roman" w:hAnsi="Calibri" w:cs="Arial"/>
          <w:i/>
          <w:sz w:val="16"/>
          <w:szCs w:val="16"/>
          <w:lang w:eastAsia="el-GR"/>
        </w:rPr>
        <w:t xml:space="preserve"> </w:t>
      </w:r>
      <w:r w:rsidRPr="00547C45">
        <w:rPr>
          <w:rFonts w:ascii="Calibri" w:eastAsia="Times New Roman" w:hAnsi="Calibri" w:cs="Times New Roman"/>
          <w:sz w:val="16"/>
          <w:szCs w:val="16"/>
          <w:lang w:eastAsia="el-GR"/>
        </w:rPr>
        <w:t xml:space="preserve"> // </w:t>
      </w:r>
      <w:hyperlink r:id="rId11" w:history="1">
        <w:r w:rsidRPr="00547C45">
          <w:rPr>
            <w:rFonts w:ascii="Calibri" w:eastAsia="Times New Roman" w:hAnsi="Calibri" w:cs="Times New Roman"/>
            <w:i/>
            <w:color w:val="0000FF"/>
            <w:sz w:val="16"/>
            <w:szCs w:val="16"/>
            <w:u w:val="single"/>
            <w:lang w:val="en-US" w:eastAsia="el-GR"/>
          </w:rPr>
          <w:t>http</w:t>
        </w:r>
        <w:r w:rsidRPr="00547C45">
          <w:rPr>
            <w:rFonts w:ascii="Calibri" w:eastAsia="Times New Roman" w:hAnsi="Calibri" w:cs="Times New Roman"/>
            <w:i/>
            <w:color w:val="0000FF"/>
            <w:sz w:val="16"/>
            <w:szCs w:val="16"/>
            <w:u w:val="single"/>
            <w:lang w:eastAsia="el-GR"/>
          </w:rPr>
          <w:t>://</w:t>
        </w:r>
        <w:r w:rsidRPr="00547C45">
          <w:rPr>
            <w:rFonts w:ascii="Calibri" w:eastAsia="Times New Roman" w:hAnsi="Calibri" w:cs="Times New Roman"/>
            <w:i/>
            <w:color w:val="0000FF"/>
            <w:sz w:val="16"/>
            <w:szCs w:val="16"/>
            <w:u w:val="single"/>
            <w:lang w:val="en-US" w:eastAsia="el-GR"/>
          </w:rPr>
          <w:t>www</w:t>
        </w:r>
        <w:r w:rsidRPr="00547C45">
          <w:rPr>
            <w:rFonts w:ascii="Calibri" w:eastAsia="Times New Roman" w:hAnsi="Calibri" w:cs="Times New Roman"/>
            <w:i/>
            <w:color w:val="0000FF"/>
            <w:sz w:val="16"/>
            <w:szCs w:val="16"/>
            <w:u w:val="single"/>
            <w:lang w:eastAsia="el-GR"/>
          </w:rPr>
          <w:t>.</w:t>
        </w:r>
        <w:proofErr w:type="spellStart"/>
        <w:r w:rsidRPr="00547C45">
          <w:rPr>
            <w:rFonts w:ascii="Calibri" w:eastAsia="Times New Roman" w:hAnsi="Calibri" w:cs="Times New Roman"/>
            <w:i/>
            <w:color w:val="0000FF"/>
            <w:sz w:val="16"/>
            <w:szCs w:val="16"/>
            <w:u w:val="single"/>
            <w:lang w:val="en-US" w:eastAsia="el-GR"/>
          </w:rPr>
          <w:t>gsrt</w:t>
        </w:r>
        <w:proofErr w:type="spellEnd"/>
        <w:r w:rsidRPr="00547C45">
          <w:rPr>
            <w:rFonts w:ascii="Calibri" w:eastAsia="Times New Roman" w:hAnsi="Calibri" w:cs="Times New Roman"/>
            <w:i/>
            <w:color w:val="0000FF"/>
            <w:sz w:val="16"/>
            <w:szCs w:val="16"/>
            <w:u w:val="single"/>
            <w:lang w:eastAsia="el-GR"/>
          </w:rPr>
          <w:t>.</w:t>
        </w:r>
        <w:r w:rsidRPr="00547C45">
          <w:rPr>
            <w:rFonts w:ascii="Calibri" w:eastAsia="Times New Roman" w:hAnsi="Calibri" w:cs="Times New Roman"/>
            <w:i/>
            <w:color w:val="0000FF"/>
            <w:sz w:val="16"/>
            <w:szCs w:val="16"/>
            <w:u w:val="single"/>
            <w:lang w:val="en-US" w:eastAsia="el-GR"/>
          </w:rPr>
          <w:t>gr</w:t>
        </w:r>
      </w:hyperlink>
    </w:p>
    <w:p w:rsidR="009C5341" w:rsidRDefault="009C5341" w:rsidP="00E52719">
      <w:pPr>
        <w:jc w:val="both"/>
        <w:rPr>
          <w:rFonts w:cstheme="minorHAnsi"/>
        </w:rPr>
      </w:pPr>
    </w:p>
    <w:p w:rsidR="009C5341" w:rsidRDefault="009C5341" w:rsidP="00E52719">
      <w:pPr>
        <w:jc w:val="both"/>
        <w:rPr>
          <w:rFonts w:cstheme="minorHAnsi"/>
        </w:rPr>
      </w:pPr>
    </w:p>
    <w:p w:rsidR="009C5341" w:rsidRPr="0018410D" w:rsidRDefault="009C5341" w:rsidP="00E52719">
      <w:pPr>
        <w:jc w:val="both"/>
        <w:rPr>
          <w:rFonts w:cstheme="minorHAnsi"/>
        </w:rPr>
      </w:pPr>
    </w:p>
    <w:sectPr w:rsidR="009C5341" w:rsidRPr="0018410D" w:rsidSect="00E52719">
      <w:footerReference w:type="default" r:id="rId12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05" w:rsidRDefault="00E87405" w:rsidP="009C5341">
      <w:pPr>
        <w:spacing w:after="0" w:line="240" w:lineRule="auto"/>
      </w:pPr>
      <w:r>
        <w:separator/>
      </w:r>
    </w:p>
  </w:endnote>
  <w:endnote w:type="continuationSeparator" w:id="0">
    <w:p w:rsidR="00E87405" w:rsidRDefault="00E87405" w:rsidP="009C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341" w:rsidRDefault="009C5341">
    <w:pPr>
      <w:pStyle w:val="Footer"/>
    </w:pPr>
    <w:r>
      <w:rPr>
        <w:noProof/>
        <w:lang w:eastAsia="el-GR"/>
      </w:rPr>
      <w:drawing>
        <wp:inline distT="0" distB="0" distL="0" distR="0" wp14:anchorId="1974BB43" wp14:editId="2E40BBA7">
          <wp:extent cx="5274310" cy="62531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05" w:rsidRDefault="00E87405" w:rsidP="009C5341">
      <w:pPr>
        <w:spacing w:after="0" w:line="240" w:lineRule="auto"/>
      </w:pPr>
      <w:r>
        <w:separator/>
      </w:r>
    </w:p>
  </w:footnote>
  <w:footnote w:type="continuationSeparator" w:id="0">
    <w:p w:rsidR="00E87405" w:rsidRDefault="00E87405" w:rsidP="009C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2868"/>
    <w:multiLevelType w:val="hybridMultilevel"/>
    <w:tmpl w:val="AA62F252"/>
    <w:lvl w:ilvl="0" w:tplc="D02A8A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E73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20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CF0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45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10D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2F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00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4F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3E"/>
    <w:rsid w:val="00007CEC"/>
    <w:rsid w:val="0018410D"/>
    <w:rsid w:val="001E7F1A"/>
    <w:rsid w:val="0020678D"/>
    <w:rsid w:val="00325209"/>
    <w:rsid w:val="0033739F"/>
    <w:rsid w:val="00352D7A"/>
    <w:rsid w:val="00441B39"/>
    <w:rsid w:val="00791EAD"/>
    <w:rsid w:val="00841DE9"/>
    <w:rsid w:val="008D50D8"/>
    <w:rsid w:val="00905F3E"/>
    <w:rsid w:val="00947303"/>
    <w:rsid w:val="009C5341"/>
    <w:rsid w:val="00B66810"/>
    <w:rsid w:val="00B83F4C"/>
    <w:rsid w:val="00BA37F8"/>
    <w:rsid w:val="00C33B5A"/>
    <w:rsid w:val="00C5410A"/>
    <w:rsid w:val="00E03DB0"/>
    <w:rsid w:val="00E52719"/>
    <w:rsid w:val="00E87405"/>
    <w:rsid w:val="00ED6ACC"/>
    <w:rsid w:val="00ED7F6B"/>
    <w:rsid w:val="00EE6047"/>
    <w:rsid w:val="00F46383"/>
    <w:rsid w:val="00F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07C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9C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341"/>
  </w:style>
  <w:style w:type="paragraph" w:styleId="Footer">
    <w:name w:val="footer"/>
    <w:basedOn w:val="Normal"/>
    <w:link w:val="FooterChar"/>
    <w:uiPriority w:val="99"/>
    <w:unhideWhenUsed/>
    <w:rsid w:val="009C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41"/>
  </w:style>
  <w:style w:type="paragraph" w:styleId="BalloonText">
    <w:name w:val="Balloon Text"/>
    <w:basedOn w:val="Normal"/>
    <w:link w:val="BalloonTextChar"/>
    <w:uiPriority w:val="99"/>
    <w:semiHidden/>
    <w:unhideWhenUsed/>
    <w:rsid w:val="009C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07C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9C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341"/>
  </w:style>
  <w:style w:type="paragraph" w:styleId="Footer">
    <w:name w:val="footer"/>
    <w:basedOn w:val="Normal"/>
    <w:link w:val="FooterChar"/>
    <w:uiPriority w:val="99"/>
    <w:unhideWhenUsed/>
    <w:rsid w:val="009C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41"/>
  </w:style>
  <w:style w:type="paragraph" w:styleId="BalloonText">
    <w:name w:val="Balloon Text"/>
    <w:basedOn w:val="Normal"/>
    <w:link w:val="BalloonTextChar"/>
    <w:uiPriority w:val="99"/>
    <w:semiHidden/>
    <w:unhideWhenUsed/>
    <w:rsid w:val="009C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1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srt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srt@gsrt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Stavropoulou</dc:creator>
  <cp:lastModifiedBy>Betty Bakatselou</cp:lastModifiedBy>
  <cp:revision>6</cp:revision>
  <dcterms:created xsi:type="dcterms:W3CDTF">2019-04-18T04:31:00Z</dcterms:created>
  <dcterms:modified xsi:type="dcterms:W3CDTF">2019-04-18T04:45:00Z</dcterms:modified>
</cp:coreProperties>
</file>