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8C42D5" w:rsidRDefault="008C42D5" w:rsidP="00D209EA">
      <w:pPr>
        <w:jc w:val="center"/>
        <w:rPr>
          <w:rFonts w:asciiTheme="minorHAnsi" w:hAnsiTheme="minorHAnsi"/>
          <w:b/>
          <w:sz w:val="36"/>
          <w:szCs w:val="36"/>
          <w:u w:val="single"/>
        </w:rPr>
      </w:pPr>
      <w:bookmarkStart w:id="0" w:name="_Toc452990161"/>
      <w:bookmarkStart w:id="1" w:name="_Toc470249821"/>
      <w:bookmarkStart w:id="2" w:name="_GoBack"/>
      <w:bookmarkEnd w:id="2"/>
      <w:r w:rsidRPr="008C42D5">
        <w:rPr>
          <w:rFonts w:asciiTheme="minorHAnsi" w:hAnsiTheme="minorHAnsi"/>
          <w:b/>
          <w:sz w:val="36"/>
          <w:szCs w:val="36"/>
          <w:u w:val="single"/>
        </w:rPr>
        <w:t xml:space="preserve"> </w:t>
      </w:r>
      <w:r w:rsidR="00F75B16" w:rsidRPr="00F75B16">
        <w:rPr>
          <w:rFonts w:asciiTheme="minorHAnsi" w:hAnsiTheme="minorHAnsi"/>
          <w:b/>
          <w:sz w:val="36"/>
          <w:szCs w:val="36"/>
          <w:u w:val="single"/>
        </w:rPr>
        <w:t>1.</w:t>
      </w:r>
      <w:r w:rsidR="00F75B16" w:rsidRPr="00F75B16">
        <w:rPr>
          <w:rFonts w:asciiTheme="minorHAnsi" w:hAnsiTheme="minorHAnsi"/>
          <w:b/>
          <w:sz w:val="36"/>
          <w:szCs w:val="36"/>
          <w:u w:val="single"/>
        </w:rPr>
        <w:tab/>
        <w:t>ΕΜΒΛΗΜΑΤΙΚΗ ΔΡΑΣΗ ΓΙΑ ΕΘΝΙΚΟ ΔΙΚΤΥΟ ΕΡΕΥΝΑΣ ΓΕΝΕΤΙΚΩΝ ΚΑΡΔΙΑΓΓΕΙΑΚΩΝ ΠΑΘΗΣΕΩΝ  ΚΑΙ ΠΡΟΛΗΨΗΣ ΤΟΥ ΝΕΑΝΙΚΟΥ ΑΙΦΝΙΔΙΟΥ ΘΑΝΑΤΟΥ ΣΤΗ ΒΑΣΗ ΤΗΣ ΙΑΤΡΙΚΗΣ ΑΚΡΙΒΕΙΑΣ - GR INHERITED NETWORK</w:t>
      </w:r>
    </w:p>
    <w:p w:rsidR="008C42D5" w:rsidRDefault="008C42D5"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Heading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r w:rsidRPr="00E34C4F">
              <w:rPr>
                <w:rFonts w:asciiTheme="minorHAnsi" w:hAnsiTheme="minorHAnsi" w:cs="Tahoma"/>
                <w:color w:val="auto"/>
                <w:sz w:val="24"/>
                <w:szCs w:val="24"/>
                <w:lang w:eastAsia="en-US"/>
              </w:rPr>
              <w:t>υπ΄αριθ.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επιλεξιμότητα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w:t>
            </w:r>
            <w:r w:rsidRPr="003635C8">
              <w:rPr>
                <w:rFonts w:asciiTheme="minorHAnsi" w:hAnsiTheme="minorHAnsi"/>
                <w:sz w:val="24"/>
                <w:szCs w:val="24"/>
              </w:rPr>
              <w:lastRenderedPageBreak/>
              <w:t>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Έρευνα επί συμβάσει</w:t>
            </w:r>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lastRenderedPageBreak/>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συμβάσει</w:t>
            </w:r>
            <w:r w:rsidRPr="003635C8">
              <w:rPr>
                <w:rFonts w:asciiTheme="minorHAnsi" w:hAnsiTheme="minorHAnsi" w:cs="Tahoma"/>
                <w:color w:val="auto"/>
                <w:sz w:val="24"/>
                <w:szCs w:val="24"/>
                <w:lang w:eastAsia="en-US"/>
              </w:rPr>
              <w:t xml:space="preserve"> ή συνδικαιούχους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είναι επιλέξιμες χωρίς προσκόμιση των αντίστοιχων παραστατικών</w:t>
      </w:r>
      <w:r w:rsidR="00F64606">
        <w:rPr>
          <w:rFonts w:asciiTheme="minorHAnsi" w:hAnsiTheme="minorHAnsi" w:cs="Tahoma"/>
          <w:color w:val="auto"/>
          <w:sz w:val="24"/>
          <w:szCs w:val="24"/>
          <w:lang w:eastAsia="en-US"/>
        </w:rPr>
        <w:t xml:space="preserve"> και υπολογίζονται ως </w:t>
      </w:r>
      <w:r w:rsidR="005F2B7B" w:rsidRPr="003635C8">
        <w:rPr>
          <w:rFonts w:asciiTheme="minorHAnsi" w:hAnsiTheme="minorHAnsi" w:cs="Tahoma"/>
          <w:color w:val="auto"/>
          <w:sz w:val="24"/>
          <w:szCs w:val="24"/>
          <w:lang w:eastAsia="en-US"/>
        </w:rPr>
        <w:t xml:space="preserve">σταθερό ποσοστό </w:t>
      </w:r>
      <w:r w:rsidR="005F2B7B" w:rsidRPr="003635C8">
        <w:rPr>
          <w:rFonts w:asciiTheme="minorHAnsi" w:hAnsiTheme="minorHAnsi" w:cs="Tahoma"/>
          <w:b/>
          <w:color w:val="auto"/>
          <w:sz w:val="24"/>
          <w:szCs w:val="24"/>
          <w:lang w:eastAsia="en-US"/>
        </w:rPr>
        <w:t>1</w:t>
      </w:r>
      <w:r w:rsidRPr="003635C8">
        <w:rPr>
          <w:rFonts w:asciiTheme="minorHAnsi" w:hAnsiTheme="minorHAnsi" w:cs="Tahoma"/>
          <w:b/>
          <w:color w:val="auto"/>
          <w:sz w:val="24"/>
          <w:szCs w:val="24"/>
          <w:lang w:eastAsia="en-US"/>
        </w:rPr>
        <w:t>0</w:t>
      </w:r>
      <w:r w:rsidR="005F2B7B" w:rsidRPr="003635C8">
        <w:rPr>
          <w:rFonts w:asciiTheme="minorHAnsi" w:hAnsiTheme="minorHAnsi" w:cs="Tahoma"/>
          <w:b/>
          <w:color w:val="auto"/>
          <w:sz w:val="24"/>
          <w:szCs w:val="24"/>
          <w:lang w:eastAsia="en-US"/>
        </w:rPr>
        <w:t>%</w:t>
      </w:r>
      <w:r w:rsidR="005F2B7B" w:rsidRPr="003635C8">
        <w:rPr>
          <w:rFonts w:asciiTheme="minorHAnsi" w:hAnsiTheme="minorHAnsi" w:cs="Tahoma"/>
          <w:color w:val="auto"/>
          <w:sz w:val="24"/>
          <w:szCs w:val="24"/>
          <w:lang w:eastAsia="en-US"/>
        </w:rPr>
        <w:t xml:space="preserve"> </w:t>
      </w:r>
      <w:r w:rsidR="005F2B7B" w:rsidRPr="004E7E9D">
        <w:rPr>
          <w:rFonts w:asciiTheme="minorHAnsi" w:hAnsiTheme="minorHAnsi" w:cs="Tahoma"/>
          <w:color w:val="auto"/>
          <w:sz w:val="24"/>
          <w:szCs w:val="24"/>
          <w:highlight w:val="yellow"/>
          <w:lang w:eastAsia="en-US"/>
        </w:rPr>
        <w:t xml:space="preserve">των </w:t>
      </w:r>
      <w:r w:rsidR="005F2B7B" w:rsidRPr="004E7E9D">
        <w:rPr>
          <w:rFonts w:asciiTheme="minorHAnsi" w:hAnsiTheme="minorHAnsi" w:cs="Tahoma"/>
          <w:b/>
          <w:color w:val="auto"/>
          <w:sz w:val="24"/>
          <w:szCs w:val="24"/>
          <w:highlight w:val="yellow"/>
          <w:lang w:eastAsia="en-US"/>
        </w:rPr>
        <w:t>επιλέξιμων</w:t>
      </w:r>
      <w:r w:rsidR="005F2B7B" w:rsidRPr="004E7E9D">
        <w:rPr>
          <w:rFonts w:asciiTheme="minorHAnsi" w:hAnsiTheme="minorHAnsi" w:cs="Tahoma"/>
          <w:color w:val="auto"/>
          <w:sz w:val="24"/>
          <w:szCs w:val="24"/>
          <w:highlight w:val="yellow"/>
          <w:lang w:eastAsia="en-US"/>
        </w:rPr>
        <w:t xml:space="preserve"> </w:t>
      </w:r>
      <w:r w:rsidR="005F2B7B" w:rsidRPr="004E7E9D">
        <w:rPr>
          <w:rFonts w:asciiTheme="minorHAnsi" w:hAnsiTheme="minorHAnsi" w:cs="Tahoma"/>
          <w:b/>
          <w:color w:val="auto"/>
          <w:sz w:val="24"/>
          <w:szCs w:val="24"/>
          <w:highlight w:val="yellow"/>
          <w:lang w:eastAsia="en-US"/>
        </w:rPr>
        <w:t xml:space="preserve">άμεσων δαπανών </w:t>
      </w:r>
      <w:r w:rsidRPr="004E7E9D">
        <w:rPr>
          <w:rFonts w:asciiTheme="minorHAnsi" w:hAnsiTheme="minorHAnsi" w:cs="Tahoma"/>
          <w:b/>
          <w:color w:val="auto"/>
          <w:sz w:val="24"/>
          <w:szCs w:val="24"/>
          <w:highlight w:val="yellow"/>
          <w:lang w:eastAsia="en-US"/>
        </w:rPr>
        <w:t>του φορέα</w:t>
      </w:r>
      <w:r w:rsidR="00F64606">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F64606">
        <w:rPr>
          <w:rFonts w:asciiTheme="minorHAnsi" w:hAnsiTheme="minorHAnsi" w:cs="Tahoma"/>
          <w:b/>
          <w:sz w:val="24"/>
          <w:szCs w:val="24"/>
        </w:rPr>
        <w:t>Β)</w:t>
      </w:r>
      <w:r>
        <w:rPr>
          <w:rFonts w:asciiTheme="minorHAnsi" w:hAnsiTheme="minorHAnsi" w:cs="Tahoma"/>
          <w:sz w:val="24"/>
          <w:szCs w:val="24"/>
        </w:rPr>
        <w:t xml:space="preserve"> </w:t>
      </w:r>
      <w:r w:rsidR="005F2B7B" w:rsidRPr="003635C8">
        <w:rPr>
          <w:rFonts w:asciiTheme="minorHAnsi" w:hAnsiTheme="minorHAnsi" w:cs="Tahoma"/>
          <w:sz w:val="24"/>
          <w:szCs w:val="24"/>
        </w:rPr>
        <w:t xml:space="preserve">Ως </w:t>
      </w:r>
      <w:r w:rsidR="005F2B7B" w:rsidRPr="003635C8">
        <w:rPr>
          <w:rFonts w:asciiTheme="minorHAnsi" w:hAnsiTheme="minorHAnsi" w:cs="Tahoma"/>
          <w:b/>
          <w:sz w:val="24"/>
          <w:szCs w:val="24"/>
        </w:rPr>
        <w:t>ημερομηνία έναρξης επιλεξιμότητας δαπανών</w:t>
      </w:r>
      <w:r w:rsidR="005F2B7B" w:rsidRPr="003635C8">
        <w:rPr>
          <w:rFonts w:asciiTheme="minorHAnsi" w:hAnsiTheme="minorHAnsi" w:cs="Tahoma"/>
          <w:sz w:val="24"/>
          <w:szCs w:val="24"/>
        </w:rPr>
        <w:t xml:space="preserve"> ορίζεται η</w:t>
      </w:r>
      <w:r w:rsidR="006478EB" w:rsidRPr="004303C0">
        <w:rPr>
          <w:rFonts w:asciiTheme="minorHAnsi" w:hAnsiTheme="minorHAnsi" w:cs="Tahoma"/>
          <w:sz w:val="24"/>
          <w:szCs w:val="24"/>
        </w:rPr>
        <w:t xml:space="preserve"> </w:t>
      </w:r>
      <w:r w:rsidR="00251184" w:rsidRPr="003635C8">
        <w:rPr>
          <w:rFonts w:asciiTheme="minorHAnsi" w:hAnsiTheme="minorHAnsi" w:cs="Tahoma"/>
          <w:sz w:val="24"/>
          <w:szCs w:val="24"/>
        </w:rPr>
        <w:t xml:space="preserve">ημερομηνία υπογραφής της σύμβασης μεταξύ </w:t>
      </w:r>
      <w:r>
        <w:rPr>
          <w:rFonts w:asciiTheme="minorHAnsi" w:hAnsiTheme="minorHAnsi" w:cs="Tahoma"/>
          <w:sz w:val="24"/>
          <w:szCs w:val="24"/>
        </w:rPr>
        <w:t>της ΓΓΕΤ και του Φορέα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Heading3"/>
        <w:numPr>
          <w:ilvl w:val="0"/>
          <w:numId w:val="38"/>
        </w:numPr>
        <w:spacing w:before="0" w:after="0"/>
        <w:ind w:left="0" w:firstLine="0"/>
        <w:jc w:val="both"/>
        <w:rPr>
          <w:rFonts w:asciiTheme="minorHAnsi" w:hAnsiTheme="minorHAnsi" w:cs="Tahoma"/>
          <w:b/>
          <w:sz w:val="24"/>
          <w:szCs w:val="24"/>
        </w:rPr>
      </w:pPr>
      <w:bookmarkStart w:id="3" w:name="_Toc470249824"/>
      <w:r w:rsidRPr="003635C8">
        <w:rPr>
          <w:rFonts w:asciiTheme="minorHAnsi" w:hAnsiTheme="minorHAnsi" w:cs="Tahoma"/>
          <w:b/>
          <w:sz w:val="24"/>
          <w:szCs w:val="24"/>
        </w:rPr>
        <w:t>ΧΡΗΜΑΤΟΔΟΤΙΚΟ ΣΧΗΜΑ</w:t>
      </w:r>
      <w:bookmarkEnd w:id="3"/>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ListParagraph"/>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το σύνολο των κερδών από τις δραστηριότητες μεταφοράς γνώσης (π.χ. ερευνητική συνεργασία) επανεπενδύεται στις κύριες δραστηριότητες του ερευνητικού οργανισμού ή της ερευνητικής υποδομής,</w:t>
      </w:r>
    </w:p>
    <w:p w:rsidR="005F2B7B" w:rsidRPr="003635C8" w:rsidRDefault="005F2B7B" w:rsidP="005F2B7B">
      <w:pPr>
        <w:pStyle w:val="ListParagraph"/>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Heading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Η δράση θα υλοποιηθεί μέσω συνεργασιών και συγκεκριμένα: οι δικαιούχοι θα επιλέξουν τον κεντρικό συντονιστή της δράσης καθώς και τους συντονιστές των υπο-δράσεων. Τα τεχνικά δελτία θα συμπληρωθούν σε επίπεδο υπο-δράσης και θα συγκεντρωθούν από τον κεντρικό συντονιστή, ο οποίος θα τα υποβάλλει στη ΓΓΕΤ, συμπληρώνοντας τα συγκεντρωτικά στοιχεία υλοποίησης της δράσης.</w:t>
      </w:r>
      <w:r w:rsidR="00BB3212">
        <w:rPr>
          <w:rFonts w:asciiTheme="minorHAnsi" w:hAnsiTheme="minorHAnsi" w:cstheme="minorHAnsi"/>
          <w:sz w:val="24"/>
          <w:szCs w:val="24"/>
        </w:rPr>
        <w:t xml:space="preserve"> Υπόδειγμα Τεχνικού Δελτίου επισυνάπτεται και αποτελεί αναπόσπαστο τμήμα του Τεχνικού Παραρτήματος.</w:t>
      </w: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Μεταξύ των συνεργαζόμενων φορέων θα υπογραφούν συμφωνητικά σύμπραξης τα οποία θα υποβληθούν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Heading3"/>
        <w:spacing w:before="0" w:after="0"/>
        <w:jc w:val="both"/>
        <w:rPr>
          <w:rFonts w:asciiTheme="minorHAnsi" w:hAnsiTheme="minorHAnsi" w:cstheme="minorHAnsi"/>
          <w:b/>
          <w:sz w:val="24"/>
          <w:szCs w:val="24"/>
        </w:rPr>
      </w:pPr>
      <w:bookmarkStart w:id="4" w:name="_Toc452718134"/>
      <w:bookmarkStart w:id="5"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4"/>
      <w:bookmarkEnd w:id="5"/>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αχρεωστήτως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ο σύνολο των παραστατικών δαπανών (π.χ. τιμολογίων) θα πρέπει να έχει εκδοθεί από την ημερομηνία έναρξης επιλεξιμότητας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έναρξης επιλεξιμότητας</w:t>
      </w:r>
      <w:r w:rsidRPr="003635C8">
        <w:rPr>
          <w:rFonts w:asciiTheme="minorHAnsi" w:hAnsiTheme="minorHAnsi" w:cs="Tahoma"/>
          <w:b/>
          <w:bCs/>
          <w:iCs/>
          <w:sz w:val="24"/>
          <w:szCs w:val="24"/>
        </w:rPr>
        <w:t xml:space="preserve"> </w:t>
      </w:r>
      <w:r w:rsidRPr="003635C8">
        <w:rPr>
          <w:rFonts w:asciiTheme="minorHAnsi" w:hAnsiTheme="minorHAnsi" w:cs="Tahoma"/>
          <w:iCs/>
          <w:sz w:val="24"/>
          <w:szCs w:val="24"/>
        </w:rPr>
        <w:t xml:space="preserve">δαπανών και πριν </w:t>
      </w:r>
      <w:r w:rsidRPr="003635C8">
        <w:rPr>
          <w:rFonts w:asciiTheme="minorHAnsi" w:hAnsiTheme="minorHAnsi" w:cs="Tahoma"/>
          <w:iCs/>
          <w:sz w:val="24"/>
          <w:szCs w:val="24"/>
        </w:rPr>
        <w:lastRenderedPageBreak/>
        <w:t>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κρίνονται επιλέξιμες εφόσον αφορούν τα παραπάνω παραστατικά ακόμα και αν η 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Heading3"/>
        <w:spacing w:before="0" w:after="0"/>
        <w:jc w:val="both"/>
        <w:rPr>
          <w:rFonts w:asciiTheme="minorHAnsi" w:hAnsiTheme="minorHAnsi" w:cs="Tahoma"/>
          <w:b/>
          <w:sz w:val="24"/>
          <w:szCs w:val="24"/>
        </w:rPr>
      </w:pPr>
      <w:bookmarkStart w:id="6"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6"/>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τα ορόσημα και τους στόχους και λαμβάνει τα κατάλληλα μέτρα για την ομαλή χρηματορροή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 xml:space="preserve">σε προκαθορισμένο πρότυπο το </w:t>
      </w:r>
      <w:r w:rsidR="00D0727D">
        <w:rPr>
          <w:rFonts w:asciiTheme="minorHAnsi" w:hAnsiTheme="minorHAnsi" w:cs="Tahoma"/>
          <w:sz w:val="24"/>
          <w:szCs w:val="24"/>
        </w:rPr>
        <w:lastRenderedPageBreak/>
        <w:t>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πραγματοποίησε ο δικαιούχος σε αυτό και συνοδεύεται από τα απαιτούμενα δικαιολογητικά,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από έκθεση προόδου του φυσικού αντικειμένου και τα προβλεπόμενα για την ελεγχόμενη χρονική περίοδο ολοκληρωθέντα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υποχρεωτικά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r w:rsidR="00A45F1B">
        <w:rPr>
          <w:rFonts w:asciiTheme="minorHAnsi" w:hAnsiTheme="minorHAnsi"/>
          <w:sz w:val="24"/>
          <w:szCs w:val="24"/>
        </w:rPr>
        <w:t>δεκα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(απομείωση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3635C8">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απομείωση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w:t>
      </w:r>
      <w:r w:rsidR="006A58C6" w:rsidRPr="004E637E">
        <w:rPr>
          <w:rFonts w:asciiTheme="minorHAnsi" w:hAnsiTheme="minorHAnsi" w:cs="Tahoma"/>
          <w:sz w:val="24"/>
          <w:szCs w:val="24"/>
        </w:rPr>
        <w:lastRenderedPageBreak/>
        <w:t>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ανο που διενήργησε 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r w:rsidRPr="003635C8">
        <w:rPr>
          <w:rFonts w:asciiTheme="minorHAnsi" w:hAnsiTheme="minorHAnsi" w:cs="Tahoma"/>
          <w:sz w:val="24"/>
          <w:szCs w:val="24"/>
        </w:rPr>
        <w:t>επικαιροποιείται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των κατά περίπτωση εφαρμοσμένων όρων ενωσιακού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ListParagraph"/>
        <w:rPr>
          <w:lang w:val="el-GR"/>
        </w:rPr>
      </w:pPr>
    </w:p>
    <w:p w:rsidR="00D95D2B" w:rsidRPr="004303C0" w:rsidRDefault="00D95D2B" w:rsidP="003635C8">
      <w:pPr>
        <w:pStyle w:val="ListParagraph"/>
        <w:rPr>
          <w:lang w:val="el-GR"/>
        </w:rPr>
      </w:pPr>
    </w:p>
    <w:p w:rsidR="00785BBB" w:rsidRPr="003635C8" w:rsidRDefault="00785BB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lastRenderedPageBreak/>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μέσω του Ειδικού Λογαριασμού της Γενικής Γραμματείας Έρευνας και 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σύμφωνα και με τα οριζόμενα στην Προγραμματική Σύμβαση.</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Οι εκταμιεύσεις της δημόσιας δαπάνης σε δικαιούχους</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Πιστοποιηθείσα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xml:space="preserve">, με ακύρωση μέρους </w:t>
      </w:r>
      <w:r w:rsidRPr="003635C8">
        <w:rPr>
          <w:rFonts w:asciiTheme="minorHAnsi" w:hAnsiTheme="minorHAnsi" w:cs="Tahoma"/>
          <w:sz w:val="24"/>
          <w:szCs w:val="24"/>
        </w:rPr>
        <w:lastRenderedPageBreak/>
        <w:t>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Heading3"/>
        <w:numPr>
          <w:ilvl w:val="0"/>
          <w:numId w:val="38"/>
        </w:numPr>
        <w:spacing w:before="0" w:after="0"/>
        <w:ind w:left="142" w:firstLine="0"/>
        <w:jc w:val="both"/>
        <w:rPr>
          <w:rFonts w:asciiTheme="minorHAnsi" w:hAnsiTheme="minorHAnsi" w:cs="Tahoma"/>
          <w:b/>
          <w:sz w:val="24"/>
          <w:szCs w:val="24"/>
        </w:rPr>
      </w:pPr>
      <w:bookmarkStart w:id="7" w:name="_Toc452718137"/>
      <w:bookmarkStart w:id="8" w:name="_Toc452990173"/>
      <w:bookmarkStart w:id="9" w:name="_Toc470249836"/>
      <w:r w:rsidRPr="003635C8">
        <w:rPr>
          <w:rFonts w:asciiTheme="minorHAnsi" w:hAnsiTheme="minorHAnsi" w:cs="Tahoma"/>
          <w:b/>
          <w:sz w:val="24"/>
          <w:szCs w:val="24"/>
        </w:rPr>
        <w:t>ΔΙΑΔΙΚΑΣΙΑ ΤΡΟΠΟΠΟΙΗΣΕΩΝ</w:t>
      </w:r>
      <w:bookmarkEnd w:id="7"/>
      <w:bookmarkEnd w:id="8"/>
      <w:bookmarkEnd w:id="9"/>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επιλεξιμότητα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Παράταση της χρονικής διάρκειας υλοποίησης του έργου</w:t>
      </w:r>
      <w:r w:rsidR="006E26D5" w:rsidRPr="003635C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επικαιροποίηση/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w:t>
      </w:r>
      <w:r w:rsidRPr="003635C8">
        <w:rPr>
          <w:rFonts w:asciiTheme="minorHAnsi" w:hAnsiTheme="minorHAnsi" w:cs="Tahoma"/>
          <w:sz w:val="24"/>
          <w:szCs w:val="24"/>
        </w:rPr>
        <w:lastRenderedPageBreak/>
        <w:t xml:space="preserve">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4303C0">
        <w:rPr>
          <w:rFonts w:asciiTheme="minorHAnsi" w:hAnsiTheme="minorHAnsi" w:cs="Tahoma"/>
          <w:sz w:val="24"/>
          <w:szCs w:val="24"/>
        </w:rPr>
        <w:t>Οι τροποποιήσεις μείζονος σημασίας</w:t>
      </w:r>
      <w:r w:rsidRPr="004303C0">
        <w:rPr>
          <w:rFonts w:asciiTheme="minorHAnsi" w:hAnsiTheme="minorHAnsi" w:cs="Tahoma"/>
          <w:b/>
          <w:sz w:val="24"/>
          <w:szCs w:val="24"/>
        </w:rPr>
        <w:t xml:space="preserve"> </w:t>
      </w:r>
      <w:r w:rsidRPr="004303C0">
        <w:rPr>
          <w:rFonts w:asciiTheme="minorHAnsi" w:hAnsiTheme="minorHAnsi" w:cs="Tahoma"/>
          <w:sz w:val="24"/>
          <w:szCs w:val="24"/>
        </w:rPr>
        <w:t xml:space="preserve">εξετάζονται από την Επιτροπή </w:t>
      </w:r>
      <w:r w:rsidR="00476D4D" w:rsidRPr="004303C0">
        <w:rPr>
          <w:rFonts w:asciiTheme="minorHAnsi" w:hAnsiTheme="minorHAnsi" w:cs="Tahoma"/>
          <w:sz w:val="24"/>
          <w:szCs w:val="24"/>
        </w:rPr>
        <w:t xml:space="preserve">Παρακολούθησης της Υλοποίησης και </w:t>
      </w:r>
      <w:r w:rsidRPr="004303C0">
        <w:rPr>
          <w:rFonts w:asciiTheme="minorHAnsi" w:hAnsiTheme="minorHAnsi" w:cs="Tahoma"/>
          <w:sz w:val="24"/>
          <w:szCs w:val="24"/>
        </w:rPr>
        <w:t>Τροποποιήσεων Έργων της Δράσης η οποία συστήνεται με Απόφαση του Γενικού Γραμματέα Έρευνας και Τεχνολογίας. Στην Απόφαση αυτή περιγράφονται τυχόν πρόσθετες αρμοδιότητες της</w:t>
      </w:r>
      <w:r w:rsidRPr="003635C8">
        <w:rPr>
          <w:rFonts w:asciiTheme="minorHAnsi" w:hAnsiTheme="minorHAnsi" w:cs="Tahoma"/>
          <w:sz w:val="24"/>
          <w:szCs w:val="24"/>
        </w:rPr>
        <w:t xml:space="preserve"> Επιτροπής,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lastRenderedPageBreak/>
        <w:t xml:space="preserve">Γ. </w:t>
      </w:r>
      <w:bookmarkStart w:id="10" w:name="OLE_LINK46"/>
      <w:bookmarkStart w:id="11"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10"/>
      <w:bookmarkEnd w:id="11"/>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Heading3"/>
        <w:spacing w:before="0" w:after="0"/>
        <w:jc w:val="both"/>
        <w:rPr>
          <w:rFonts w:asciiTheme="minorHAnsi" w:hAnsiTheme="minorHAnsi" w:cs="Tahoma"/>
          <w:b/>
          <w:sz w:val="24"/>
          <w:szCs w:val="24"/>
        </w:rPr>
      </w:pPr>
      <w:r>
        <w:rPr>
          <w:rFonts w:asciiTheme="minorHAnsi" w:hAnsiTheme="minorHAnsi" w:cs="Tahoma"/>
          <w:b/>
          <w:sz w:val="24"/>
          <w:szCs w:val="24"/>
        </w:rPr>
        <w:t>6</w:t>
      </w:r>
      <w:r w:rsidR="00B77D10">
        <w:rPr>
          <w:rFonts w:asciiTheme="minorHAnsi" w:hAnsiTheme="minorHAnsi" w:cs="Tahoma"/>
          <w:b/>
          <w:sz w:val="24"/>
          <w:szCs w:val="24"/>
        </w:rPr>
        <w:t>.</w:t>
      </w:r>
      <w:r w:rsidR="00B77D10">
        <w:rPr>
          <w:rFonts w:asciiTheme="minorHAnsi" w:hAnsiTheme="minorHAnsi" w:cs="Tahoma"/>
          <w:b/>
          <w:sz w:val="24"/>
          <w:szCs w:val="24"/>
        </w:rPr>
        <w:tab/>
      </w:r>
      <w:bookmarkStart w:id="12" w:name="_Toc452718138"/>
      <w:bookmarkStart w:id="13" w:name="_Toc470249837"/>
      <w:r w:rsidR="005F2B7B" w:rsidRPr="003635C8">
        <w:rPr>
          <w:rFonts w:asciiTheme="minorHAnsi" w:hAnsiTheme="minorHAnsi" w:cs="Tahoma"/>
          <w:b/>
          <w:sz w:val="24"/>
          <w:szCs w:val="24"/>
        </w:rPr>
        <w:t xml:space="preserve">ΟΛΟΚΛΗΡΩΣΗ </w:t>
      </w:r>
      <w:bookmarkEnd w:id="12"/>
      <w:r w:rsidR="005F2B7B" w:rsidRPr="003635C8">
        <w:rPr>
          <w:rFonts w:asciiTheme="minorHAnsi" w:hAnsiTheme="minorHAnsi" w:cs="Tahoma"/>
          <w:b/>
          <w:sz w:val="24"/>
          <w:szCs w:val="24"/>
        </w:rPr>
        <w:t>ΕΡΓΩΝ</w:t>
      </w:r>
      <w:bookmarkEnd w:id="13"/>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lastRenderedPageBreak/>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4E7E9D" w:rsidRPr="004E7E9D" w:rsidRDefault="00C154E1" w:rsidP="004E7E9D">
      <w:pPr>
        <w:ind w:left="4320" w:firstLine="720"/>
        <w:jc w:val="center"/>
        <w:rPr>
          <w:b/>
        </w:rPr>
      </w:pPr>
      <w:r w:rsidRPr="00C154E1">
        <w:rPr>
          <w:b/>
        </w:rPr>
        <w:t>Η Γενική Γραμματέας</w:t>
      </w:r>
    </w:p>
    <w:p w:rsidR="00C154E1" w:rsidRPr="00C154E1" w:rsidRDefault="00C154E1" w:rsidP="004E7E9D">
      <w:pPr>
        <w:ind w:left="4320" w:firstLine="720"/>
        <w:jc w:val="center"/>
        <w:rPr>
          <w:b/>
        </w:rPr>
      </w:pPr>
      <w:r w:rsidRPr="00C154E1">
        <w:rPr>
          <w:b/>
        </w:rPr>
        <w:t>Έρευνας και Τεχνολογίας</w:t>
      </w:r>
    </w:p>
    <w:p w:rsidR="00C154E1" w:rsidRPr="00C154E1" w:rsidRDefault="00C154E1" w:rsidP="00C154E1">
      <w:pPr>
        <w:jc w:val="right"/>
        <w:rPr>
          <w:b/>
        </w:rPr>
      </w:pPr>
    </w:p>
    <w:p w:rsidR="00C154E1" w:rsidRPr="00C154E1" w:rsidRDefault="00C154E1" w:rsidP="00C154E1">
      <w:pPr>
        <w:jc w:val="right"/>
        <w:rPr>
          <w:b/>
        </w:rPr>
      </w:pPr>
    </w:p>
    <w:p w:rsidR="00C154E1" w:rsidRDefault="004E7E9D" w:rsidP="004E7E9D">
      <w:pPr>
        <w:ind w:left="4320"/>
        <w:jc w:val="center"/>
        <w:rPr>
          <w:b/>
        </w:rPr>
      </w:pPr>
      <w:r w:rsidRPr="00F75B16">
        <w:rPr>
          <w:b/>
        </w:rPr>
        <w:t xml:space="preserve">           </w:t>
      </w:r>
      <w:r w:rsidR="00C154E1" w:rsidRPr="00C154E1">
        <w:rPr>
          <w:b/>
        </w:rPr>
        <w:t>Δρ. Μ. Κυπριανίδου</w:t>
      </w:r>
    </w:p>
    <w:p w:rsidR="00BB3212" w:rsidRDefault="00BB3212" w:rsidP="00C154E1">
      <w:pPr>
        <w:jc w:val="right"/>
        <w:rPr>
          <w:b/>
        </w:rPr>
      </w:pPr>
    </w:p>
    <w:p w:rsidR="00BB3212" w:rsidRPr="00BB3212" w:rsidRDefault="00BB3212" w:rsidP="00BB3212">
      <w:r>
        <w:rPr>
          <w:b/>
        </w:rPr>
        <w:t xml:space="preserve">Συνημ.: </w:t>
      </w:r>
      <w:r>
        <w:t>Υπόδειγμα Τεχνικού Δελτίου</w:t>
      </w:r>
    </w:p>
    <w:sectPr w:rsidR="00BB3212" w:rsidRPr="00BB3212" w:rsidSect="008E050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45" w:rsidRDefault="00351245" w:rsidP="00FB48E6">
      <w:r>
        <w:separator/>
      </w:r>
    </w:p>
  </w:endnote>
  <w:endnote w:type="continuationSeparator" w:id="0">
    <w:p w:rsidR="00351245" w:rsidRDefault="00351245" w:rsidP="00F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7127"/>
      <w:docPartObj>
        <w:docPartGallery w:val="Page Numbers (Bottom of Page)"/>
        <w:docPartUnique/>
      </w:docPartObj>
    </w:sdtPr>
    <w:sdtEndPr/>
    <w:sdtContent>
      <w:p w:rsidR="00FB48E6" w:rsidRDefault="00842E10">
        <w:pPr>
          <w:pStyle w:val="Footer"/>
          <w:jc w:val="center"/>
        </w:pPr>
        <w:r>
          <w:fldChar w:fldCharType="begin"/>
        </w:r>
        <w:r w:rsidR="00FB48E6">
          <w:instrText>PAGE   \* MERGEFORMAT</w:instrText>
        </w:r>
        <w:r>
          <w:fldChar w:fldCharType="separate"/>
        </w:r>
        <w:r w:rsidR="00943BF7" w:rsidRPr="00943BF7">
          <w:rPr>
            <w:noProof/>
            <w:lang w:val="el-GR"/>
          </w:rPr>
          <w:t>1</w:t>
        </w:r>
        <w:r>
          <w:fldChar w:fldCharType="end"/>
        </w:r>
      </w:p>
    </w:sdtContent>
  </w:sdt>
  <w:p w:rsidR="00FB48E6" w:rsidRDefault="00FB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45" w:rsidRDefault="00351245" w:rsidP="00FB48E6">
      <w:r>
        <w:separator/>
      </w:r>
    </w:p>
  </w:footnote>
  <w:footnote w:type="continuationSeparator" w:id="0">
    <w:p w:rsidR="00351245" w:rsidRDefault="00351245" w:rsidP="00FB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7"/>
    <w:rsid w:val="0002452F"/>
    <w:rsid w:val="00037EFC"/>
    <w:rsid w:val="00044E24"/>
    <w:rsid w:val="0007192A"/>
    <w:rsid w:val="00084629"/>
    <w:rsid w:val="000B2366"/>
    <w:rsid w:val="000E2290"/>
    <w:rsid w:val="00112CAD"/>
    <w:rsid w:val="00165793"/>
    <w:rsid w:val="001D55BA"/>
    <w:rsid w:val="001E3FCB"/>
    <w:rsid w:val="0020094D"/>
    <w:rsid w:val="00243898"/>
    <w:rsid w:val="00251184"/>
    <w:rsid w:val="00251DC4"/>
    <w:rsid w:val="002A5BA9"/>
    <w:rsid w:val="002D583F"/>
    <w:rsid w:val="002F0228"/>
    <w:rsid w:val="003273CC"/>
    <w:rsid w:val="00351245"/>
    <w:rsid w:val="003635C8"/>
    <w:rsid w:val="00395B51"/>
    <w:rsid w:val="003C69B3"/>
    <w:rsid w:val="003E0D8C"/>
    <w:rsid w:val="004044C2"/>
    <w:rsid w:val="004303C0"/>
    <w:rsid w:val="00447ACA"/>
    <w:rsid w:val="00476D4D"/>
    <w:rsid w:val="00477993"/>
    <w:rsid w:val="004B7414"/>
    <w:rsid w:val="004E7E9D"/>
    <w:rsid w:val="004F457E"/>
    <w:rsid w:val="00504426"/>
    <w:rsid w:val="00504B8F"/>
    <w:rsid w:val="00510291"/>
    <w:rsid w:val="00551547"/>
    <w:rsid w:val="00570AA4"/>
    <w:rsid w:val="00594E4F"/>
    <w:rsid w:val="0059514C"/>
    <w:rsid w:val="005C2EDB"/>
    <w:rsid w:val="005D766E"/>
    <w:rsid w:val="005E6C57"/>
    <w:rsid w:val="005F2B7B"/>
    <w:rsid w:val="006478EB"/>
    <w:rsid w:val="00652DAC"/>
    <w:rsid w:val="00672038"/>
    <w:rsid w:val="00674049"/>
    <w:rsid w:val="006905B4"/>
    <w:rsid w:val="006A0AB3"/>
    <w:rsid w:val="006A58C6"/>
    <w:rsid w:val="006D75C6"/>
    <w:rsid w:val="006E26D5"/>
    <w:rsid w:val="007363ED"/>
    <w:rsid w:val="00785BBB"/>
    <w:rsid w:val="00800465"/>
    <w:rsid w:val="00802B5F"/>
    <w:rsid w:val="00833996"/>
    <w:rsid w:val="00842E10"/>
    <w:rsid w:val="0085052F"/>
    <w:rsid w:val="00891DF5"/>
    <w:rsid w:val="008B2A5B"/>
    <w:rsid w:val="008B4D9B"/>
    <w:rsid w:val="008B6F88"/>
    <w:rsid w:val="008C42D5"/>
    <w:rsid w:val="008E0504"/>
    <w:rsid w:val="008F5C21"/>
    <w:rsid w:val="008F677B"/>
    <w:rsid w:val="009326EA"/>
    <w:rsid w:val="0094120D"/>
    <w:rsid w:val="009414CA"/>
    <w:rsid w:val="00943BF7"/>
    <w:rsid w:val="009944A6"/>
    <w:rsid w:val="009D0338"/>
    <w:rsid w:val="009F7C52"/>
    <w:rsid w:val="00A45F1B"/>
    <w:rsid w:val="00A56DF7"/>
    <w:rsid w:val="00A8366E"/>
    <w:rsid w:val="00A84D7D"/>
    <w:rsid w:val="00A93E3F"/>
    <w:rsid w:val="00A968EC"/>
    <w:rsid w:val="00B13753"/>
    <w:rsid w:val="00B45641"/>
    <w:rsid w:val="00B77D10"/>
    <w:rsid w:val="00BB3212"/>
    <w:rsid w:val="00BF16DD"/>
    <w:rsid w:val="00C154E1"/>
    <w:rsid w:val="00C21D62"/>
    <w:rsid w:val="00C2782E"/>
    <w:rsid w:val="00C65FC5"/>
    <w:rsid w:val="00C86878"/>
    <w:rsid w:val="00CC5F13"/>
    <w:rsid w:val="00CE1463"/>
    <w:rsid w:val="00CE7564"/>
    <w:rsid w:val="00D0727D"/>
    <w:rsid w:val="00D07289"/>
    <w:rsid w:val="00D209EA"/>
    <w:rsid w:val="00D55FE9"/>
    <w:rsid w:val="00D95D2B"/>
    <w:rsid w:val="00DD01CF"/>
    <w:rsid w:val="00DF6010"/>
    <w:rsid w:val="00E00B17"/>
    <w:rsid w:val="00E0562E"/>
    <w:rsid w:val="00E32832"/>
    <w:rsid w:val="00E34C4F"/>
    <w:rsid w:val="00E61001"/>
    <w:rsid w:val="00EA5083"/>
    <w:rsid w:val="00EC43AD"/>
    <w:rsid w:val="00EE0C5D"/>
    <w:rsid w:val="00F05FDF"/>
    <w:rsid w:val="00F64606"/>
    <w:rsid w:val="00F653D9"/>
    <w:rsid w:val="00F75B16"/>
    <w:rsid w:val="00FA1E49"/>
    <w:rsid w:val="00FB313A"/>
    <w:rsid w:val="00FB48E6"/>
    <w:rsid w:val="00FE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F0DE-543F-407B-B8B1-206F5D56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4881</Words>
  <Characters>26359</Characters>
  <Application>Microsoft Office Word</Application>
  <DocSecurity>0</DocSecurity>
  <Lines>219</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George Vassileiou</cp:lastModifiedBy>
  <cp:revision>2</cp:revision>
  <dcterms:created xsi:type="dcterms:W3CDTF">2019-06-07T14:03:00Z</dcterms:created>
  <dcterms:modified xsi:type="dcterms:W3CDTF">2019-06-07T14:03:00Z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