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DE3" w:rsidRPr="00495462" w:rsidRDefault="00BB2DE3" w:rsidP="00213C76">
      <w:pPr>
        <w:ind w:left="360"/>
        <w:jc w:val="center"/>
      </w:pPr>
      <w:r w:rsidRPr="00495462">
        <w:rPr>
          <w:noProof/>
          <w:lang w:eastAsia="el-GR"/>
        </w:rPr>
        <w:drawing>
          <wp:inline distT="0" distB="0" distL="0" distR="0" wp14:anchorId="209D471A" wp14:editId="4CBD6246">
            <wp:extent cx="372110" cy="389890"/>
            <wp:effectExtent l="0" t="0" r="889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rsidR="00BB2DE3" w:rsidRPr="00495462" w:rsidRDefault="00BB2DE3" w:rsidP="00213C76">
      <w:pPr>
        <w:ind w:left="360"/>
        <w:jc w:val="center"/>
      </w:pPr>
      <w:r w:rsidRPr="00495462">
        <w:t>ΕΛΛΗΝΙΚΗ ΔΗΜΟΚΡΑΤΙΑ</w:t>
      </w:r>
    </w:p>
    <w:p w:rsidR="00BB2DE3" w:rsidRPr="00495462" w:rsidRDefault="00BB2DE3" w:rsidP="00213C76">
      <w:pPr>
        <w:ind w:left="360"/>
        <w:jc w:val="center"/>
      </w:pPr>
      <w:r w:rsidRPr="00495462">
        <w:t>ΥΠΟΥΡΓΕΙΟ ΠΑΙΔΕΙΑΣ, ΕΡΕΥΝΑΣ ΚΑΙ ΘΡΗΣΚΕΥΜΑΤΩΝ</w:t>
      </w:r>
    </w:p>
    <w:p w:rsidR="00BB2DE3" w:rsidRPr="00495462" w:rsidRDefault="00BB2DE3" w:rsidP="00213C76">
      <w:pPr>
        <w:ind w:left="360"/>
        <w:jc w:val="center"/>
      </w:pPr>
      <w:r w:rsidRPr="00495462">
        <w:t>ΑΝΑΠΛΗΡΩΤΗΣ ΥΠΟΥΡΓΟΣ ΕΡΕΥΝΑΣ &amp; ΚΑΙΝΟΤΟΜΙΑΣ</w:t>
      </w:r>
    </w:p>
    <w:p w:rsidR="00BB2DE3" w:rsidRPr="00495462" w:rsidRDefault="00BB2DE3" w:rsidP="00213C76">
      <w:pPr>
        <w:ind w:left="360"/>
        <w:jc w:val="center"/>
      </w:pPr>
      <w:r w:rsidRPr="00495462">
        <w:t>ΓΡΑΦΕΙΟ ΤΥΠΟΥ</w:t>
      </w:r>
    </w:p>
    <w:p w:rsidR="00BB2DE3" w:rsidRPr="00495462" w:rsidRDefault="00BB2DE3" w:rsidP="00213C76">
      <w:pPr>
        <w:ind w:left="360"/>
        <w:jc w:val="center"/>
      </w:pPr>
      <w:proofErr w:type="spellStart"/>
      <w:r w:rsidRPr="00495462">
        <w:t>Ταχ</w:t>
      </w:r>
      <w:proofErr w:type="spellEnd"/>
      <w:r w:rsidRPr="00495462">
        <w:t>. Δ/</w:t>
      </w:r>
      <w:proofErr w:type="spellStart"/>
      <w:r w:rsidRPr="00495462">
        <w:t>νση</w:t>
      </w:r>
      <w:proofErr w:type="spellEnd"/>
      <w:r w:rsidRPr="00495462">
        <w:t>: Αν. Παπανδρέου 37,15180 Μαρούσι, Αθήνα</w:t>
      </w:r>
    </w:p>
    <w:p w:rsidR="00BB2DE3" w:rsidRPr="00495462" w:rsidRDefault="00BB2DE3" w:rsidP="00213C76">
      <w:pPr>
        <w:ind w:left="360"/>
        <w:jc w:val="center"/>
      </w:pPr>
      <w:r w:rsidRPr="00495462">
        <w:t xml:space="preserve">Τηλ. </w:t>
      </w:r>
      <w:proofErr w:type="spellStart"/>
      <w:r w:rsidRPr="00495462">
        <w:t>Επικ</w:t>
      </w:r>
      <w:proofErr w:type="spellEnd"/>
      <w:r w:rsidRPr="00495462">
        <w:t>.: 210 3442906, 210 3442158</w:t>
      </w:r>
    </w:p>
    <w:p w:rsidR="00BB2DE3" w:rsidRPr="00495462" w:rsidRDefault="00BB2DE3" w:rsidP="00213C76">
      <w:pPr>
        <w:ind w:left="360"/>
        <w:jc w:val="center"/>
      </w:pPr>
      <w:r w:rsidRPr="00495462">
        <w:t>Γραμματεία:2103443525</w:t>
      </w:r>
    </w:p>
    <w:p w:rsidR="00873D82" w:rsidRPr="00495462" w:rsidRDefault="00BB2DE3" w:rsidP="00213C76">
      <w:pPr>
        <w:ind w:left="360"/>
        <w:jc w:val="center"/>
      </w:pPr>
      <w:r w:rsidRPr="00495462">
        <w:t xml:space="preserve">Ιστοσελίδα: </w:t>
      </w:r>
      <w:hyperlink r:id="rId6" w:history="1">
        <w:r w:rsidRPr="00495462">
          <w:rPr>
            <w:rStyle w:val="Hyperlink"/>
          </w:rPr>
          <w:t>erevna.minedu.gov.gr</w:t>
        </w:r>
      </w:hyperlink>
    </w:p>
    <w:p w:rsidR="00C11420" w:rsidRPr="00495462" w:rsidRDefault="00BB2DE3" w:rsidP="00213C76">
      <w:pPr>
        <w:ind w:left="360"/>
        <w:jc w:val="right"/>
        <w:rPr>
          <w:b/>
        </w:rPr>
      </w:pPr>
      <w:r w:rsidRPr="00495462">
        <w:rPr>
          <w:b/>
        </w:rPr>
        <w:t xml:space="preserve">Μαρούσι, </w:t>
      </w:r>
      <w:r w:rsidR="007323CA" w:rsidRPr="006611A7">
        <w:rPr>
          <w:b/>
        </w:rPr>
        <w:t>1</w:t>
      </w:r>
      <w:r w:rsidR="00F81685">
        <w:rPr>
          <w:b/>
        </w:rPr>
        <w:t>2</w:t>
      </w:r>
      <w:r w:rsidR="00213C76" w:rsidRPr="00495462">
        <w:rPr>
          <w:b/>
        </w:rPr>
        <w:t>-</w:t>
      </w:r>
      <w:r w:rsidR="007323CA" w:rsidRPr="006611A7">
        <w:rPr>
          <w:b/>
        </w:rPr>
        <w:t>2</w:t>
      </w:r>
      <w:r w:rsidR="00213C76" w:rsidRPr="00495462">
        <w:rPr>
          <w:b/>
        </w:rPr>
        <w:t>-19</w:t>
      </w:r>
    </w:p>
    <w:p w:rsidR="00C8557A" w:rsidRDefault="00C8557A" w:rsidP="00213C76">
      <w:pPr>
        <w:ind w:left="360"/>
        <w:jc w:val="center"/>
        <w:rPr>
          <w:rFonts w:eastAsia="Times New Roman" w:cs="Arial"/>
          <w:b/>
          <w:lang w:eastAsia="el-GR"/>
        </w:rPr>
      </w:pPr>
      <w:r w:rsidRPr="00495462">
        <w:rPr>
          <w:rFonts w:eastAsia="Times New Roman" w:cs="Arial"/>
          <w:b/>
          <w:lang w:eastAsia="el-GR"/>
        </w:rPr>
        <w:t>ΔΕΛΤΙΟ ΤΥΠΟΥ</w:t>
      </w:r>
    </w:p>
    <w:p w:rsidR="00D02F29" w:rsidRPr="00D02F29" w:rsidRDefault="00D02F29" w:rsidP="00213C76">
      <w:pPr>
        <w:ind w:left="360"/>
        <w:jc w:val="center"/>
        <w:rPr>
          <w:rFonts w:eastAsia="Times New Roman" w:cs="Arial"/>
          <w:b/>
          <w:lang w:eastAsia="el-GR"/>
        </w:rPr>
      </w:pPr>
      <w:bookmarkStart w:id="0" w:name="_GoBack"/>
      <w:r w:rsidRPr="00D02F29">
        <w:rPr>
          <w:rFonts w:eastAsia="Times New Roman" w:cs="Arial"/>
          <w:b/>
          <w:lang w:eastAsia="el-GR"/>
        </w:rPr>
        <w:t>Η Ελλάδα ενθαρρύνει την καινοτομία, την επέκταση κεφαλαίων και τις ευκαιρίες απασχόλησης</w:t>
      </w:r>
      <w:r>
        <w:rPr>
          <w:rFonts w:eastAsia="Times New Roman" w:cs="Arial"/>
          <w:b/>
          <w:lang w:eastAsia="el-GR"/>
        </w:rPr>
        <w:t>,</w:t>
      </w:r>
      <w:r w:rsidRPr="00D02F29">
        <w:rPr>
          <w:rFonts w:eastAsia="Times New Roman" w:cs="Arial"/>
          <w:b/>
          <w:lang w:eastAsia="el-GR"/>
        </w:rPr>
        <w:t xml:space="preserve"> </w:t>
      </w:r>
      <w:r>
        <w:rPr>
          <w:rFonts w:eastAsia="Times New Roman" w:cs="Arial"/>
          <w:b/>
          <w:lang w:eastAsia="el-GR"/>
        </w:rPr>
        <w:t>διαπιστώνει πρόσφατη παγκόσμια έρευνα</w:t>
      </w:r>
    </w:p>
    <w:bookmarkEnd w:id="0"/>
    <w:p w:rsidR="00F81685" w:rsidRDefault="00D02F29" w:rsidP="00D02F29">
      <w:pPr>
        <w:jc w:val="both"/>
      </w:pPr>
      <w:r>
        <w:t>Τ</w:t>
      </w:r>
      <w:r>
        <w:t xml:space="preserve">ην </w:t>
      </w:r>
      <w:proofErr w:type="spellStart"/>
      <w:r>
        <w:t>επικαιροποιημένη</w:t>
      </w:r>
      <w:proofErr w:type="spellEnd"/>
      <w:r>
        <w:t xml:space="preserve"> έκδοση της παγκόσμιας έρευνας Κινήτρων Καινοτομίας και Επενδύσεων</w:t>
      </w:r>
      <w:r>
        <w:t xml:space="preserve"> δημοσίευσε η </w:t>
      </w:r>
      <w:r w:rsidR="00F81685">
        <w:t>Deloitte</w:t>
      </w:r>
      <w:r>
        <w:t xml:space="preserve"> τ</w:t>
      </w:r>
      <w:r w:rsidRPr="00D02F29">
        <w:t>ον Ιανουάριο του 2019</w:t>
      </w:r>
      <w:r w:rsidR="00F81685" w:rsidRPr="00D02F29">
        <w:t>.</w:t>
      </w:r>
      <w:r w:rsidR="00F81685">
        <w:t xml:space="preserve"> Για ακόμη μια χρονιά, η έκθεση διαπιστώνει την πρόοδο που σημε</w:t>
      </w:r>
      <w:r w:rsidR="00F81685">
        <w:t xml:space="preserve">ιώνει η χώρα στη δημιουργία του </w:t>
      </w:r>
      <w:r w:rsidR="00F81685">
        <w:t xml:space="preserve">κατάλληλου περιβάλλοντος για την ανάπτυξη της καινοτόμου επιχειρηματικότητας.  </w:t>
      </w:r>
    </w:p>
    <w:p w:rsidR="00F81685" w:rsidRDefault="00F81685" w:rsidP="00F81685">
      <w:pPr>
        <w:jc w:val="both"/>
      </w:pPr>
      <w:r>
        <w:t>Συγκεκριμένα στην έκθεση αναφέρονται, μεταξύ άλλων:</w:t>
      </w:r>
    </w:p>
    <w:p w:rsidR="00F81685" w:rsidRDefault="00F81685" w:rsidP="00F81685">
      <w:pPr>
        <w:jc w:val="both"/>
      </w:pPr>
      <w:r>
        <w:t>«Με το τέλος του τρίτου προγράμματος οικονομικής προσαρμογής, τον Αύγουστο του 2018, η Ελλάδα προσφέρει σημαντικές ευκαιρίες καινοτομίας και επενδυτικών κινήτρων»</w:t>
      </w:r>
      <w:r>
        <w:t>.</w:t>
      </w:r>
    </w:p>
    <w:p w:rsidR="00F81685" w:rsidRDefault="00F81685" w:rsidP="00F81685">
      <w:pPr>
        <w:jc w:val="both"/>
      </w:pPr>
      <w:r>
        <w:t>«Η Ελλάδα ενθαρρύνει την καινοτομία, την επέκτ</w:t>
      </w:r>
      <w:r>
        <w:t>αση κεφαλαίων και τις ευκαιρίες α</w:t>
      </w:r>
      <w:r>
        <w:t>πασχόλησης με ένα ευρύ φάσμα κυβερνητικώ</w:t>
      </w:r>
      <w:r>
        <w:t>ν προγραμμάτων παροχής κινήτρων</w:t>
      </w:r>
      <w:r>
        <w:t>»</w:t>
      </w:r>
      <w:r>
        <w:t>.</w:t>
      </w:r>
    </w:p>
    <w:p w:rsidR="00F81685" w:rsidRDefault="00F81685" w:rsidP="00F81685">
      <w:pPr>
        <w:jc w:val="both"/>
      </w:pPr>
      <w:r>
        <w:t>«Η Ελλάδα προσφέρει πλήθος κινήτρων που στοχεύουν στην ενθάρρυνση της ανάπτυξης επιχειρήσεων υψηλής έντασης έρευνας και ανάπτυξης, που περιλαμβάνουν σημαντικές  φοροαπαλλαγές, επιχορηγήσεις καινοτομίας, κίνητρα για την απασχόληση (επιδοτήσεις μισθοδοσίας) και ευνοϊκό φορολογικό καθεστώς για τις ευρεσιτεχνίες. Παρέχονται, επίσης, κίνητρα για την ενθάρρυνση της επέκτασης του κεφαλαίου και της δημιουργίας θέσεων εργασίας. Οι ορισμοί και τα κριτήρια για τις δαπάνες Έρευνας και Ανάπτυξης (R&amp;D) ευθυγραμμίστηκαν με τις κατευθυντήριες γραμμές του ΟΟΣΑ».</w:t>
      </w:r>
    </w:p>
    <w:p w:rsidR="00F81685" w:rsidRDefault="00F81685" w:rsidP="00F81685">
      <w:pPr>
        <w:rPr>
          <w:rFonts w:eastAsia="Times New Roman" w:cs="Arial"/>
          <w:b/>
          <w:lang w:eastAsia="el-GR"/>
        </w:rPr>
      </w:pPr>
      <w:r>
        <w:t xml:space="preserve">Το πλήρες κείμενο της έκθεσης βρίσκεται στον παρακάτω σύνδεσμο: </w:t>
      </w:r>
      <w:hyperlink r:id="rId7" w:history="1">
        <w:r>
          <w:rPr>
            <w:rStyle w:val="Hyperlink"/>
          </w:rPr>
          <w:t>https://www2.deloitte.com/global/en/pages/tax/articles/global-investment-and-innovation-incentives-survey.html?nc=1</w:t>
        </w:r>
      </w:hyperlink>
    </w:p>
    <w:sectPr w:rsidR="00F81685" w:rsidSect="00C11420">
      <w:pgSz w:w="11906" w:h="16838"/>
      <w:pgMar w:top="1440" w:right="17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9554F"/>
    <w:multiLevelType w:val="hybridMultilevel"/>
    <w:tmpl w:val="8E4A2FFC"/>
    <w:lvl w:ilvl="0" w:tplc="04080001">
      <w:start w:val="1"/>
      <w:numFmt w:val="bullet"/>
      <w:lvlText w:val=""/>
      <w:lvlJc w:val="left"/>
      <w:pPr>
        <w:ind w:left="720" w:hanging="360"/>
      </w:pPr>
      <w:rPr>
        <w:rFonts w:ascii="Symbol" w:hAnsi="Symbol" w:hint="default"/>
      </w:rPr>
    </w:lvl>
    <w:lvl w:ilvl="1" w:tplc="552021D4">
      <w:start w:val="21"/>
      <w:numFmt w:val="bullet"/>
      <w:lvlText w:val="•"/>
      <w:lvlJc w:val="left"/>
      <w:pPr>
        <w:ind w:left="1800" w:hanging="720"/>
      </w:pPr>
      <w:rPr>
        <w:rFonts w:ascii="Calibri" w:eastAsia="Times New Roman" w:hAnsi="Calibri"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4F94EF6"/>
    <w:multiLevelType w:val="hybridMultilevel"/>
    <w:tmpl w:val="D7126F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5ED2832"/>
    <w:multiLevelType w:val="hybridMultilevel"/>
    <w:tmpl w:val="0E8C8F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E3"/>
    <w:rsid w:val="00040BE6"/>
    <w:rsid w:val="00147A18"/>
    <w:rsid w:val="00160070"/>
    <w:rsid w:val="00186803"/>
    <w:rsid w:val="00213C76"/>
    <w:rsid w:val="00265752"/>
    <w:rsid w:val="002C25DA"/>
    <w:rsid w:val="00307242"/>
    <w:rsid w:val="00312FD4"/>
    <w:rsid w:val="0037696E"/>
    <w:rsid w:val="00380EE4"/>
    <w:rsid w:val="00384AC4"/>
    <w:rsid w:val="003D0F6E"/>
    <w:rsid w:val="003D126E"/>
    <w:rsid w:val="003E7107"/>
    <w:rsid w:val="0042540B"/>
    <w:rsid w:val="0045546F"/>
    <w:rsid w:val="00473101"/>
    <w:rsid w:val="00477EF6"/>
    <w:rsid w:val="00495462"/>
    <w:rsid w:val="004C6BF1"/>
    <w:rsid w:val="004D2D99"/>
    <w:rsid w:val="00596B8E"/>
    <w:rsid w:val="005A0B1B"/>
    <w:rsid w:val="005A2342"/>
    <w:rsid w:val="005D7100"/>
    <w:rsid w:val="00627EBB"/>
    <w:rsid w:val="006611A7"/>
    <w:rsid w:val="006745EA"/>
    <w:rsid w:val="0068099D"/>
    <w:rsid w:val="006A4C3A"/>
    <w:rsid w:val="007045E5"/>
    <w:rsid w:val="007323CA"/>
    <w:rsid w:val="00733F36"/>
    <w:rsid w:val="00744BAE"/>
    <w:rsid w:val="00776700"/>
    <w:rsid w:val="007837F5"/>
    <w:rsid w:val="0079202B"/>
    <w:rsid w:val="007C6F02"/>
    <w:rsid w:val="007C7AB7"/>
    <w:rsid w:val="007F3057"/>
    <w:rsid w:val="008424DF"/>
    <w:rsid w:val="00856C4B"/>
    <w:rsid w:val="00873D82"/>
    <w:rsid w:val="0088078A"/>
    <w:rsid w:val="00890BBA"/>
    <w:rsid w:val="00890BC3"/>
    <w:rsid w:val="008E6DB4"/>
    <w:rsid w:val="00941C0F"/>
    <w:rsid w:val="009E522B"/>
    <w:rsid w:val="00A243BB"/>
    <w:rsid w:val="00A24753"/>
    <w:rsid w:val="00A5529A"/>
    <w:rsid w:val="00A815B1"/>
    <w:rsid w:val="00AE5304"/>
    <w:rsid w:val="00B770C1"/>
    <w:rsid w:val="00BB117D"/>
    <w:rsid w:val="00BB2DE3"/>
    <w:rsid w:val="00BC6016"/>
    <w:rsid w:val="00BD253F"/>
    <w:rsid w:val="00BF1ACB"/>
    <w:rsid w:val="00C11420"/>
    <w:rsid w:val="00C218C2"/>
    <w:rsid w:val="00C23C09"/>
    <w:rsid w:val="00C25D28"/>
    <w:rsid w:val="00C53086"/>
    <w:rsid w:val="00C8557A"/>
    <w:rsid w:val="00CE6A0C"/>
    <w:rsid w:val="00D02F29"/>
    <w:rsid w:val="00D170D3"/>
    <w:rsid w:val="00D745A0"/>
    <w:rsid w:val="00D8164D"/>
    <w:rsid w:val="00DC4C0C"/>
    <w:rsid w:val="00E0219B"/>
    <w:rsid w:val="00E767EF"/>
    <w:rsid w:val="00EA738C"/>
    <w:rsid w:val="00F0539B"/>
    <w:rsid w:val="00F15E5A"/>
    <w:rsid w:val="00F55DAC"/>
    <w:rsid w:val="00F81685"/>
    <w:rsid w:val="00FA7A47"/>
    <w:rsid w:val="00FB6B86"/>
    <w:rsid w:val="00FE719F"/>
    <w:rsid w:val="00FF28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2E5709"/>
  <w15:docId w15:val="{C459E2B8-87CE-4FBC-9368-82B18324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DE3"/>
    <w:rPr>
      <w:rFonts w:ascii="Tahoma" w:hAnsi="Tahoma" w:cs="Tahoma"/>
      <w:sz w:val="16"/>
      <w:szCs w:val="16"/>
    </w:rPr>
  </w:style>
  <w:style w:type="character" w:styleId="Hyperlink">
    <w:name w:val="Hyperlink"/>
    <w:basedOn w:val="DefaultParagraphFont"/>
    <w:uiPriority w:val="99"/>
    <w:unhideWhenUsed/>
    <w:rsid w:val="00BB2DE3"/>
    <w:rPr>
      <w:color w:val="0000FF" w:themeColor="hyperlink"/>
      <w:u w:val="single"/>
    </w:rPr>
  </w:style>
  <w:style w:type="paragraph" w:customStyle="1" w:styleId="xmsonormal">
    <w:name w:val="x_msonormal"/>
    <w:basedOn w:val="Normal"/>
    <w:rsid w:val="00856C4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4739074876070505312msolistparagraph">
    <w:name w:val="m_4739074876070505312msolistparagraph"/>
    <w:basedOn w:val="Normal"/>
    <w:rsid w:val="00C1142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425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130">
      <w:bodyDiv w:val="1"/>
      <w:marLeft w:val="0"/>
      <w:marRight w:val="0"/>
      <w:marTop w:val="0"/>
      <w:marBottom w:val="0"/>
      <w:divBdr>
        <w:top w:val="none" w:sz="0" w:space="0" w:color="auto"/>
        <w:left w:val="none" w:sz="0" w:space="0" w:color="auto"/>
        <w:bottom w:val="none" w:sz="0" w:space="0" w:color="auto"/>
        <w:right w:val="none" w:sz="0" w:space="0" w:color="auto"/>
      </w:divBdr>
    </w:div>
    <w:div w:id="202901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deloitte.com/global/en/pages/tax/articles/global-investment-and-innovation-incentives-survey.html?nc=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evna.minedu.gov.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1699</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Παπαϊωάννου</dc:creator>
  <cp:lastModifiedBy>Maro Agriti</cp:lastModifiedBy>
  <cp:revision>2</cp:revision>
  <cp:lastPrinted>2019-01-21T13:35:00Z</cp:lastPrinted>
  <dcterms:created xsi:type="dcterms:W3CDTF">2019-02-12T14:44:00Z</dcterms:created>
  <dcterms:modified xsi:type="dcterms:W3CDTF">2019-02-12T14:44:00Z</dcterms:modified>
</cp:coreProperties>
</file>