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E" w:rsidRPr="00E32B2A" w:rsidRDefault="00EE332E" w:rsidP="00D94633">
      <w:pPr>
        <w:spacing w:after="0" w:line="360" w:lineRule="auto"/>
        <w:jc w:val="both"/>
        <w:rPr>
          <w:lang w:val="el-GR"/>
        </w:rPr>
      </w:pPr>
    </w:p>
    <w:p w:rsidR="00E32B2A" w:rsidRDefault="000D55C2" w:rsidP="000D55C2">
      <w:pPr>
        <w:spacing w:after="0" w:line="360" w:lineRule="auto"/>
        <w:ind w:left="360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0A8D373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r w:rsidRPr="000D55C2">
        <w:rPr>
          <w:lang w:val="el-GR"/>
        </w:rPr>
        <w:t>ΕΛΛΗΝΙΚΗ ΔΗΜΟΚΡΑΤΙΑ</w:t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r w:rsidRPr="000D55C2">
        <w:rPr>
          <w:lang w:val="el-GR"/>
        </w:rPr>
        <w:t>ΥΠΟΥΡΓΕΙΟ ΠΑΙΔΕΙΑΣ, ΕΡΕΥΝΑΣ ΚΑΙ ΘΡΗΣΚΕΥΜΑΤΩΝ</w:t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r w:rsidRPr="000D55C2">
        <w:rPr>
          <w:lang w:val="el-GR"/>
        </w:rPr>
        <w:t>ΑΝΑΠΛΗΡΩΤΗΣ ΥΠΟΥΡΓΟΣ ΕΡΕΥΝΑΣ &amp; ΚΑΙΝΟΤΟΜΙΑΣ</w:t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r w:rsidRPr="000D55C2">
        <w:rPr>
          <w:lang w:val="el-GR"/>
        </w:rPr>
        <w:t>ΓΡΑΦΕΙΟ ΤΥΠΟΥ</w:t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proofErr w:type="spellStart"/>
      <w:r w:rsidRPr="000D55C2">
        <w:rPr>
          <w:lang w:val="el-GR"/>
        </w:rPr>
        <w:t>Ταχ</w:t>
      </w:r>
      <w:proofErr w:type="spellEnd"/>
      <w:r w:rsidRPr="000D55C2">
        <w:rPr>
          <w:lang w:val="el-GR"/>
        </w:rPr>
        <w:t>. Δ/</w:t>
      </w:r>
      <w:proofErr w:type="spellStart"/>
      <w:r w:rsidRPr="000D55C2">
        <w:rPr>
          <w:lang w:val="el-GR"/>
        </w:rPr>
        <w:t>νση</w:t>
      </w:r>
      <w:proofErr w:type="spellEnd"/>
      <w:r w:rsidRPr="000D55C2">
        <w:rPr>
          <w:lang w:val="el-GR"/>
        </w:rPr>
        <w:t>: Αν. Παπανδρέου 37,15180 Μαρούσι, Αθήνα</w:t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proofErr w:type="spellStart"/>
      <w:r w:rsidRPr="000D55C2">
        <w:rPr>
          <w:lang w:val="el-GR"/>
        </w:rPr>
        <w:t>Τηλ</w:t>
      </w:r>
      <w:proofErr w:type="spellEnd"/>
      <w:r w:rsidRPr="000D55C2">
        <w:rPr>
          <w:lang w:val="el-GR"/>
        </w:rPr>
        <w:t xml:space="preserve">. </w:t>
      </w:r>
      <w:proofErr w:type="spellStart"/>
      <w:r w:rsidRPr="000D55C2">
        <w:rPr>
          <w:lang w:val="el-GR"/>
        </w:rPr>
        <w:t>Επικ</w:t>
      </w:r>
      <w:proofErr w:type="spellEnd"/>
      <w:r w:rsidRPr="000D55C2">
        <w:rPr>
          <w:lang w:val="el-GR"/>
        </w:rPr>
        <w:t>.: 210 3442906, 210 3442158</w:t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r w:rsidRPr="000D55C2">
        <w:rPr>
          <w:lang w:val="el-GR"/>
        </w:rPr>
        <w:t>Γραμματεία:2103443525</w:t>
      </w:r>
    </w:p>
    <w:p w:rsidR="000D55C2" w:rsidRPr="000D55C2" w:rsidRDefault="000D55C2" w:rsidP="000D55C2">
      <w:pPr>
        <w:spacing w:after="0" w:line="360" w:lineRule="auto"/>
        <w:ind w:left="360"/>
        <w:jc w:val="center"/>
        <w:rPr>
          <w:lang w:val="el-GR"/>
        </w:rPr>
      </w:pPr>
      <w:r w:rsidRPr="000D55C2">
        <w:rPr>
          <w:lang w:val="el-GR"/>
        </w:rPr>
        <w:t xml:space="preserve">Ιστοσελίδα: </w:t>
      </w:r>
      <w:proofErr w:type="spellStart"/>
      <w:r w:rsidRPr="000D55C2">
        <w:rPr>
          <w:lang w:val="el-GR"/>
        </w:rPr>
        <w:t>erevna.minedu.gov.gr</w:t>
      </w:r>
      <w:proofErr w:type="spellEnd"/>
    </w:p>
    <w:p w:rsidR="000D55C2" w:rsidRPr="009F5B05" w:rsidRDefault="000D55C2" w:rsidP="000D55C2">
      <w:pPr>
        <w:spacing w:after="0" w:line="360" w:lineRule="auto"/>
        <w:ind w:left="360"/>
        <w:jc w:val="right"/>
        <w:rPr>
          <w:b/>
          <w:lang w:val="el-GR"/>
        </w:rPr>
      </w:pPr>
      <w:r w:rsidRPr="009F5B05">
        <w:rPr>
          <w:b/>
          <w:lang w:val="el-GR"/>
        </w:rPr>
        <w:t>Μαρούσι, 22-4-19</w:t>
      </w:r>
    </w:p>
    <w:p w:rsidR="000D55C2" w:rsidRPr="009F5B05" w:rsidRDefault="000D55C2" w:rsidP="000D55C2">
      <w:pPr>
        <w:spacing w:after="0" w:line="360" w:lineRule="auto"/>
        <w:ind w:left="360"/>
        <w:jc w:val="center"/>
        <w:rPr>
          <w:b/>
          <w:lang w:val="el-GR"/>
        </w:rPr>
      </w:pPr>
      <w:r w:rsidRPr="009F5B05">
        <w:rPr>
          <w:b/>
          <w:lang w:val="el-GR"/>
        </w:rPr>
        <w:t>ΔΕΛΤΙΟ ΤΥΠΟΥ</w:t>
      </w:r>
    </w:p>
    <w:p w:rsidR="00E32B2A" w:rsidRDefault="00E32B2A" w:rsidP="00D94633">
      <w:pPr>
        <w:spacing w:after="0" w:line="360" w:lineRule="auto"/>
        <w:ind w:left="360"/>
        <w:jc w:val="both"/>
        <w:rPr>
          <w:lang w:val="el-GR"/>
        </w:rPr>
      </w:pPr>
    </w:p>
    <w:p w:rsidR="00E32B2A" w:rsidRDefault="000D55C2" w:rsidP="009F5B05">
      <w:pPr>
        <w:spacing w:after="0"/>
        <w:ind w:left="360"/>
        <w:jc w:val="both"/>
        <w:rPr>
          <w:lang w:val="el-GR"/>
        </w:rPr>
      </w:pPr>
      <w:r>
        <w:rPr>
          <w:lang w:val="el-GR"/>
        </w:rPr>
        <w:t xml:space="preserve">Ομιλία Αν. Υπουργού Έρευνας και Καινοτομίας Κώστα </w:t>
      </w:r>
      <w:proofErr w:type="spellStart"/>
      <w:r>
        <w:rPr>
          <w:lang w:val="el-GR"/>
        </w:rPr>
        <w:t>Φωτάκη</w:t>
      </w:r>
      <w:proofErr w:type="spellEnd"/>
      <w:r>
        <w:rPr>
          <w:lang w:val="el-GR"/>
        </w:rPr>
        <w:t xml:space="preserve"> στην Ολομέλεια της Βουλής κατά την συζήτηση του Νομοσχεδίου </w:t>
      </w:r>
      <w:r w:rsidR="009F5B05">
        <w:rPr>
          <w:lang w:val="el-GR"/>
        </w:rPr>
        <w:t>«Συνέργειες Πανεπιστημίων και ΤΕΙ, πρόσβαση στην τριτοβάθμια εκπαίδευση, πειραματικά σχολεία, Γενικά Αρχεία του Κράτους και λοιπές διατάξεις»</w:t>
      </w:r>
      <w:r w:rsidR="006047DA">
        <w:rPr>
          <w:lang w:val="el-GR"/>
        </w:rPr>
        <w:t>.</w:t>
      </w:r>
    </w:p>
    <w:p w:rsidR="009F5B05" w:rsidRDefault="009F5B05" w:rsidP="009F5B05">
      <w:pPr>
        <w:spacing w:after="0"/>
        <w:ind w:left="360"/>
        <w:jc w:val="both"/>
        <w:rPr>
          <w:lang w:val="el-GR"/>
        </w:rPr>
      </w:pPr>
    </w:p>
    <w:p w:rsidR="00E32B2A" w:rsidRDefault="009F5B05" w:rsidP="009F5B05">
      <w:pPr>
        <w:spacing w:after="0"/>
        <w:ind w:left="360"/>
        <w:jc w:val="both"/>
        <w:rPr>
          <w:lang w:val="el-GR"/>
        </w:rPr>
      </w:pPr>
      <w:r>
        <w:rPr>
          <w:lang w:val="el-GR"/>
        </w:rPr>
        <w:t xml:space="preserve">Αναλυτικά η ομιλία του Αν. Υπουργού </w:t>
      </w:r>
      <w:proofErr w:type="spellStart"/>
      <w:r>
        <w:rPr>
          <w:lang w:val="el-GR"/>
        </w:rPr>
        <w:t>Κ.Φωτάκη</w:t>
      </w:r>
      <w:proofErr w:type="spellEnd"/>
      <w:r>
        <w:rPr>
          <w:lang w:val="el-GR"/>
        </w:rPr>
        <w:t>:</w:t>
      </w:r>
    </w:p>
    <w:p w:rsidR="00E32B2A" w:rsidRDefault="00E32B2A" w:rsidP="009F5B05">
      <w:pPr>
        <w:spacing w:after="0"/>
        <w:ind w:left="360"/>
        <w:jc w:val="both"/>
        <w:rPr>
          <w:lang w:val="el-GR"/>
        </w:rPr>
      </w:pPr>
    </w:p>
    <w:p w:rsidR="00EE332E" w:rsidRPr="00E32B2A" w:rsidRDefault="00E32B2A" w:rsidP="009F5B05">
      <w:pPr>
        <w:spacing w:after="0"/>
        <w:ind w:left="360"/>
        <w:jc w:val="both"/>
        <w:rPr>
          <w:lang w:val="el-GR"/>
        </w:rPr>
      </w:pPr>
      <w:r>
        <w:rPr>
          <w:lang w:val="el-GR"/>
        </w:rPr>
        <w:t>«</w:t>
      </w:r>
      <w:r w:rsidR="00EE332E" w:rsidRPr="00E32B2A">
        <w:rPr>
          <w:lang w:val="el-GR"/>
        </w:rPr>
        <w:t>Κυρίες και κύριοι Βουλευτές,</w:t>
      </w:r>
    </w:p>
    <w:p w:rsidR="00EE332E" w:rsidRPr="00E32B2A" w:rsidRDefault="00EE332E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Το περιβάλλον που διαγράφουν οι ραγδαίες εξελίξεις στην Επιστήμη και την Τεχνολογία οδηγεί στο κεντρικό ερώτημα της σημερινής συζήτησης.</w:t>
      </w:r>
    </w:p>
    <w:p w:rsidR="00EE332E" w:rsidRPr="00E32B2A" w:rsidRDefault="00EE332E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Πώς θα πρέπει </w:t>
      </w:r>
      <w:r w:rsidR="000D55C2">
        <w:rPr>
          <w:lang w:val="el-GR"/>
        </w:rPr>
        <w:t>ν</w:t>
      </w:r>
      <w:r w:rsidRPr="00E32B2A">
        <w:rPr>
          <w:lang w:val="el-GR"/>
        </w:rPr>
        <w:t>α διαμορφωθεί το τοπίο στην Ανώτατη Εκπαίδευση για να μπορεί να ανταποκριθεί στις σύγχρονες προκλήσεις;</w:t>
      </w:r>
    </w:p>
    <w:p w:rsidR="0077003F" w:rsidRPr="00E32B2A" w:rsidRDefault="00A44AE0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Η απάντηση στο ερώτημα αυτό θα πρέπει να είναι σαφής, </w:t>
      </w:r>
      <w:r w:rsidR="00EE332E" w:rsidRPr="00E32B2A">
        <w:rPr>
          <w:lang w:val="el-GR"/>
        </w:rPr>
        <w:t>οραματική</w:t>
      </w:r>
      <w:r w:rsidRPr="00E32B2A">
        <w:rPr>
          <w:lang w:val="el-GR"/>
        </w:rPr>
        <w:t xml:space="preserve"> και άμεση</w:t>
      </w:r>
      <w:r w:rsidR="00EE332E" w:rsidRPr="00E32B2A">
        <w:rPr>
          <w:lang w:val="el-GR"/>
        </w:rPr>
        <w:t xml:space="preserve">. </w:t>
      </w:r>
    </w:p>
    <w:p w:rsidR="00A44AE0" w:rsidRPr="00E32B2A" w:rsidRDefault="00A44AE0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Το </w:t>
      </w:r>
      <w:r w:rsidR="00EE332E" w:rsidRPr="00E32B2A">
        <w:rPr>
          <w:lang w:val="el-GR"/>
        </w:rPr>
        <w:t>προς ψήφιση</w:t>
      </w:r>
      <w:r w:rsidRPr="00E32B2A">
        <w:rPr>
          <w:lang w:val="el-GR"/>
        </w:rPr>
        <w:t xml:space="preserve"> νομοσχέδιο αποτελεί </w:t>
      </w:r>
      <w:r w:rsidR="00566DFF" w:rsidRPr="00E32B2A">
        <w:rPr>
          <w:lang w:val="el-GR"/>
        </w:rPr>
        <w:t>ένα ακόμα βήμα</w:t>
      </w:r>
      <w:r w:rsidRPr="00E32B2A">
        <w:rPr>
          <w:lang w:val="el-GR"/>
        </w:rPr>
        <w:t xml:space="preserve"> προς την κατεύθυνση αυτή.</w:t>
      </w:r>
    </w:p>
    <w:p w:rsidR="00D661E2" w:rsidRPr="00E32B2A" w:rsidRDefault="00A44AE0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Μοχλεύει το τοπίο της Ανώτατης Εκπαίδευσης με τρόπο που φέρνει την Παιδεία και την Έρευνα κοντά στα σύγχρονα δεδομένα και απαιτήσεις της χώρας, ώστε η Μάθηση και η Γνώση να αποτελέσουν </w:t>
      </w:r>
      <w:r w:rsidR="00EE332E" w:rsidRPr="00E32B2A">
        <w:rPr>
          <w:lang w:val="el-GR"/>
        </w:rPr>
        <w:t xml:space="preserve">τις βάσεις </w:t>
      </w:r>
      <w:r w:rsidRPr="00E32B2A">
        <w:rPr>
          <w:lang w:val="el-GR"/>
        </w:rPr>
        <w:t xml:space="preserve">για ένα </w:t>
      </w:r>
      <w:r w:rsidR="00EE332E" w:rsidRPr="00E32B2A">
        <w:rPr>
          <w:lang w:val="el-GR"/>
        </w:rPr>
        <w:t xml:space="preserve">νέο </w:t>
      </w:r>
      <w:r w:rsidRPr="00E32B2A">
        <w:rPr>
          <w:lang w:val="el-GR"/>
        </w:rPr>
        <w:t>αναπτυξιακό πρότυπο που θα δημιουργ</w:t>
      </w:r>
      <w:r w:rsidR="003E1BB3" w:rsidRPr="00E32B2A">
        <w:rPr>
          <w:lang w:val="el-GR"/>
        </w:rPr>
        <w:t>εί</w:t>
      </w:r>
      <w:r w:rsidRPr="00E32B2A">
        <w:rPr>
          <w:lang w:val="el-GR"/>
        </w:rPr>
        <w:t xml:space="preserve"> ευκαιρίες και προοπτικές και θ</w:t>
      </w:r>
      <w:r w:rsidR="003E1BB3" w:rsidRPr="00E32B2A">
        <w:rPr>
          <w:lang w:val="el-GR"/>
        </w:rPr>
        <w:t>α οδηγεί</w:t>
      </w:r>
      <w:r w:rsidR="00FF48F8" w:rsidRPr="00E32B2A">
        <w:rPr>
          <w:lang w:val="el-GR"/>
        </w:rPr>
        <w:t xml:space="preserve"> στην </w:t>
      </w:r>
      <w:r w:rsidR="003E1BB3" w:rsidRPr="00E32B2A">
        <w:rPr>
          <w:lang w:val="el-GR"/>
        </w:rPr>
        <w:t xml:space="preserve">αειφόρο </w:t>
      </w:r>
      <w:r w:rsidR="00FF48F8" w:rsidRPr="00E32B2A">
        <w:rPr>
          <w:lang w:val="el-GR"/>
        </w:rPr>
        <w:t xml:space="preserve">Ανάπτυξη. </w:t>
      </w:r>
    </w:p>
    <w:p w:rsidR="00A44AE0" w:rsidRPr="00E32B2A" w:rsidRDefault="00FF48F8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Στην Α</w:t>
      </w:r>
      <w:r w:rsidR="00A44AE0" w:rsidRPr="00E32B2A">
        <w:rPr>
          <w:lang w:val="el-GR"/>
        </w:rPr>
        <w:t>νάπτυξη που θα έχει γνώμονα το όφελος της Κοινωνίας, την άμβλυνση των ανισοτήτων, τη μόρφωση, την πνευματική καλλιέργεια, την καλύτερη</w:t>
      </w:r>
      <w:r w:rsidR="00651C17" w:rsidRPr="00E32B2A">
        <w:rPr>
          <w:lang w:val="el-GR"/>
        </w:rPr>
        <w:t xml:space="preserve"> Π</w:t>
      </w:r>
      <w:r w:rsidR="00A44AE0" w:rsidRPr="00E32B2A">
        <w:rPr>
          <w:lang w:val="el-GR"/>
        </w:rPr>
        <w:t>αιδεία, την αναβάθμιση της Υγείας.</w:t>
      </w:r>
      <w:r w:rsidR="00530CA9" w:rsidRPr="00E32B2A">
        <w:rPr>
          <w:lang w:val="el-GR"/>
        </w:rPr>
        <w:t xml:space="preserve"> </w:t>
      </w:r>
      <w:r w:rsidR="00A44AE0" w:rsidRPr="00E32B2A">
        <w:rPr>
          <w:lang w:val="el-GR"/>
        </w:rPr>
        <w:t>Είναι το πρότυπο της Οικονομίας και της Κοινωνίας της Γνώσης.</w:t>
      </w:r>
    </w:p>
    <w:p w:rsidR="00FF48F8" w:rsidRPr="00E32B2A" w:rsidRDefault="006076FE" w:rsidP="009F5B05">
      <w:pPr>
        <w:tabs>
          <w:tab w:val="left" w:pos="142"/>
        </w:tabs>
        <w:ind w:left="360"/>
        <w:jc w:val="both"/>
        <w:rPr>
          <w:lang w:val="el-GR"/>
        </w:rPr>
      </w:pPr>
      <w:r w:rsidRPr="00E32B2A">
        <w:rPr>
          <w:lang w:val="el-GR"/>
        </w:rPr>
        <w:t>Με βάση το παραπάνω σκεπτικό, είναι πλέον αναγκαίο να κατανοήσουμε ότι το απαιτούμενο επίπεδο της τεχνολογικής εκπαίδευσης έχει σήμερα</w:t>
      </w:r>
      <w:r w:rsidR="00651C17" w:rsidRPr="00E32B2A">
        <w:rPr>
          <w:lang w:val="el-GR"/>
        </w:rPr>
        <w:t xml:space="preserve"> σημαντικά αλλάξει</w:t>
      </w:r>
      <w:r w:rsidR="00EE332E" w:rsidRPr="00E32B2A">
        <w:rPr>
          <w:lang w:val="el-GR"/>
        </w:rPr>
        <w:t xml:space="preserve">. Ταυτόχρονα, έχουν αναβαθμιστεί </w:t>
      </w:r>
      <w:r w:rsidRPr="00E32B2A">
        <w:rPr>
          <w:lang w:val="el-GR"/>
        </w:rPr>
        <w:t xml:space="preserve">τα κριτήρια της επιστημονικής και ακαδημαϊκής ποιότητας </w:t>
      </w:r>
      <w:r w:rsidR="00EE332E" w:rsidRPr="00E32B2A">
        <w:rPr>
          <w:lang w:val="el-GR"/>
        </w:rPr>
        <w:t xml:space="preserve">που </w:t>
      </w:r>
      <w:r w:rsidR="0038617A" w:rsidRPr="00E32B2A">
        <w:rPr>
          <w:lang w:val="el-GR"/>
        </w:rPr>
        <w:t>πληρούνται</w:t>
      </w:r>
      <w:r w:rsidRPr="00E32B2A">
        <w:rPr>
          <w:lang w:val="el-GR"/>
        </w:rPr>
        <w:t xml:space="preserve"> στα περισσότερα Τμήματα των ΤΕΙ</w:t>
      </w:r>
      <w:r w:rsidR="00EE332E" w:rsidRPr="00E32B2A">
        <w:rPr>
          <w:lang w:val="el-GR"/>
        </w:rPr>
        <w:t xml:space="preserve"> της χώρας</w:t>
      </w:r>
      <w:r w:rsidRPr="00E32B2A">
        <w:rPr>
          <w:lang w:val="el-GR"/>
        </w:rPr>
        <w:t xml:space="preserve">. </w:t>
      </w:r>
    </w:p>
    <w:p w:rsidR="00651C17" w:rsidRPr="00E32B2A" w:rsidRDefault="00651C17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Γι’ αυτό</w:t>
      </w:r>
      <w:r w:rsidR="006076FE" w:rsidRPr="00E32B2A">
        <w:rPr>
          <w:lang w:val="el-GR"/>
        </w:rPr>
        <w:t xml:space="preserve"> </w:t>
      </w:r>
      <w:r w:rsidR="00FF48F8" w:rsidRPr="00E32B2A">
        <w:rPr>
          <w:lang w:val="el-GR"/>
        </w:rPr>
        <w:t xml:space="preserve">δεν </w:t>
      </w:r>
      <w:r w:rsidR="006076FE" w:rsidRPr="00E32B2A">
        <w:rPr>
          <w:lang w:val="el-GR"/>
        </w:rPr>
        <w:t xml:space="preserve">αρκεί μόνο να τα αποκαλούμε </w:t>
      </w:r>
      <w:r w:rsidR="00AD4238" w:rsidRPr="00E32B2A">
        <w:rPr>
          <w:lang w:val="el-GR"/>
        </w:rPr>
        <w:t xml:space="preserve">«Ανώτατα» </w:t>
      </w:r>
      <w:r w:rsidR="006076FE" w:rsidRPr="00E32B2A">
        <w:rPr>
          <w:lang w:val="el-GR"/>
        </w:rPr>
        <w:t xml:space="preserve">ΤΕΙ και μέχρι εκεί. Πρέπει έμπρακτα να </w:t>
      </w:r>
      <w:r w:rsidRPr="00E32B2A">
        <w:rPr>
          <w:lang w:val="el-GR"/>
        </w:rPr>
        <w:t>δημιουργο</w:t>
      </w:r>
      <w:r w:rsidR="008A1678" w:rsidRPr="00E32B2A">
        <w:rPr>
          <w:lang w:val="el-GR"/>
        </w:rPr>
        <w:t>ύ</w:t>
      </w:r>
      <w:r w:rsidRPr="00E32B2A">
        <w:rPr>
          <w:lang w:val="el-GR"/>
        </w:rPr>
        <w:t xml:space="preserve">με </w:t>
      </w:r>
      <w:r w:rsidR="008A1678" w:rsidRPr="00E32B2A">
        <w:rPr>
          <w:lang w:val="el-GR"/>
        </w:rPr>
        <w:t xml:space="preserve">τις </w:t>
      </w:r>
      <w:r w:rsidRPr="00E32B2A">
        <w:rPr>
          <w:lang w:val="el-GR"/>
        </w:rPr>
        <w:t xml:space="preserve">προϋποθέσεις για να </w:t>
      </w:r>
      <w:r w:rsidR="006076FE" w:rsidRPr="00E32B2A">
        <w:rPr>
          <w:lang w:val="el-GR"/>
        </w:rPr>
        <w:t>απελευθερ</w:t>
      </w:r>
      <w:r w:rsidRPr="00E32B2A">
        <w:rPr>
          <w:lang w:val="el-GR"/>
        </w:rPr>
        <w:t>ωθεί</w:t>
      </w:r>
      <w:r w:rsidR="006076FE" w:rsidRPr="00E32B2A">
        <w:rPr>
          <w:lang w:val="el-GR"/>
        </w:rPr>
        <w:t xml:space="preserve"> το </w:t>
      </w:r>
      <w:r w:rsidR="0075610F" w:rsidRPr="00E32B2A">
        <w:rPr>
          <w:lang w:val="el-GR"/>
        </w:rPr>
        <w:t xml:space="preserve">καλό </w:t>
      </w:r>
      <w:r w:rsidR="006076FE" w:rsidRPr="00E32B2A">
        <w:rPr>
          <w:lang w:val="el-GR"/>
        </w:rPr>
        <w:t>δυναμικό που υπάρχει</w:t>
      </w:r>
      <w:r w:rsidRPr="00E32B2A">
        <w:rPr>
          <w:lang w:val="el-GR"/>
        </w:rPr>
        <w:t xml:space="preserve">, </w:t>
      </w:r>
      <w:r w:rsidR="00AD4238" w:rsidRPr="00E32B2A">
        <w:rPr>
          <w:lang w:val="el-GR"/>
        </w:rPr>
        <w:t xml:space="preserve">ξεπερνώντας </w:t>
      </w:r>
      <w:r w:rsidRPr="00E32B2A">
        <w:rPr>
          <w:lang w:val="el-GR"/>
        </w:rPr>
        <w:lastRenderedPageBreak/>
        <w:t>τις</w:t>
      </w:r>
      <w:r w:rsidR="006076FE" w:rsidRPr="00E32B2A">
        <w:rPr>
          <w:lang w:val="el-GR"/>
        </w:rPr>
        <w:t xml:space="preserve"> προκαταλήψεις και</w:t>
      </w:r>
      <w:r w:rsidR="00FF48F8" w:rsidRPr="00E32B2A">
        <w:rPr>
          <w:lang w:val="el-GR"/>
        </w:rPr>
        <w:t xml:space="preserve"> τους</w:t>
      </w:r>
      <w:r w:rsidR="006076FE" w:rsidRPr="00E32B2A">
        <w:rPr>
          <w:lang w:val="el-GR"/>
        </w:rPr>
        <w:t xml:space="preserve"> </w:t>
      </w:r>
      <w:proofErr w:type="spellStart"/>
      <w:r w:rsidR="006076FE" w:rsidRPr="00E32B2A">
        <w:rPr>
          <w:lang w:val="el-GR"/>
        </w:rPr>
        <w:t>ψευτοελιτισμούς</w:t>
      </w:r>
      <w:proofErr w:type="spellEnd"/>
      <w:r w:rsidR="006076FE" w:rsidRPr="00E32B2A">
        <w:rPr>
          <w:lang w:val="el-GR"/>
        </w:rPr>
        <w:t xml:space="preserve"> του παρελθόντος. </w:t>
      </w:r>
      <w:r w:rsidRPr="00E32B2A">
        <w:rPr>
          <w:lang w:val="el-GR"/>
        </w:rPr>
        <w:t>Πρέπει ν</w:t>
      </w:r>
      <w:r w:rsidR="006076FE" w:rsidRPr="00E32B2A">
        <w:rPr>
          <w:lang w:val="el-GR"/>
        </w:rPr>
        <w:t xml:space="preserve">α δίνουμε ευκαιρίες </w:t>
      </w:r>
      <w:r w:rsidR="003E1BB3" w:rsidRPr="00E32B2A">
        <w:rPr>
          <w:lang w:val="el-GR"/>
        </w:rPr>
        <w:t xml:space="preserve">, </w:t>
      </w:r>
      <w:r w:rsidR="006076FE" w:rsidRPr="00E32B2A">
        <w:rPr>
          <w:lang w:val="el-GR"/>
        </w:rPr>
        <w:t xml:space="preserve">κίνητρα </w:t>
      </w:r>
      <w:r w:rsidRPr="00E32B2A">
        <w:rPr>
          <w:lang w:val="el-GR"/>
        </w:rPr>
        <w:t xml:space="preserve"> </w:t>
      </w:r>
      <w:r w:rsidR="003E1BB3" w:rsidRPr="00E32B2A">
        <w:rPr>
          <w:lang w:val="el-GR"/>
        </w:rPr>
        <w:t>κι έμπνευση για τις</w:t>
      </w:r>
      <w:r w:rsidRPr="00E32B2A">
        <w:rPr>
          <w:lang w:val="el-GR"/>
        </w:rPr>
        <w:t xml:space="preserve"> αυριανές γενιές των τεχνολόγων, επιστημόνων κι ερευνητών.</w:t>
      </w:r>
    </w:p>
    <w:p w:rsidR="00D707AD" w:rsidRPr="00E32B2A" w:rsidRDefault="00AD4238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Το νομοσχέδιο α</w:t>
      </w:r>
      <w:r w:rsidR="00FF48F8" w:rsidRPr="00E32B2A">
        <w:rPr>
          <w:lang w:val="el-GR"/>
        </w:rPr>
        <w:t>νταποκρ</w:t>
      </w:r>
      <w:r w:rsidR="007A6A49" w:rsidRPr="00E32B2A">
        <w:rPr>
          <w:lang w:val="el-GR"/>
        </w:rPr>
        <w:t>ίνεται</w:t>
      </w:r>
      <w:r w:rsidR="00FF48F8" w:rsidRPr="00E32B2A">
        <w:rPr>
          <w:lang w:val="el-GR"/>
        </w:rPr>
        <w:t xml:space="preserve"> στις  νέες ανάγκες</w:t>
      </w:r>
      <w:r w:rsidR="00884D8D" w:rsidRPr="00E32B2A">
        <w:rPr>
          <w:lang w:val="el-GR"/>
        </w:rPr>
        <w:t xml:space="preserve"> με τη διαμόρφωση σύγχρονων τομέων με έντονα διεπιστημονικό χαρακτήρα. Τομ</w:t>
      </w:r>
      <w:r w:rsidR="00530CA9" w:rsidRPr="00E32B2A">
        <w:rPr>
          <w:lang w:val="el-GR"/>
        </w:rPr>
        <w:t>έων</w:t>
      </w:r>
      <w:r w:rsidR="00884D8D" w:rsidRPr="00E32B2A">
        <w:rPr>
          <w:lang w:val="el-GR"/>
        </w:rPr>
        <w:t xml:space="preserve"> που κάποιοι </w:t>
      </w:r>
      <w:r w:rsidRPr="00E32B2A">
        <w:rPr>
          <w:lang w:val="el-GR"/>
        </w:rPr>
        <w:t xml:space="preserve">μάλιστα </w:t>
      </w:r>
      <w:r w:rsidR="00884D8D" w:rsidRPr="00E32B2A">
        <w:rPr>
          <w:lang w:val="el-GR"/>
        </w:rPr>
        <w:t xml:space="preserve">είναι ακόμη </w:t>
      </w:r>
      <w:r w:rsidR="00651C17" w:rsidRPr="00E32B2A">
        <w:rPr>
          <w:lang w:val="el-GR"/>
        </w:rPr>
        <w:t>ακόρεστοι επιστη</w:t>
      </w:r>
      <w:r w:rsidR="00FF48F8" w:rsidRPr="00E32B2A">
        <w:rPr>
          <w:lang w:val="el-GR"/>
        </w:rPr>
        <w:t xml:space="preserve">μονικά και τεχνολογικά </w:t>
      </w:r>
      <w:r w:rsidR="001542DA" w:rsidRPr="00E32B2A">
        <w:rPr>
          <w:lang w:val="el-GR"/>
        </w:rPr>
        <w:t>κι έτσι</w:t>
      </w:r>
      <w:r w:rsidR="00FF48F8" w:rsidRPr="00E32B2A">
        <w:rPr>
          <w:lang w:val="el-GR"/>
        </w:rPr>
        <w:t xml:space="preserve"> </w:t>
      </w:r>
      <w:r w:rsidR="001542DA" w:rsidRPr="00E32B2A">
        <w:rPr>
          <w:lang w:val="el-GR"/>
        </w:rPr>
        <w:t>αφήνουν</w:t>
      </w:r>
      <w:r w:rsidR="00651C17" w:rsidRPr="00E32B2A">
        <w:rPr>
          <w:lang w:val="el-GR"/>
        </w:rPr>
        <w:t xml:space="preserve"> περιθώρια για μεγάλη προστιθέμενη αξία. </w:t>
      </w:r>
    </w:p>
    <w:p w:rsidR="009C6D17" w:rsidRPr="00E32B2A" w:rsidRDefault="009C6D17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Για παράδειγμα, θα ήθελα να αναφ</w:t>
      </w:r>
      <w:r w:rsidR="0068121B" w:rsidRPr="00E32B2A">
        <w:rPr>
          <w:lang w:val="el-GR"/>
        </w:rPr>
        <w:t>έ</w:t>
      </w:r>
      <w:r w:rsidRPr="00E32B2A">
        <w:rPr>
          <w:lang w:val="el-GR"/>
        </w:rPr>
        <w:t xml:space="preserve">ρω το ΤΕΙ Κρήτης, το οποίο συμβαίνει να γνωρίζω καλά. Πρόκειται για ένα ΤΕΙ που διαθέτει </w:t>
      </w:r>
      <w:r w:rsidR="00AD4238" w:rsidRPr="00E32B2A">
        <w:rPr>
          <w:lang w:val="el-GR"/>
        </w:rPr>
        <w:t xml:space="preserve">πολύ </w:t>
      </w:r>
      <w:r w:rsidR="00884D8D" w:rsidRPr="00E32B2A">
        <w:rPr>
          <w:lang w:val="el-GR"/>
        </w:rPr>
        <w:t>σοβαρές δυνάμεις</w:t>
      </w:r>
      <w:r w:rsidRPr="00E32B2A">
        <w:rPr>
          <w:lang w:val="el-GR"/>
        </w:rPr>
        <w:t xml:space="preserve"> σε σ</w:t>
      </w:r>
      <w:r w:rsidR="0068121B" w:rsidRPr="00E32B2A">
        <w:rPr>
          <w:lang w:val="el-GR"/>
        </w:rPr>
        <w:t>ύ</w:t>
      </w:r>
      <w:r w:rsidRPr="00E32B2A">
        <w:rPr>
          <w:lang w:val="el-GR"/>
        </w:rPr>
        <w:t xml:space="preserve">γχρονες τεχνολογίες όπως </w:t>
      </w:r>
      <w:r w:rsidR="00884D8D" w:rsidRPr="00E32B2A">
        <w:rPr>
          <w:lang w:val="el-GR"/>
        </w:rPr>
        <w:t xml:space="preserve">η </w:t>
      </w:r>
      <w:proofErr w:type="spellStart"/>
      <w:r w:rsidR="00884D8D" w:rsidRPr="00E32B2A">
        <w:rPr>
          <w:lang w:val="el-GR"/>
        </w:rPr>
        <w:t>φωτονική</w:t>
      </w:r>
      <w:proofErr w:type="spellEnd"/>
      <w:r w:rsidR="00884D8D" w:rsidRPr="00E32B2A">
        <w:rPr>
          <w:lang w:val="el-GR"/>
        </w:rPr>
        <w:t xml:space="preserve">, </w:t>
      </w:r>
      <w:r w:rsidRPr="00E32B2A">
        <w:rPr>
          <w:lang w:val="el-GR"/>
        </w:rPr>
        <w:t xml:space="preserve">η </w:t>
      </w:r>
      <w:proofErr w:type="spellStart"/>
      <w:r w:rsidRPr="00E32B2A">
        <w:rPr>
          <w:lang w:val="el-GR"/>
        </w:rPr>
        <w:t>νανοτεχνολογία</w:t>
      </w:r>
      <w:proofErr w:type="spellEnd"/>
      <w:r w:rsidRPr="00E32B2A">
        <w:rPr>
          <w:lang w:val="el-GR"/>
        </w:rPr>
        <w:t xml:space="preserve">, η πληροφορική, η </w:t>
      </w:r>
      <w:proofErr w:type="spellStart"/>
      <w:r w:rsidRPr="00E32B2A">
        <w:rPr>
          <w:lang w:val="el-GR"/>
        </w:rPr>
        <w:t>αγροτεχνολογία</w:t>
      </w:r>
      <w:proofErr w:type="spellEnd"/>
      <w:r w:rsidRPr="00E32B2A">
        <w:rPr>
          <w:lang w:val="el-GR"/>
        </w:rPr>
        <w:t>. Πρόκειται για τεχνολογίες που διατρ</w:t>
      </w:r>
      <w:r w:rsidR="0068121B" w:rsidRPr="00E32B2A">
        <w:rPr>
          <w:lang w:val="el-GR"/>
        </w:rPr>
        <w:t>έ</w:t>
      </w:r>
      <w:r w:rsidRPr="00E32B2A">
        <w:rPr>
          <w:lang w:val="el-GR"/>
        </w:rPr>
        <w:t>χουν οριζ</w:t>
      </w:r>
      <w:r w:rsidR="0068121B" w:rsidRPr="00E32B2A">
        <w:rPr>
          <w:lang w:val="el-GR"/>
        </w:rPr>
        <w:t>ό</w:t>
      </w:r>
      <w:r w:rsidRPr="00E32B2A">
        <w:rPr>
          <w:lang w:val="el-GR"/>
        </w:rPr>
        <w:t>ντια παραδοσιακούς πυλώνες της Ελληνικής Οικονομίας</w:t>
      </w:r>
      <w:r w:rsidR="008F73AF" w:rsidRPr="00E32B2A">
        <w:rPr>
          <w:lang w:val="el-GR"/>
        </w:rPr>
        <w:t xml:space="preserve">, όπως την </w:t>
      </w:r>
      <w:proofErr w:type="spellStart"/>
      <w:r w:rsidR="008F73AF" w:rsidRPr="00E32B2A">
        <w:rPr>
          <w:lang w:val="el-GR"/>
        </w:rPr>
        <w:t>Αγροδιατροφή</w:t>
      </w:r>
      <w:proofErr w:type="spellEnd"/>
      <w:r w:rsidR="008F73AF" w:rsidRPr="00E32B2A">
        <w:rPr>
          <w:lang w:val="el-GR"/>
        </w:rPr>
        <w:t>, τον Τουρισμό, την Ενέργεια, το Περιβάλλον κ.ά., προσθέτοντα</w:t>
      </w:r>
      <w:r w:rsidR="00AD4238" w:rsidRPr="00E32B2A">
        <w:rPr>
          <w:lang w:val="el-GR"/>
        </w:rPr>
        <w:t>ς αξία στα σημεία που τους τέμνουν</w:t>
      </w:r>
      <w:r w:rsidR="008F73AF" w:rsidRPr="00E32B2A">
        <w:rPr>
          <w:lang w:val="el-GR"/>
        </w:rPr>
        <w:t xml:space="preserve">. </w:t>
      </w:r>
    </w:p>
    <w:p w:rsidR="002F7D26" w:rsidRPr="00E32B2A" w:rsidRDefault="008F73AF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Η μετατροπή του</w:t>
      </w:r>
      <w:r w:rsidR="00AD4238" w:rsidRPr="00E32B2A">
        <w:rPr>
          <w:lang w:val="el-GR"/>
        </w:rPr>
        <w:t xml:space="preserve"> ΤΕΙ Κρήτης </w:t>
      </w:r>
      <w:r w:rsidRPr="00E32B2A">
        <w:rPr>
          <w:lang w:val="el-GR"/>
        </w:rPr>
        <w:t xml:space="preserve">σε Πανεπιστήμιο θα συμβάλλει ακόμη περισσότερο στην ανάπτυξη της Κρήτης και της χώρας γενικότερα. </w:t>
      </w:r>
    </w:p>
    <w:p w:rsidR="00EE1351" w:rsidRPr="00E32B2A" w:rsidRDefault="00884D8D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Εκεί στοχεύει και αυτό το νομοσχέδιο</w:t>
      </w:r>
      <w:r w:rsidR="002F7D26" w:rsidRPr="00E32B2A">
        <w:rPr>
          <w:lang w:val="el-GR"/>
        </w:rPr>
        <w:t>: ν</w:t>
      </w:r>
      <w:r w:rsidR="00FF48F8" w:rsidRPr="00E32B2A">
        <w:rPr>
          <w:lang w:val="el-GR"/>
        </w:rPr>
        <w:t>α αξιοποιήσουμε το ανθρώπινο δυναμικό και τις υποδομές που υπάρχουν</w:t>
      </w:r>
      <w:r w:rsidR="002F7D26" w:rsidRPr="00E32B2A">
        <w:rPr>
          <w:lang w:val="el-GR"/>
        </w:rPr>
        <w:t xml:space="preserve"> </w:t>
      </w:r>
      <w:r w:rsidR="00AD4238" w:rsidRPr="00E32B2A">
        <w:rPr>
          <w:lang w:val="el-GR"/>
        </w:rPr>
        <w:t>στις Π</w:t>
      </w:r>
      <w:r w:rsidR="002F7D26" w:rsidRPr="00E32B2A">
        <w:rPr>
          <w:lang w:val="el-GR"/>
        </w:rPr>
        <w:t>εριφέρειες της χώρας</w:t>
      </w:r>
      <w:r w:rsidR="00FF48F8" w:rsidRPr="00E32B2A">
        <w:rPr>
          <w:lang w:val="el-GR"/>
        </w:rPr>
        <w:t xml:space="preserve">. </w:t>
      </w:r>
      <w:r w:rsidR="00E81244" w:rsidRPr="00E32B2A">
        <w:rPr>
          <w:lang w:val="el-GR"/>
        </w:rPr>
        <w:t xml:space="preserve">Να ενισχύσουμε την παρουσία μας σε σύγχρονους τεχνολογικούς τομείς όπου η Ελλάδα μπορεί να πρωταγωνιστήσει, ακόμη και να προκαλέσει σοκ πρωτοπορίας που θα μας τραβήξουν μπροστά. </w:t>
      </w:r>
    </w:p>
    <w:p w:rsidR="00AD4238" w:rsidRPr="00E32B2A" w:rsidRDefault="00286ABF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Κι αυτό μαζ</w:t>
      </w:r>
      <w:r w:rsidR="00AD4238" w:rsidRPr="00E32B2A">
        <w:rPr>
          <w:lang w:val="el-GR"/>
        </w:rPr>
        <w:t>ί με την ισόρροπη ενίσχυση των Ανθρωπιστικών και Κ</w:t>
      </w:r>
      <w:r w:rsidRPr="00E32B2A">
        <w:rPr>
          <w:lang w:val="el-GR"/>
        </w:rPr>
        <w:t>οινωνικών επιστημών  που αναδει</w:t>
      </w:r>
      <w:r w:rsidR="00AD4238" w:rsidRPr="00E32B2A">
        <w:rPr>
          <w:lang w:val="el-GR"/>
        </w:rPr>
        <w:t>κνύουν την ταυτότητα της χώρας.</w:t>
      </w:r>
    </w:p>
    <w:p w:rsidR="008A35ED" w:rsidRPr="00E32B2A" w:rsidRDefault="00AD4238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Η προσέγγιση αυτή δημιουργεί ε</w:t>
      </w:r>
      <w:r w:rsidR="00E81244" w:rsidRPr="00E32B2A">
        <w:rPr>
          <w:lang w:val="el-GR"/>
        </w:rPr>
        <w:t xml:space="preserve">υκαιρίες και προοπτικές </w:t>
      </w:r>
      <w:r w:rsidRPr="00E32B2A">
        <w:rPr>
          <w:lang w:val="el-GR"/>
        </w:rPr>
        <w:t xml:space="preserve">αίροντας </w:t>
      </w:r>
      <w:r w:rsidR="00884D8D" w:rsidRPr="00E32B2A">
        <w:rPr>
          <w:lang w:val="el-GR"/>
        </w:rPr>
        <w:t>αγκυλώσεις</w:t>
      </w:r>
      <w:r w:rsidR="002F7D26" w:rsidRPr="00E32B2A">
        <w:rPr>
          <w:lang w:val="el-GR"/>
        </w:rPr>
        <w:t>, αποκλεισμούς</w:t>
      </w:r>
      <w:r w:rsidR="003E1BB3" w:rsidRPr="00E32B2A">
        <w:rPr>
          <w:lang w:val="el-GR"/>
        </w:rPr>
        <w:t xml:space="preserve"> κι εγκλωβισμούς</w:t>
      </w:r>
      <w:r w:rsidR="00884D8D" w:rsidRPr="00E32B2A">
        <w:rPr>
          <w:lang w:val="el-GR"/>
        </w:rPr>
        <w:t>.</w:t>
      </w:r>
    </w:p>
    <w:p w:rsidR="0068121B" w:rsidRPr="00E32B2A" w:rsidRDefault="008A35ED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Θα ήθελα τώρα να εστιάσω στα άρθρα 72 και 73 του Νομοσχεδ</w:t>
      </w:r>
      <w:r w:rsidR="0033463C" w:rsidRPr="00E32B2A">
        <w:rPr>
          <w:lang w:val="el-GR"/>
        </w:rPr>
        <w:t>ίου.</w:t>
      </w:r>
    </w:p>
    <w:p w:rsidR="00CD714A" w:rsidRPr="00E32B2A" w:rsidRDefault="0068121B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Τ</w:t>
      </w:r>
      <w:r w:rsidR="008A35ED" w:rsidRPr="00E32B2A">
        <w:rPr>
          <w:lang w:val="el-GR"/>
        </w:rPr>
        <w:t xml:space="preserve">ο άρθρο 72 </w:t>
      </w:r>
      <w:r w:rsidR="00FF48F8" w:rsidRPr="00E32B2A">
        <w:rPr>
          <w:lang w:val="el-GR"/>
        </w:rPr>
        <w:t xml:space="preserve">κάνει πράξη </w:t>
      </w:r>
      <w:r w:rsidR="008A35ED" w:rsidRPr="00E32B2A">
        <w:rPr>
          <w:lang w:val="el-GR"/>
        </w:rPr>
        <w:t>τη μείωση της γραφειοκρατίας</w:t>
      </w:r>
      <w:r w:rsidR="003E1BB3" w:rsidRPr="00E32B2A">
        <w:rPr>
          <w:lang w:val="el-GR"/>
        </w:rPr>
        <w:t xml:space="preserve"> στην </w:t>
      </w:r>
      <w:r w:rsidR="00F4526C" w:rsidRPr="00E32B2A">
        <w:rPr>
          <w:lang w:val="el-GR"/>
        </w:rPr>
        <w:t>Έ</w:t>
      </w:r>
      <w:r w:rsidR="003E1BB3" w:rsidRPr="00E32B2A">
        <w:rPr>
          <w:lang w:val="el-GR"/>
        </w:rPr>
        <w:t>ρευνα</w:t>
      </w:r>
      <w:r w:rsidR="00FF48F8" w:rsidRPr="00E32B2A">
        <w:rPr>
          <w:lang w:val="el-GR"/>
        </w:rPr>
        <w:t>, ένα καθολικό αίτημα</w:t>
      </w:r>
      <w:r w:rsidR="008A35ED" w:rsidRPr="00E32B2A">
        <w:rPr>
          <w:lang w:val="el-GR"/>
        </w:rPr>
        <w:t>.</w:t>
      </w:r>
    </w:p>
    <w:p w:rsidR="006E5641" w:rsidRPr="00E32B2A" w:rsidRDefault="008A35ED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Η δυναμική που διέπει την Έρευνα απαιτεί ιδιαίτερες συνθήκες ευέλικτης διαχείρισης των ερευνητικών έργων.</w:t>
      </w:r>
    </w:p>
    <w:p w:rsidR="008A35ED" w:rsidRPr="00E32B2A" w:rsidRDefault="008A35ED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Το στοίχημα είναι π</w:t>
      </w:r>
      <w:r w:rsidR="006E5641" w:rsidRPr="00E32B2A">
        <w:rPr>
          <w:lang w:val="el-GR"/>
        </w:rPr>
        <w:t>ώ</w:t>
      </w:r>
      <w:r w:rsidRPr="00E32B2A">
        <w:rPr>
          <w:lang w:val="el-GR"/>
        </w:rPr>
        <w:t xml:space="preserve">ς θα εξασφαλισθεί </w:t>
      </w:r>
      <w:r w:rsidR="00AD4238" w:rsidRPr="00E32B2A">
        <w:rPr>
          <w:lang w:val="el-GR"/>
        </w:rPr>
        <w:t>αυτή η</w:t>
      </w:r>
      <w:r w:rsidRPr="00E32B2A">
        <w:rPr>
          <w:lang w:val="el-GR"/>
        </w:rPr>
        <w:t xml:space="preserve"> ευελιξία με την ταυτόχρονη διασφάλιση των συμφερόντων του Δημοσίου.</w:t>
      </w:r>
    </w:p>
    <w:p w:rsidR="00D47F99" w:rsidRPr="00E32B2A" w:rsidRDefault="00D47F99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Σ</w:t>
      </w:r>
      <w:r w:rsidR="008A35ED" w:rsidRPr="00E32B2A">
        <w:rPr>
          <w:lang w:val="el-GR"/>
        </w:rPr>
        <w:t xml:space="preserve">το άρθρο 72 οι ερευνητικοί φορείς και οι ΕΛΚΕ, </w:t>
      </w:r>
      <w:r w:rsidR="006E5641" w:rsidRPr="00E32B2A">
        <w:rPr>
          <w:lang w:val="el-GR"/>
        </w:rPr>
        <w:t>παραμένουν</w:t>
      </w:r>
      <w:r w:rsidR="005B192E" w:rsidRPr="00E32B2A">
        <w:rPr>
          <w:lang w:val="el-GR"/>
        </w:rPr>
        <w:t xml:space="preserve"> </w:t>
      </w:r>
      <w:r w:rsidR="008A35ED" w:rsidRPr="00E32B2A">
        <w:rPr>
          <w:lang w:val="el-GR"/>
        </w:rPr>
        <w:t>στο Δημόσιο λογιστικό αλλά γίνονται ειδικές ρυθμίσεις</w:t>
      </w:r>
      <w:r w:rsidR="005B192E" w:rsidRPr="00E32B2A">
        <w:rPr>
          <w:lang w:val="el-GR"/>
        </w:rPr>
        <w:t xml:space="preserve"> </w:t>
      </w:r>
      <w:r w:rsidR="008A35ED" w:rsidRPr="00E32B2A">
        <w:rPr>
          <w:lang w:val="el-GR"/>
        </w:rPr>
        <w:t xml:space="preserve">σε τέσσερα </w:t>
      </w:r>
      <w:r w:rsidR="00F4526C" w:rsidRPr="00E32B2A">
        <w:rPr>
          <w:lang w:val="el-GR"/>
        </w:rPr>
        <w:t xml:space="preserve">καίρια </w:t>
      </w:r>
      <w:r w:rsidR="008A35ED" w:rsidRPr="00E32B2A">
        <w:rPr>
          <w:lang w:val="el-GR"/>
        </w:rPr>
        <w:t xml:space="preserve">σημεία: </w:t>
      </w:r>
    </w:p>
    <w:p w:rsidR="00294E74" w:rsidRPr="00E32B2A" w:rsidRDefault="005B192E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Στην ανάληψη υποχρέωσης που γίνεται πλέον ανά κατηγορία δαπάνης και όχι για κάθε δαπάνη.</w:t>
      </w:r>
    </w:p>
    <w:p w:rsidR="00294E74" w:rsidRPr="00E32B2A" w:rsidRDefault="00294E74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Στις</w:t>
      </w:r>
      <w:r w:rsidR="005B192E" w:rsidRPr="00E32B2A">
        <w:rPr>
          <w:lang w:val="el-GR"/>
        </w:rPr>
        <w:t xml:space="preserve"> δαπάνες μετακίνησης που γίνονται στα πλαίσια προγραμμάτων με προϋπόθεση </w:t>
      </w:r>
      <w:r w:rsidR="003E1BB3" w:rsidRPr="00E32B2A">
        <w:rPr>
          <w:lang w:val="el-GR"/>
        </w:rPr>
        <w:t xml:space="preserve">μόνο </w:t>
      </w:r>
      <w:r w:rsidR="005B192E" w:rsidRPr="00E32B2A">
        <w:rPr>
          <w:lang w:val="el-GR"/>
        </w:rPr>
        <w:t>την υποβολ</w:t>
      </w:r>
      <w:r w:rsidR="003E1BB3" w:rsidRPr="00E32B2A">
        <w:rPr>
          <w:lang w:val="el-GR"/>
        </w:rPr>
        <w:t>ή παραστατικών</w:t>
      </w:r>
      <w:r w:rsidR="005B192E" w:rsidRPr="00E32B2A">
        <w:rPr>
          <w:lang w:val="el-GR"/>
        </w:rPr>
        <w:t>.</w:t>
      </w:r>
    </w:p>
    <w:p w:rsidR="00294E74" w:rsidRPr="00E32B2A" w:rsidRDefault="00294E74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Σε </w:t>
      </w:r>
      <w:r w:rsidR="00D47F99" w:rsidRPr="00E32B2A">
        <w:rPr>
          <w:lang w:val="el-GR"/>
        </w:rPr>
        <w:t>τ</w:t>
      </w:r>
      <w:r w:rsidR="005B192E" w:rsidRPr="00E32B2A">
        <w:rPr>
          <w:lang w:val="el-GR"/>
        </w:rPr>
        <w:t>ροποποιήσεις με σκοπό την απλοποίηση της διαδικασίας σύναψης συμβάσεων προμηθειών</w:t>
      </w:r>
      <w:r w:rsidRPr="00E32B2A">
        <w:rPr>
          <w:lang w:val="el-GR"/>
        </w:rPr>
        <w:t xml:space="preserve">. </w:t>
      </w:r>
    </w:p>
    <w:p w:rsidR="004967E8" w:rsidRPr="00E32B2A" w:rsidRDefault="00294E74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Στη δυνατότητα</w:t>
      </w:r>
      <w:r w:rsidR="005B192E" w:rsidRPr="00E32B2A">
        <w:rPr>
          <w:lang w:val="el-GR"/>
        </w:rPr>
        <w:t xml:space="preserve"> ηλεκτρονική</w:t>
      </w:r>
      <w:r w:rsidRPr="00E32B2A">
        <w:rPr>
          <w:lang w:val="el-GR"/>
        </w:rPr>
        <w:t>ς</w:t>
      </w:r>
      <w:r w:rsidR="005B192E" w:rsidRPr="00E32B2A">
        <w:rPr>
          <w:lang w:val="el-GR"/>
        </w:rPr>
        <w:t xml:space="preserve"> υποβολή</w:t>
      </w:r>
      <w:r w:rsidRPr="00E32B2A">
        <w:rPr>
          <w:lang w:val="el-GR"/>
        </w:rPr>
        <w:t>ς</w:t>
      </w:r>
      <w:r w:rsidR="005B192E" w:rsidRPr="00E32B2A">
        <w:rPr>
          <w:lang w:val="el-GR"/>
        </w:rPr>
        <w:t xml:space="preserve"> δικαιολογητικών</w:t>
      </w:r>
      <w:r w:rsidR="00FF48F8" w:rsidRPr="00E32B2A">
        <w:rPr>
          <w:lang w:val="el-GR"/>
        </w:rPr>
        <w:t>.</w:t>
      </w:r>
      <w:r w:rsidR="005B192E" w:rsidRPr="00E32B2A">
        <w:rPr>
          <w:lang w:val="el-GR"/>
        </w:rPr>
        <w:t xml:space="preserve"> </w:t>
      </w:r>
    </w:p>
    <w:p w:rsidR="00916018" w:rsidRPr="00E32B2A" w:rsidRDefault="00916018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Στο άρθρο 73 </w:t>
      </w:r>
      <w:r w:rsidR="009B3C92" w:rsidRPr="00E32B2A">
        <w:rPr>
          <w:lang w:val="el-GR"/>
        </w:rPr>
        <w:t xml:space="preserve">συνιστώνται 157 θέσεις ειδικού επιστημονικού προσωπικού στα Ερευνητικά Κέντρα </w:t>
      </w:r>
      <w:r w:rsidR="00D47F99" w:rsidRPr="00E32B2A">
        <w:rPr>
          <w:lang w:val="el-GR"/>
        </w:rPr>
        <w:t xml:space="preserve">(ΕΚ) </w:t>
      </w:r>
      <w:r w:rsidR="00294E74" w:rsidRPr="00E32B2A">
        <w:rPr>
          <w:lang w:val="el-GR"/>
        </w:rPr>
        <w:t xml:space="preserve">για τις οποίες έχουν εξασφαλισθεί οι αναγκαίοι πόροι, </w:t>
      </w:r>
      <w:r w:rsidR="009B3C92" w:rsidRPr="00E32B2A">
        <w:rPr>
          <w:lang w:val="el-GR"/>
        </w:rPr>
        <w:t xml:space="preserve">μετά από </w:t>
      </w:r>
      <w:r w:rsidR="00AD4238" w:rsidRPr="00E32B2A">
        <w:rPr>
          <w:lang w:val="el-GR"/>
        </w:rPr>
        <w:t xml:space="preserve">δέκα χρόνια απόλυτης </w:t>
      </w:r>
      <w:r w:rsidR="009B3C92" w:rsidRPr="00E32B2A">
        <w:rPr>
          <w:lang w:val="el-GR"/>
        </w:rPr>
        <w:t>ξηρασία</w:t>
      </w:r>
      <w:r w:rsidR="00AD4238" w:rsidRPr="00E32B2A">
        <w:rPr>
          <w:lang w:val="el-GR"/>
        </w:rPr>
        <w:t>ς στις προσλήψεις</w:t>
      </w:r>
      <w:r w:rsidR="003F459C" w:rsidRPr="00E32B2A">
        <w:rPr>
          <w:lang w:val="el-GR"/>
        </w:rPr>
        <w:t>.</w:t>
      </w:r>
    </w:p>
    <w:p w:rsidR="001E3960" w:rsidRPr="00E32B2A" w:rsidRDefault="009B3C92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Στο ίδιο άρθρο</w:t>
      </w:r>
      <w:r w:rsidR="00294E74" w:rsidRPr="00E32B2A">
        <w:rPr>
          <w:lang w:val="el-GR"/>
        </w:rPr>
        <w:t>,</w:t>
      </w:r>
      <w:r w:rsidRPr="00E32B2A">
        <w:rPr>
          <w:lang w:val="el-GR"/>
        </w:rPr>
        <w:t xml:space="preserve"> εναρμονίζεται το καθεστώς λειτουργίας του ΙΙΒΕΑΑ με εκείνο άλλων </w:t>
      </w:r>
      <w:r w:rsidR="00D47F99" w:rsidRPr="00E32B2A">
        <w:rPr>
          <w:lang w:val="el-GR"/>
        </w:rPr>
        <w:t>ΕΚ</w:t>
      </w:r>
      <w:r w:rsidRPr="00E32B2A">
        <w:rPr>
          <w:lang w:val="el-GR"/>
        </w:rPr>
        <w:t xml:space="preserve"> της ΓΓΕΤ. Η </w:t>
      </w:r>
      <w:r w:rsidR="007164F3" w:rsidRPr="00E32B2A">
        <w:rPr>
          <w:lang w:val="el-GR"/>
        </w:rPr>
        <w:t xml:space="preserve">ΓΓΕΤ </w:t>
      </w:r>
      <w:proofErr w:type="spellStart"/>
      <w:r w:rsidR="007164F3" w:rsidRPr="00E32B2A">
        <w:rPr>
          <w:lang w:val="el-GR"/>
        </w:rPr>
        <w:t>συνεποπτεύει</w:t>
      </w:r>
      <w:proofErr w:type="spellEnd"/>
      <w:r w:rsidR="007164F3" w:rsidRPr="00E32B2A">
        <w:rPr>
          <w:lang w:val="el-GR"/>
        </w:rPr>
        <w:t xml:space="preserve"> μαζί με την </w:t>
      </w:r>
      <w:r w:rsidRPr="00E32B2A">
        <w:rPr>
          <w:lang w:val="el-GR"/>
        </w:rPr>
        <w:t xml:space="preserve">Ακαδημία Αθηνών </w:t>
      </w:r>
      <w:r w:rsidR="004967E8" w:rsidRPr="00E32B2A">
        <w:rPr>
          <w:lang w:val="el-GR"/>
        </w:rPr>
        <w:t xml:space="preserve"> το Ίδρυμα</w:t>
      </w:r>
      <w:r w:rsidRPr="00E32B2A">
        <w:rPr>
          <w:lang w:val="el-GR"/>
        </w:rPr>
        <w:t>.</w:t>
      </w:r>
    </w:p>
    <w:p w:rsidR="001E3960" w:rsidRPr="00E32B2A" w:rsidRDefault="009B3C92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lastRenderedPageBreak/>
        <w:t>Νέο σημαντικό στοιχείο αποτελεί η πλήρης κάλυψη του κόστους μισθοδοσίας για τους Ερευνητές και το τακτικό προσωπικό</w:t>
      </w:r>
      <w:r w:rsidR="003E1BB3" w:rsidRPr="00E32B2A">
        <w:rPr>
          <w:lang w:val="el-GR"/>
        </w:rPr>
        <w:t xml:space="preserve"> του ΙΙΒΕΑΑ</w:t>
      </w:r>
      <w:r w:rsidRPr="00E32B2A">
        <w:rPr>
          <w:lang w:val="el-GR"/>
        </w:rPr>
        <w:t>.</w:t>
      </w:r>
      <w:r w:rsidR="00FF48F8" w:rsidRPr="00E32B2A">
        <w:rPr>
          <w:lang w:val="el-GR"/>
        </w:rPr>
        <w:t xml:space="preserve"> </w:t>
      </w:r>
      <w:r w:rsidR="00AD4238" w:rsidRPr="00E32B2A">
        <w:rPr>
          <w:lang w:val="el-GR"/>
        </w:rPr>
        <w:t>Επίσης θεσπίζεται θέση αιρετού Ε</w:t>
      </w:r>
      <w:r w:rsidR="00FF48F8" w:rsidRPr="00E32B2A">
        <w:rPr>
          <w:lang w:val="el-GR"/>
        </w:rPr>
        <w:t>πιστημονικο</w:t>
      </w:r>
      <w:r w:rsidR="00D93C41" w:rsidRPr="00E32B2A">
        <w:rPr>
          <w:lang w:val="el-GR"/>
        </w:rPr>
        <w:t>ύ Δ/</w:t>
      </w:r>
      <w:proofErr w:type="spellStart"/>
      <w:r w:rsidR="00D93C41" w:rsidRPr="00E32B2A">
        <w:rPr>
          <w:lang w:val="el-GR"/>
        </w:rPr>
        <w:t>ντή</w:t>
      </w:r>
      <w:proofErr w:type="spellEnd"/>
      <w:r w:rsidR="00FF48F8" w:rsidRPr="00E32B2A">
        <w:rPr>
          <w:lang w:val="el-GR"/>
        </w:rPr>
        <w:t>, ενώ ισχύουν οι διαδικασίες αξιολόγησης των διοικητικών οργάνων και εκλογής ή ανέλιξης των ερευνητ</w:t>
      </w:r>
      <w:r w:rsidR="00D93C41" w:rsidRPr="00E32B2A">
        <w:rPr>
          <w:lang w:val="el-GR"/>
        </w:rPr>
        <w:t>ών, όπως για τα υπόλοιπα ΕΚ που εποπτεύει η ΓΓΕΤ.</w:t>
      </w:r>
    </w:p>
    <w:p w:rsidR="00D93C41" w:rsidRPr="00E32B2A" w:rsidRDefault="00D93C41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Η Ακαδημία </w:t>
      </w:r>
      <w:r w:rsidR="002D2616" w:rsidRPr="00E32B2A">
        <w:rPr>
          <w:lang w:val="el-GR"/>
        </w:rPr>
        <w:t xml:space="preserve">Αθηνών </w:t>
      </w:r>
      <w:r w:rsidRPr="00E32B2A">
        <w:rPr>
          <w:lang w:val="el-GR"/>
        </w:rPr>
        <w:t xml:space="preserve">διατηρεί την εμβληματική της </w:t>
      </w:r>
      <w:r w:rsidR="00CD714A" w:rsidRPr="00E32B2A">
        <w:rPr>
          <w:lang w:val="el-GR"/>
        </w:rPr>
        <w:t>παρουσία</w:t>
      </w:r>
      <w:r w:rsidRPr="00E32B2A">
        <w:rPr>
          <w:lang w:val="el-GR"/>
        </w:rPr>
        <w:t xml:space="preserve"> στο ΙΙΒΕΑΑ με την συμμετοχή </w:t>
      </w:r>
      <w:r w:rsidR="000C4EE6">
        <w:rPr>
          <w:lang w:val="el-GR"/>
        </w:rPr>
        <w:t>τεσσάρων</w:t>
      </w:r>
      <w:bookmarkStart w:id="0" w:name="_GoBack"/>
      <w:bookmarkEnd w:id="0"/>
      <w:r w:rsidRPr="00E32B2A">
        <w:rPr>
          <w:lang w:val="el-GR"/>
        </w:rPr>
        <w:t xml:space="preserve"> Ακαδημαϊκών στο</w:t>
      </w:r>
      <w:r w:rsidR="003E1BB3" w:rsidRPr="00E32B2A">
        <w:rPr>
          <w:lang w:val="el-GR"/>
        </w:rPr>
        <w:t xml:space="preserve"> επταμελές</w:t>
      </w:r>
      <w:r w:rsidRPr="00E32B2A">
        <w:rPr>
          <w:lang w:val="el-GR"/>
        </w:rPr>
        <w:t xml:space="preserve"> ΔΣ, </w:t>
      </w:r>
      <w:r w:rsidR="00000638" w:rsidRPr="00E32B2A">
        <w:rPr>
          <w:lang w:val="el-GR"/>
        </w:rPr>
        <w:t xml:space="preserve">ένας </w:t>
      </w:r>
      <w:r w:rsidRPr="00E32B2A">
        <w:rPr>
          <w:lang w:val="el-GR"/>
        </w:rPr>
        <w:t>εκ των οποίων εκλέγεται να αναλάβει καθήκοντα Προέδρου.</w:t>
      </w:r>
    </w:p>
    <w:p w:rsidR="00D93C41" w:rsidRPr="00E32B2A" w:rsidRDefault="00D93C41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Σημειωτέον ότι ο σύλλογος ερευνητών και εργαζομένων του ΙΙΒΕΑΑ εξέφρασε ομόφωνα την αποδοχή αυτού του σχεδίου.</w:t>
      </w:r>
    </w:p>
    <w:p w:rsidR="0033463C" w:rsidRPr="00E32B2A" w:rsidRDefault="003A095C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Θα ήθελα να κλείσω με </w:t>
      </w:r>
      <w:r w:rsidR="00CD714A" w:rsidRPr="00E32B2A">
        <w:rPr>
          <w:lang w:val="el-GR"/>
        </w:rPr>
        <w:t xml:space="preserve">την επισήμανση μιας άλλης διάστασης που απορρέει από αυτό </w:t>
      </w:r>
      <w:r w:rsidRPr="00E32B2A">
        <w:rPr>
          <w:lang w:val="el-GR"/>
        </w:rPr>
        <w:t>και τ</w:t>
      </w:r>
      <w:r w:rsidR="001E3960" w:rsidRPr="00E32B2A">
        <w:rPr>
          <w:lang w:val="el-GR"/>
        </w:rPr>
        <w:t>α</w:t>
      </w:r>
      <w:r w:rsidRPr="00E32B2A">
        <w:rPr>
          <w:lang w:val="el-GR"/>
        </w:rPr>
        <w:t xml:space="preserve"> προηγούμεν</w:t>
      </w:r>
      <w:r w:rsidR="001E3960" w:rsidRPr="00E32B2A">
        <w:rPr>
          <w:lang w:val="el-GR"/>
        </w:rPr>
        <w:t>α</w:t>
      </w:r>
      <w:r w:rsidRPr="00E32B2A">
        <w:rPr>
          <w:lang w:val="el-GR"/>
        </w:rPr>
        <w:t xml:space="preserve"> </w:t>
      </w:r>
      <w:r w:rsidR="00CD714A" w:rsidRPr="00E32B2A">
        <w:rPr>
          <w:lang w:val="el-GR"/>
        </w:rPr>
        <w:t xml:space="preserve">συναφή </w:t>
      </w:r>
      <w:r w:rsidRPr="00E32B2A">
        <w:rPr>
          <w:lang w:val="el-GR"/>
        </w:rPr>
        <w:t>νομοσχέδι</w:t>
      </w:r>
      <w:r w:rsidR="001E3960" w:rsidRPr="00E32B2A">
        <w:rPr>
          <w:lang w:val="el-GR"/>
        </w:rPr>
        <w:t>α</w:t>
      </w:r>
      <w:r w:rsidRPr="00E32B2A">
        <w:rPr>
          <w:lang w:val="el-GR"/>
        </w:rPr>
        <w:t xml:space="preserve"> του ΥΠΠΕΘ</w:t>
      </w:r>
      <w:r w:rsidR="00CD714A" w:rsidRPr="00E32B2A">
        <w:rPr>
          <w:lang w:val="el-GR"/>
        </w:rPr>
        <w:t xml:space="preserve"> για τα ΑΕΙ.</w:t>
      </w:r>
    </w:p>
    <w:p w:rsidR="001D5A6C" w:rsidRPr="00E32B2A" w:rsidRDefault="003A095C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Τον τελευταίο καιρό όλο και συχνότερα ακούγεται ο </w:t>
      </w:r>
      <w:r w:rsidR="00D17AC3" w:rsidRPr="00E32B2A">
        <w:rPr>
          <w:lang w:val="el-GR"/>
        </w:rPr>
        <w:t xml:space="preserve">όρος </w:t>
      </w:r>
      <w:r w:rsidR="00EE1351" w:rsidRPr="00E32B2A">
        <w:rPr>
          <w:lang w:val="el-GR"/>
        </w:rPr>
        <w:t>Τέταρτη Βιομηχανική Επανάσταση (</w:t>
      </w:r>
      <w:r w:rsidRPr="00E32B2A">
        <w:rPr>
          <w:lang w:val="el-GR"/>
        </w:rPr>
        <w:t>4ΒΕ</w:t>
      </w:r>
      <w:r w:rsidR="00EE1351" w:rsidRPr="00E32B2A">
        <w:rPr>
          <w:lang w:val="el-GR"/>
        </w:rPr>
        <w:t>)</w:t>
      </w:r>
      <w:r w:rsidRPr="00E32B2A">
        <w:rPr>
          <w:lang w:val="el-GR"/>
        </w:rPr>
        <w:t xml:space="preserve">. Η λεγόμενη 4ΒΕ όπως </w:t>
      </w:r>
      <w:r w:rsidR="00070F4A" w:rsidRPr="00E32B2A">
        <w:rPr>
          <w:lang w:val="el-GR"/>
        </w:rPr>
        <w:t xml:space="preserve">κι </w:t>
      </w:r>
      <w:r w:rsidRPr="00E32B2A">
        <w:rPr>
          <w:lang w:val="el-GR"/>
        </w:rPr>
        <w:t xml:space="preserve">όλες οι προηγούμενες, αφορά την επίδραση που έχουν </w:t>
      </w:r>
      <w:r w:rsidR="003E1BB3" w:rsidRPr="00E32B2A">
        <w:rPr>
          <w:lang w:val="el-GR"/>
        </w:rPr>
        <w:t xml:space="preserve">οι </w:t>
      </w:r>
      <w:r w:rsidRPr="00E32B2A">
        <w:rPr>
          <w:lang w:val="el-GR"/>
        </w:rPr>
        <w:t>ανατρεπτικού χαρακτήρα τεχνολογίες στα μέσα και τον τρόπο παραγωγής, στη συσσώρευση και διακίνηση των κεφαλαίων. Αναπόφευκτα καθορίζει την θέση των χωρών στον παγκόσμιο καταμερισμό εργασίας.</w:t>
      </w:r>
      <w:r w:rsidR="003F459C" w:rsidRPr="00E32B2A">
        <w:rPr>
          <w:lang w:val="el-GR"/>
        </w:rPr>
        <w:t xml:space="preserve"> </w:t>
      </w:r>
    </w:p>
    <w:p w:rsidR="003A095C" w:rsidRPr="00E32B2A" w:rsidRDefault="003A095C" w:rsidP="009F5B05">
      <w:pPr>
        <w:tabs>
          <w:tab w:val="left" w:pos="360"/>
        </w:tabs>
        <w:ind w:left="360"/>
        <w:jc w:val="both"/>
        <w:rPr>
          <w:lang w:val="el-GR"/>
        </w:rPr>
      </w:pPr>
      <w:r w:rsidRPr="00E32B2A">
        <w:rPr>
          <w:lang w:val="el-GR"/>
        </w:rPr>
        <w:t>Το ερώτημα είναι: ποιος μπορεί να είναι ο ρόλος της χώρας μας στο νέο αυτό τοπίο;</w:t>
      </w:r>
    </w:p>
    <w:p w:rsidR="00BA66C0" w:rsidRPr="00E32B2A" w:rsidRDefault="003A095C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Την Κυβέρνηση την έχει απασχολήσει και την απασχολεί το θέμα σοβαρά</w:t>
      </w:r>
      <w:r w:rsidR="00BA66C0" w:rsidRPr="00E32B2A">
        <w:rPr>
          <w:lang w:val="el-GR"/>
        </w:rPr>
        <w:t xml:space="preserve"> μαζί με</w:t>
      </w:r>
      <w:r w:rsidRPr="00E32B2A">
        <w:rPr>
          <w:lang w:val="el-GR"/>
        </w:rPr>
        <w:t xml:space="preserve"> το ζήτημα των κοινωνικών επιπτώσεων που μπορεί να προκύψουν. Επιπτώσεων που περιλαμβάνουν, όχι μόνο μια ανεξέλεγκτη και εκτεταμένη ανεργία</w:t>
      </w:r>
      <w:r w:rsidR="00BA66C0" w:rsidRPr="00E32B2A">
        <w:rPr>
          <w:lang w:val="el-GR"/>
        </w:rPr>
        <w:t>,</w:t>
      </w:r>
      <w:r w:rsidRPr="00E32B2A">
        <w:rPr>
          <w:lang w:val="el-GR"/>
        </w:rPr>
        <w:t xml:space="preserve"> αλλά και αυτόν καθ’</w:t>
      </w:r>
      <w:r w:rsidR="00DB1039" w:rsidRPr="00E32B2A">
        <w:rPr>
          <w:lang w:val="el-GR"/>
        </w:rPr>
        <w:t xml:space="preserve"> </w:t>
      </w:r>
      <w:r w:rsidRPr="00E32B2A">
        <w:rPr>
          <w:lang w:val="el-GR"/>
        </w:rPr>
        <w:t>αυτόν τον αποκλεισμό του ανθρώπου από την παραγωγική διαδικασία. Πολλά ηθικά, κοινωνικ</w:t>
      </w:r>
      <w:r w:rsidR="00DB1039" w:rsidRPr="00E32B2A">
        <w:rPr>
          <w:lang w:val="el-GR"/>
        </w:rPr>
        <w:t xml:space="preserve">ά και </w:t>
      </w:r>
      <w:r w:rsidRPr="00E32B2A">
        <w:rPr>
          <w:lang w:val="el-GR"/>
        </w:rPr>
        <w:t xml:space="preserve">νομικά </w:t>
      </w:r>
      <w:r w:rsidR="00DB1039" w:rsidRPr="00E32B2A">
        <w:rPr>
          <w:lang w:val="el-GR"/>
        </w:rPr>
        <w:t>ζητήματα εγείρονται</w:t>
      </w:r>
      <w:r w:rsidR="00BA66C0" w:rsidRPr="00E32B2A">
        <w:rPr>
          <w:lang w:val="el-GR"/>
        </w:rPr>
        <w:t xml:space="preserve"> και πρέπει να αντιμετωπιστούν</w:t>
      </w:r>
      <w:r w:rsidR="00DB1039" w:rsidRPr="00E32B2A">
        <w:rPr>
          <w:lang w:val="el-GR"/>
        </w:rPr>
        <w:t>.</w:t>
      </w:r>
    </w:p>
    <w:p w:rsidR="00CD714A" w:rsidRPr="00E32B2A" w:rsidRDefault="00DB1039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Η στάση μας </w:t>
      </w:r>
      <w:r w:rsidR="00BA66C0" w:rsidRPr="00E32B2A">
        <w:rPr>
          <w:lang w:val="el-GR"/>
        </w:rPr>
        <w:t xml:space="preserve">στο </w:t>
      </w:r>
      <w:r w:rsidR="00CD714A" w:rsidRPr="00E32B2A">
        <w:rPr>
          <w:lang w:val="el-GR"/>
        </w:rPr>
        <w:t xml:space="preserve">θέμα αυτό, σαφώς </w:t>
      </w:r>
      <w:r w:rsidRPr="00E32B2A">
        <w:rPr>
          <w:lang w:val="el-GR"/>
        </w:rPr>
        <w:t xml:space="preserve">δεν πρέπει να είναι </w:t>
      </w:r>
      <w:proofErr w:type="spellStart"/>
      <w:r w:rsidR="00BA66C0" w:rsidRPr="00E32B2A">
        <w:rPr>
          <w:lang w:val="el-GR"/>
        </w:rPr>
        <w:t>τεχνο</w:t>
      </w:r>
      <w:r w:rsidRPr="00E32B2A">
        <w:rPr>
          <w:lang w:val="el-GR"/>
        </w:rPr>
        <w:t>φοβική</w:t>
      </w:r>
      <w:proofErr w:type="spellEnd"/>
      <w:r w:rsidRPr="00E32B2A">
        <w:rPr>
          <w:lang w:val="el-GR"/>
        </w:rPr>
        <w:t xml:space="preserve">. </w:t>
      </w:r>
    </w:p>
    <w:p w:rsidR="00DB1039" w:rsidRPr="00E32B2A" w:rsidRDefault="00CD714A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Σε αντίθεση με τα όσα διακηρύσσουν διάφοροι δήθεν επαΐοντες, </w:t>
      </w:r>
      <w:r w:rsidR="00DB1039" w:rsidRPr="00E32B2A">
        <w:rPr>
          <w:lang w:val="el-GR"/>
        </w:rPr>
        <w:t xml:space="preserve">η χώρα διαθέτει </w:t>
      </w:r>
      <w:r w:rsidR="0075610F" w:rsidRPr="00E32B2A">
        <w:rPr>
          <w:lang w:val="el-GR"/>
        </w:rPr>
        <w:t xml:space="preserve">σημαντικές </w:t>
      </w:r>
      <w:r w:rsidR="00DB1039" w:rsidRPr="00E32B2A">
        <w:rPr>
          <w:lang w:val="el-GR"/>
        </w:rPr>
        <w:t xml:space="preserve">επιστημονικές και </w:t>
      </w:r>
      <w:r w:rsidRPr="00E32B2A">
        <w:rPr>
          <w:lang w:val="el-GR"/>
        </w:rPr>
        <w:t xml:space="preserve">τεχνολογικές </w:t>
      </w:r>
      <w:r w:rsidR="00DB1039" w:rsidRPr="00E32B2A">
        <w:rPr>
          <w:lang w:val="el-GR"/>
        </w:rPr>
        <w:t>δυνάμεις που διαπρέπουν στις τεχνολογίες που βασίζεται η</w:t>
      </w:r>
      <w:r w:rsidR="00BA66C0" w:rsidRPr="00E32B2A">
        <w:rPr>
          <w:lang w:val="el-GR"/>
        </w:rPr>
        <w:t xml:space="preserve"> </w:t>
      </w:r>
      <w:r w:rsidR="00DB1039" w:rsidRPr="00E32B2A">
        <w:rPr>
          <w:lang w:val="el-GR"/>
        </w:rPr>
        <w:t>4ΒΕ.</w:t>
      </w:r>
      <w:r w:rsidR="006A7B16" w:rsidRPr="00E32B2A">
        <w:rPr>
          <w:lang w:val="el-GR"/>
        </w:rPr>
        <w:t xml:space="preserve"> Συγκεκριμένα:</w:t>
      </w:r>
    </w:p>
    <w:p w:rsidR="00DB1039" w:rsidRPr="00E32B2A" w:rsidRDefault="00DB1039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Η Ελλάδα βρίσκεται πάνω από τον μέσο όρο των χωρών της ΕΕ και του ΟΟΣΑ όσον αφορά το δυναμικό </w:t>
      </w:r>
      <w:r w:rsidRPr="00E32B2A">
        <w:t>R</w:t>
      </w:r>
      <w:r w:rsidRPr="00E32B2A">
        <w:rPr>
          <w:lang w:val="el-GR"/>
        </w:rPr>
        <w:t>&amp;</w:t>
      </w:r>
      <w:r w:rsidRPr="00E32B2A">
        <w:t>D</w:t>
      </w:r>
      <w:r w:rsidRPr="00E32B2A">
        <w:rPr>
          <w:lang w:val="el-GR"/>
        </w:rPr>
        <w:t xml:space="preserve"> που διαθέτει και ποσοστιαία είναι </w:t>
      </w:r>
      <w:r w:rsidR="006A7B16" w:rsidRPr="00E32B2A">
        <w:rPr>
          <w:lang w:val="el-GR"/>
        </w:rPr>
        <w:t xml:space="preserve">η </w:t>
      </w:r>
      <w:r w:rsidRPr="00E32B2A">
        <w:rPr>
          <w:lang w:val="el-GR"/>
        </w:rPr>
        <w:t>6</w:t>
      </w:r>
      <w:r w:rsidRPr="00E32B2A">
        <w:rPr>
          <w:vertAlign w:val="superscript"/>
          <w:lang w:val="el-GR"/>
        </w:rPr>
        <w:t>η</w:t>
      </w:r>
      <w:r w:rsidRPr="00E32B2A">
        <w:rPr>
          <w:lang w:val="el-GR"/>
        </w:rPr>
        <w:t xml:space="preserve"> στον κόσμο </w:t>
      </w:r>
      <w:r w:rsidR="00124CF2" w:rsidRPr="00E32B2A">
        <w:rPr>
          <w:lang w:val="el-GR"/>
        </w:rPr>
        <w:t xml:space="preserve">χώρα </w:t>
      </w:r>
      <w:r w:rsidRPr="00E32B2A">
        <w:rPr>
          <w:lang w:val="el-GR"/>
        </w:rPr>
        <w:t xml:space="preserve">σε αποφοίτους τεχνολογιών </w:t>
      </w:r>
      <w:r w:rsidRPr="00E32B2A">
        <w:t>STEM</w:t>
      </w:r>
      <w:r w:rsidRPr="00E32B2A">
        <w:rPr>
          <w:lang w:val="el-GR"/>
        </w:rPr>
        <w:t xml:space="preserve">, σύμφωνα με στοιχεία του ΟΟΣΑ. </w:t>
      </w:r>
    </w:p>
    <w:p w:rsidR="00DB1039" w:rsidRPr="00E32B2A" w:rsidRDefault="00DB1039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Πρέπει να επισημανθεί ότι το επίπεδο αυτού του επιστημονικού δυναμικού βρίσκεται κατά μέσο όρο </w:t>
      </w:r>
      <w:r w:rsidR="006A7B16" w:rsidRPr="00E32B2A">
        <w:rPr>
          <w:lang w:val="el-GR"/>
        </w:rPr>
        <w:t xml:space="preserve">αρκετά ψηλά </w:t>
      </w:r>
      <w:r w:rsidRPr="00E32B2A">
        <w:rPr>
          <w:lang w:val="el-GR"/>
        </w:rPr>
        <w:t>όσον αφορά την επιστημονική ποιότητα και επιδόσεις.</w:t>
      </w:r>
    </w:p>
    <w:p w:rsidR="0033463C" w:rsidRPr="00E32B2A" w:rsidRDefault="003E1BB3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Για την αξιοποίηση της πολύτιμης </w:t>
      </w:r>
      <w:r w:rsidR="006A7B16" w:rsidRPr="00E32B2A">
        <w:rPr>
          <w:lang w:val="el-GR"/>
        </w:rPr>
        <w:t xml:space="preserve">αυτής </w:t>
      </w:r>
      <w:r w:rsidRPr="00E32B2A">
        <w:rPr>
          <w:lang w:val="el-GR"/>
        </w:rPr>
        <w:t>παρακαταθήκης</w:t>
      </w:r>
      <w:r w:rsidR="00DD4D25" w:rsidRPr="00E32B2A">
        <w:rPr>
          <w:lang w:val="el-GR"/>
        </w:rPr>
        <w:t xml:space="preserve"> </w:t>
      </w:r>
      <w:r w:rsidR="00CD714A" w:rsidRPr="00E32B2A">
        <w:rPr>
          <w:lang w:val="el-GR"/>
        </w:rPr>
        <w:t xml:space="preserve">στη διαμόρφωση του ρόλου της Ελλάδας στην 4ΒΕ </w:t>
      </w:r>
      <w:r w:rsidRPr="00E32B2A">
        <w:rPr>
          <w:lang w:val="el-GR"/>
        </w:rPr>
        <w:t>υπάρχουν δυο προϋποθέσεις</w:t>
      </w:r>
      <w:r w:rsidR="00D27DC9" w:rsidRPr="00E32B2A">
        <w:rPr>
          <w:lang w:val="el-GR"/>
        </w:rPr>
        <w:t>:</w:t>
      </w:r>
    </w:p>
    <w:p w:rsidR="003E1BB3" w:rsidRPr="00E32B2A" w:rsidRDefault="003E1BB3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Πρώτα η</w:t>
      </w:r>
      <w:r w:rsidR="00DB1039" w:rsidRPr="00E32B2A">
        <w:rPr>
          <w:lang w:val="el-GR"/>
        </w:rPr>
        <w:t xml:space="preserve"> </w:t>
      </w:r>
      <w:r w:rsidR="007B33E1" w:rsidRPr="00E32B2A">
        <w:rPr>
          <w:lang w:val="el-GR"/>
        </w:rPr>
        <w:t xml:space="preserve">ανάσχεση </w:t>
      </w:r>
      <w:r w:rsidR="00DB1039" w:rsidRPr="00E32B2A">
        <w:rPr>
          <w:lang w:val="el-GR"/>
        </w:rPr>
        <w:t xml:space="preserve">του </w:t>
      </w:r>
      <w:r w:rsidR="007B33E1" w:rsidRPr="00E32B2A">
        <w:t>brain</w:t>
      </w:r>
      <w:r w:rsidR="007B33E1" w:rsidRPr="00E32B2A">
        <w:rPr>
          <w:lang w:val="el-GR"/>
        </w:rPr>
        <w:t xml:space="preserve"> </w:t>
      </w:r>
      <w:r w:rsidR="007B33E1" w:rsidRPr="00E32B2A">
        <w:t>drain</w:t>
      </w:r>
      <w:r w:rsidR="007B33E1" w:rsidRPr="00E32B2A">
        <w:rPr>
          <w:lang w:val="el-GR"/>
        </w:rPr>
        <w:t xml:space="preserve"> </w:t>
      </w:r>
      <w:r w:rsidRPr="00E32B2A">
        <w:rPr>
          <w:lang w:val="el-GR"/>
        </w:rPr>
        <w:t xml:space="preserve">που εντάθηκε ιδιαίτερα τα χρόνια της κρίσης. </w:t>
      </w:r>
    </w:p>
    <w:p w:rsidR="00DB1039" w:rsidRPr="00E32B2A" w:rsidRDefault="003E1BB3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 xml:space="preserve">Τα μέτρα που έχουμε λάβει, και </w:t>
      </w:r>
      <w:r w:rsidR="007B33E1" w:rsidRPr="00E32B2A">
        <w:rPr>
          <w:lang w:val="el-GR"/>
        </w:rPr>
        <w:t>απευθύνονται τόσο στον δημόσιο όσο και τον ιδιωτικό τομ</w:t>
      </w:r>
      <w:r w:rsidRPr="00E32B2A">
        <w:rPr>
          <w:lang w:val="el-GR"/>
        </w:rPr>
        <w:t xml:space="preserve">έα, </w:t>
      </w:r>
      <w:r w:rsidR="007B33E1" w:rsidRPr="00E32B2A">
        <w:rPr>
          <w:lang w:val="el-GR"/>
        </w:rPr>
        <w:t>ήδη έχουν αρχίσει να αποφέρουν τα πρώτα θετικά αποτελέσματα. Για παράδειγμα</w:t>
      </w:r>
      <w:r w:rsidR="006A7B16" w:rsidRPr="00E32B2A">
        <w:rPr>
          <w:lang w:val="el-GR"/>
        </w:rPr>
        <w:t>,</w:t>
      </w:r>
      <w:r w:rsidR="007B33E1" w:rsidRPr="00E32B2A">
        <w:rPr>
          <w:lang w:val="el-GR"/>
        </w:rPr>
        <w:t xml:space="preserve"> από τους 1300 ωφελούμενους των δυο πρώτων δράσεων του ΕΛΙΔΕΚ, </w:t>
      </w:r>
      <w:r w:rsidRPr="00E32B2A">
        <w:rPr>
          <w:lang w:val="el-GR"/>
        </w:rPr>
        <w:t>π</w:t>
      </w:r>
      <w:r w:rsidR="006A7B16" w:rsidRPr="00E32B2A">
        <w:rPr>
          <w:lang w:val="el-GR"/>
        </w:rPr>
        <w:t>ερισσότεροι</w:t>
      </w:r>
      <w:r w:rsidRPr="00E32B2A">
        <w:rPr>
          <w:lang w:val="el-GR"/>
        </w:rPr>
        <w:t xml:space="preserve"> από τους μισούς</w:t>
      </w:r>
      <w:r w:rsidR="007B33E1" w:rsidRPr="00E32B2A">
        <w:rPr>
          <w:lang w:val="el-GR"/>
        </w:rPr>
        <w:t xml:space="preserve"> παραμένουν ή επιστρέφουν στη χώρα εξαιτίας αυτών των δράσεων.</w:t>
      </w:r>
    </w:p>
    <w:p w:rsidR="007B33E1" w:rsidRPr="00E32B2A" w:rsidRDefault="003E1BB3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t>Δεύτερη προϋπόθεση είναι η</w:t>
      </w:r>
      <w:r w:rsidR="007B33E1" w:rsidRPr="00E32B2A">
        <w:rPr>
          <w:lang w:val="el-GR"/>
        </w:rPr>
        <w:t xml:space="preserve"> αναδιάταξη του τοπίου της </w:t>
      </w:r>
      <w:r w:rsidR="006A7B16" w:rsidRPr="00E32B2A">
        <w:rPr>
          <w:lang w:val="el-GR"/>
        </w:rPr>
        <w:t>Α</w:t>
      </w:r>
      <w:r w:rsidR="007B33E1" w:rsidRPr="00E32B2A">
        <w:rPr>
          <w:lang w:val="el-GR"/>
        </w:rPr>
        <w:t xml:space="preserve">νώτατης </w:t>
      </w:r>
      <w:r w:rsidR="00CD714A" w:rsidRPr="00E32B2A">
        <w:rPr>
          <w:lang w:val="el-GR"/>
        </w:rPr>
        <w:t xml:space="preserve">Τεχνολογικής </w:t>
      </w:r>
      <w:r w:rsidR="006A7B16" w:rsidRPr="00E32B2A">
        <w:rPr>
          <w:lang w:val="el-GR"/>
        </w:rPr>
        <w:t>Ε</w:t>
      </w:r>
      <w:r w:rsidR="007B33E1" w:rsidRPr="00E32B2A">
        <w:rPr>
          <w:lang w:val="el-GR"/>
        </w:rPr>
        <w:t xml:space="preserve">κπαίδευσης, η διαμόρφωση νέων δεξιοτήτων και ο εμπλουτισμός παλαιότερων.  </w:t>
      </w:r>
      <w:r w:rsidR="00CD714A" w:rsidRPr="00E32B2A">
        <w:rPr>
          <w:lang w:val="el-GR"/>
        </w:rPr>
        <w:t xml:space="preserve">Τα ΤΕΙ ως κατεξοχήν παραγωγοί ειδικοτήτων </w:t>
      </w:r>
      <w:r w:rsidR="00CD714A" w:rsidRPr="00E32B2A">
        <w:t>STEM</w:t>
      </w:r>
      <w:r w:rsidR="00CD714A" w:rsidRPr="00E32B2A">
        <w:rPr>
          <w:lang w:val="el-GR"/>
        </w:rPr>
        <w:t xml:space="preserve"> βρίσκονται στον πυρήνα αυτής της προσπάθειας.</w:t>
      </w:r>
    </w:p>
    <w:p w:rsidR="00BF010D" w:rsidRPr="00E32B2A" w:rsidRDefault="007B33E1" w:rsidP="009F5B05">
      <w:pPr>
        <w:ind w:left="360"/>
        <w:jc w:val="both"/>
        <w:rPr>
          <w:lang w:val="el-GR"/>
        </w:rPr>
      </w:pPr>
      <w:r w:rsidRPr="00E32B2A">
        <w:rPr>
          <w:lang w:val="el-GR"/>
        </w:rPr>
        <w:lastRenderedPageBreak/>
        <w:t>Κλε</w:t>
      </w:r>
      <w:r w:rsidR="003E1BB3" w:rsidRPr="00E32B2A">
        <w:rPr>
          <w:lang w:val="el-GR"/>
        </w:rPr>
        <w:t>ίνω</w:t>
      </w:r>
      <w:r w:rsidR="00CD714A" w:rsidRPr="00E32B2A">
        <w:rPr>
          <w:lang w:val="el-GR"/>
        </w:rPr>
        <w:t xml:space="preserve"> λοιπόν</w:t>
      </w:r>
      <w:r w:rsidRPr="00E32B2A">
        <w:rPr>
          <w:lang w:val="el-GR"/>
        </w:rPr>
        <w:t xml:space="preserve"> επισημαίνοντας ότι </w:t>
      </w:r>
      <w:r w:rsidR="00CD714A" w:rsidRPr="00E32B2A">
        <w:rPr>
          <w:lang w:val="el-GR"/>
        </w:rPr>
        <w:t>η συμβολή στην 4ΒΕ</w:t>
      </w:r>
      <w:r w:rsidRPr="00E32B2A">
        <w:rPr>
          <w:lang w:val="el-GR"/>
        </w:rPr>
        <w:t xml:space="preserve"> είναι μια πρόσθετη διάσταση που υπηρετεί το προς ψήφιση νομοσχέδιο </w:t>
      </w:r>
      <w:r w:rsidR="00CD714A" w:rsidRPr="00E32B2A">
        <w:rPr>
          <w:lang w:val="el-GR"/>
        </w:rPr>
        <w:t xml:space="preserve">δημιουργώντας </w:t>
      </w:r>
      <w:r w:rsidRPr="00E32B2A">
        <w:rPr>
          <w:lang w:val="el-GR"/>
        </w:rPr>
        <w:t>προοπτικές κι ευκαιρίες για τη νέα γενιά και το μέλλον της χώρας</w:t>
      </w:r>
      <w:r w:rsidR="00E32B2A">
        <w:rPr>
          <w:lang w:val="el-GR"/>
        </w:rPr>
        <w:t>»</w:t>
      </w:r>
      <w:r w:rsidRPr="00E32B2A">
        <w:rPr>
          <w:lang w:val="el-GR"/>
        </w:rPr>
        <w:t xml:space="preserve">. </w:t>
      </w:r>
    </w:p>
    <w:sectPr w:rsidR="00BF010D" w:rsidRPr="00E32B2A" w:rsidSect="00CD714A">
      <w:footerReference w:type="default" r:id="rId10"/>
      <w:pgSz w:w="11906" w:h="16838"/>
      <w:pgMar w:top="709" w:right="1133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43" w:rsidRDefault="00537043">
      <w:pPr>
        <w:spacing w:after="0" w:line="240" w:lineRule="auto"/>
      </w:pPr>
      <w:r>
        <w:separator/>
      </w:r>
    </w:p>
  </w:endnote>
  <w:endnote w:type="continuationSeparator" w:id="0">
    <w:p w:rsidR="00537043" w:rsidRDefault="0053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B8" w:rsidRPr="00EB2518" w:rsidRDefault="00EB2518" w:rsidP="00EB2518">
    <w:pPr>
      <w:pStyle w:val="a4"/>
      <w:tabs>
        <w:tab w:val="clear" w:pos="4153"/>
        <w:tab w:val="clear" w:pos="8306"/>
      </w:tabs>
      <w:jc w:val="center"/>
      <w:rPr>
        <w:b/>
        <w:sz w:val="20"/>
        <w:szCs w:val="20"/>
      </w:rPr>
    </w:pPr>
    <w:r>
      <w:rPr>
        <w:b/>
        <w:sz w:val="44"/>
        <w:szCs w:val="44"/>
      </w:rPr>
      <w:tab/>
      <w:t xml:space="preserve">                               </w:t>
    </w:r>
    <w:r>
      <w:rPr>
        <w:b/>
        <w:sz w:val="44"/>
        <w:szCs w:val="44"/>
      </w:rPr>
      <w:tab/>
      <w:t xml:space="preserve">                     </w:t>
    </w:r>
  </w:p>
  <w:p w:rsidR="00715AB8" w:rsidRDefault="00715A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43" w:rsidRDefault="00537043">
      <w:pPr>
        <w:spacing w:after="0" w:line="240" w:lineRule="auto"/>
      </w:pPr>
      <w:r>
        <w:separator/>
      </w:r>
    </w:p>
  </w:footnote>
  <w:footnote w:type="continuationSeparator" w:id="0">
    <w:p w:rsidR="00537043" w:rsidRDefault="0053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668"/>
    <w:multiLevelType w:val="hybridMultilevel"/>
    <w:tmpl w:val="1A5EF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067"/>
    <w:multiLevelType w:val="hybridMultilevel"/>
    <w:tmpl w:val="6EC84C5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B41AE0"/>
    <w:multiLevelType w:val="hybridMultilevel"/>
    <w:tmpl w:val="36E2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3909"/>
    <w:multiLevelType w:val="hybridMultilevel"/>
    <w:tmpl w:val="2D4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40651"/>
    <w:multiLevelType w:val="hybridMultilevel"/>
    <w:tmpl w:val="CA606212"/>
    <w:lvl w:ilvl="0" w:tplc="7F961F08"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719E8"/>
    <w:multiLevelType w:val="hybridMultilevel"/>
    <w:tmpl w:val="5324E6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3BD6D71"/>
    <w:multiLevelType w:val="hybridMultilevel"/>
    <w:tmpl w:val="D1D44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F07DF"/>
    <w:multiLevelType w:val="hybridMultilevel"/>
    <w:tmpl w:val="B3CE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C2505"/>
    <w:multiLevelType w:val="hybridMultilevel"/>
    <w:tmpl w:val="EA4E727C"/>
    <w:lvl w:ilvl="0" w:tplc="7F961F08">
      <w:numFmt w:val="bullet"/>
      <w:lvlText w:val="-"/>
      <w:lvlJc w:val="left"/>
      <w:pPr>
        <w:ind w:left="180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B25BD7"/>
    <w:multiLevelType w:val="hybridMultilevel"/>
    <w:tmpl w:val="0A22F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8097E"/>
    <w:multiLevelType w:val="hybridMultilevel"/>
    <w:tmpl w:val="90C69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4C1E"/>
    <w:multiLevelType w:val="hybridMultilevel"/>
    <w:tmpl w:val="129A2586"/>
    <w:lvl w:ilvl="0" w:tplc="7F961F08"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A03C2"/>
    <w:multiLevelType w:val="hybridMultilevel"/>
    <w:tmpl w:val="BDD87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F305D"/>
    <w:multiLevelType w:val="hybridMultilevel"/>
    <w:tmpl w:val="28D251B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6A277F"/>
    <w:multiLevelType w:val="hybridMultilevel"/>
    <w:tmpl w:val="351608CC"/>
    <w:lvl w:ilvl="0" w:tplc="500EA21A">
      <w:numFmt w:val="bullet"/>
      <w:lvlText w:val="-"/>
      <w:lvlJc w:val="left"/>
      <w:pPr>
        <w:ind w:left="42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5">
    <w:nsid w:val="33BB57FB"/>
    <w:multiLevelType w:val="hybridMultilevel"/>
    <w:tmpl w:val="DF02F63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1DA"/>
    <w:multiLevelType w:val="hybridMultilevel"/>
    <w:tmpl w:val="BAB42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81E53"/>
    <w:multiLevelType w:val="hybridMultilevel"/>
    <w:tmpl w:val="263E94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930150"/>
    <w:multiLevelType w:val="hybridMultilevel"/>
    <w:tmpl w:val="D554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3234"/>
    <w:multiLevelType w:val="hybridMultilevel"/>
    <w:tmpl w:val="D7080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7247D0"/>
    <w:multiLevelType w:val="hybridMultilevel"/>
    <w:tmpl w:val="D81A1CC6"/>
    <w:lvl w:ilvl="0" w:tplc="B8D43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7E5F31"/>
    <w:multiLevelType w:val="hybridMultilevel"/>
    <w:tmpl w:val="3B688312"/>
    <w:lvl w:ilvl="0" w:tplc="7F961F08">
      <w:numFmt w:val="bullet"/>
      <w:lvlText w:val="-"/>
      <w:lvlJc w:val="left"/>
      <w:pPr>
        <w:ind w:left="360" w:hanging="360"/>
      </w:pPr>
      <w:rPr>
        <w:rFonts w:ascii="Cambria" w:eastAsiaTheme="minorEastAsia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A87CAB"/>
    <w:multiLevelType w:val="hybridMultilevel"/>
    <w:tmpl w:val="EC1C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B70BF"/>
    <w:multiLevelType w:val="hybridMultilevel"/>
    <w:tmpl w:val="3C005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A0B89"/>
    <w:multiLevelType w:val="hybridMultilevel"/>
    <w:tmpl w:val="93F823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0E4E84"/>
    <w:multiLevelType w:val="hybridMultilevel"/>
    <w:tmpl w:val="5C84B8CC"/>
    <w:lvl w:ilvl="0" w:tplc="B8D43F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9D2520"/>
    <w:multiLevelType w:val="hybridMultilevel"/>
    <w:tmpl w:val="E8F6A19C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9"/>
  </w:num>
  <w:num w:numId="5">
    <w:abstractNumId w:val="24"/>
  </w:num>
  <w:num w:numId="6">
    <w:abstractNumId w:val="7"/>
  </w:num>
  <w:num w:numId="7">
    <w:abstractNumId w:val="17"/>
  </w:num>
  <w:num w:numId="8">
    <w:abstractNumId w:val="10"/>
  </w:num>
  <w:num w:numId="9">
    <w:abstractNumId w:val="4"/>
  </w:num>
  <w:num w:numId="10">
    <w:abstractNumId w:val="15"/>
  </w:num>
  <w:num w:numId="11">
    <w:abstractNumId w:val="22"/>
  </w:num>
  <w:num w:numId="12">
    <w:abstractNumId w:val="21"/>
  </w:num>
  <w:num w:numId="13">
    <w:abstractNumId w:val="8"/>
  </w:num>
  <w:num w:numId="14">
    <w:abstractNumId w:val="11"/>
  </w:num>
  <w:num w:numId="15">
    <w:abstractNumId w:val="20"/>
  </w:num>
  <w:num w:numId="16">
    <w:abstractNumId w:val="1"/>
  </w:num>
  <w:num w:numId="17">
    <w:abstractNumId w:val="18"/>
  </w:num>
  <w:num w:numId="18">
    <w:abstractNumId w:val="13"/>
  </w:num>
  <w:num w:numId="19">
    <w:abstractNumId w:val="23"/>
  </w:num>
  <w:num w:numId="20">
    <w:abstractNumId w:val="26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54"/>
    <w:rsid w:val="00000638"/>
    <w:rsid w:val="00004A97"/>
    <w:rsid w:val="00026105"/>
    <w:rsid w:val="0002737B"/>
    <w:rsid w:val="00035E3F"/>
    <w:rsid w:val="00046DE9"/>
    <w:rsid w:val="00047AF6"/>
    <w:rsid w:val="00060CC5"/>
    <w:rsid w:val="00064C62"/>
    <w:rsid w:val="00070F4A"/>
    <w:rsid w:val="00076DDD"/>
    <w:rsid w:val="000B6D62"/>
    <w:rsid w:val="000C374C"/>
    <w:rsid w:val="000C4EE6"/>
    <w:rsid w:val="000C4F22"/>
    <w:rsid w:val="000C6AD1"/>
    <w:rsid w:val="000D55C2"/>
    <w:rsid w:val="000F53D7"/>
    <w:rsid w:val="001043A4"/>
    <w:rsid w:val="00115B3B"/>
    <w:rsid w:val="001164FF"/>
    <w:rsid w:val="001216CD"/>
    <w:rsid w:val="0012465E"/>
    <w:rsid w:val="00124CF2"/>
    <w:rsid w:val="00145027"/>
    <w:rsid w:val="001542DA"/>
    <w:rsid w:val="0016077B"/>
    <w:rsid w:val="00161BBA"/>
    <w:rsid w:val="001824FE"/>
    <w:rsid w:val="00184790"/>
    <w:rsid w:val="001B459F"/>
    <w:rsid w:val="001B5999"/>
    <w:rsid w:val="001C00B3"/>
    <w:rsid w:val="001C11D4"/>
    <w:rsid w:val="001C241B"/>
    <w:rsid w:val="001C6396"/>
    <w:rsid w:val="001D53FF"/>
    <w:rsid w:val="001D5A6C"/>
    <w:rsid w:val="001E2332"/>
    <w:rsid w:val="001E3396"/>
    <w:rsid w:val="001E3960"/>
    <w:rsid w:val="001F1C30"/>
    <w:rsid w:val="001F6CF9"/>
    <w:rsid w:val="00210CB4"/>
    <w:rsid w:val="00215626"/>
    <w:rsid w:val="00220617"/>
    <w:rsid w:val="00236901"/>
    <w:rsid w:val="00252CFB"/>
    <w:rsid w:val="00253F1A"/>
    <w:rsid w:val="00270EB5"/>
    <w:rsid w:val="00286ABF"/>
    <w:rsid w:val="002943EA"/>
    <w:rsid w:val="00294E74"/>
    <w:rsid w:val="002A08A4"/>
    <w:rsid w:val="002A2D25"/>
    <w:rsid w:val="002A45D0"/>
    <w:rsid w:val="002A72E2"/>
    <w:rsid w:val="002C4469"/>
    <w:rsid w:val="002C5672"/>
    <w:rsid w:val="002D2616"/>
    <w:rsid w:val="002D4831"/>
    <w:rsid w:val="002E610B"/>
    <w:rsid w:val="002E70E4"/>
    <w:rsid w:val="002F7D26"/>
    <w:rsid w:val="0033463C"/>
    <w:rsid w:val="0034486F"/>
    <w:rsid w:val="00351B44"/>
    <w:rsid w:val="003672DF"/>
    <w:rsid w:val="0037136A"/>
    <w:rsid w:val="00376C32"/>
    <w:rsid w:val="0038617A"/>
    <w:rsid w:val="00394A14"/>
    <w:rsid w:val="00397343"/>
    <w:rsid w:val="003A095C"/>
    <w:rsid w:val="003A0C6C"/>
    <w:rsid w:val="003A42D7"/>
    <w:rsid w:val="003B0597"/>
    <w:rsid w:val="003C17AE"/>
    <w:rsid w:val="003C3685"/>
    <w:rsid w:val="003C4976"/>
    <w:rsid w:val="003C4A1A"/>
    <w:rsid w:val="003D051F"/>
    <w:rsid w:val="003D18EA"/>
    <w:rsid w:val="003D4633"/>
    <w:rsid w:val="003E1BB3"/>
    <w:rsid w:val="003E6488"/>
    <w:rsid w:val="003F459C"/>
    <w:rsid w:val="004007BD"/>
    <w:rsid w:val="00410B9F"/>
    <w:rsid w:val="00413144"/>
    <w:rsid w:val="00422141"/>
    <w:rsid w:val="00423848"/>
    <w:rsid w:val="00426E94"/>
    <w:rsid w:val="0045741C"/>
    <w:rsid w:val="00457C82"/>
    <w:rsid w:val="004622FE"/>
    <w:rsid w:val="00477AB7"/>
    <w:rsid w:val="00484B59"/>
    <w:rsid w:val="00494A60"/>
    <w:rsid w:val="00494C42"/>
    <w:rsid w:val="004967E8"/>
    <w:rsid w:val="004A6E65"/>
    <w:rsid w:val="004B6162"/>
    <w:rsid w:val="004C7CC3"/>
    <w:rsid w:val="004D4476"/>
    <w:rsid w:val="004D7DE0"/>
    <w:rsid w:val="004E0B4D"/>
    <w:rsid w:val="004F57D0"/>
    <w:rsid w:val="00521309"/>
    <w:rsid w:val="00530CA9"/>
    <w:rsid w:val="00532B11"/>
    <w:rsid w:val="00537043"/>
    <w:rsid w:val="005447C8"/>
    <w:rsid w:val="005526B6"/>
    <w:rsid w:val="005606C1"/>
    <w:rsid w:val="00563454"/>
    <w:rsid w:val="00566DFF"/>
    <w:rsid w:val="00570496"/>
    <w:rsid w:val="005704EF"/>
    <w:rsid w:val="00576506"/>
    <w:rsid w:val="00580721"/>
    <w:rsid w:val="00597B82"/>
    <w:rsid w:val="005A6098"/>
    <w:rsid w:val="005B192E"/>
    <w:rsid w:val="005B5FAB"/>
    <w:rsid w:val="005D0B15"/>
    <w:rsid w:val="005D68DF"/>
    <w:rsid w:val="005D7FAE"/>
    <w:rsid w:val="005F1E77"/>
    <w:rsid w:val="005F3889"/>
    <w:rsid w:val="00601224"/>
    <w:rsid w:val="006047DA"/>
    <w:rsid w:val="006055B3"/>
    <w:rsid w:val="006076FE"/>
    <w:rsid w:val="006225CA"/>
    <w:rsid w:val="00624201"/>
    <w:rsid w:val="006261C3"/>
    <w:rsid w:val="00651C17"/>
    <w:rsid w:val="006617E8"/>
    <w:rsid w:val="0067792F"/>
    <w:rsid w:val="0068121B"/>
    <w:rsid w:val="006918F4"/>
    <w:rsid w:val="00695296"/>
    <w:rsid w:val="006A7B16"/>
    <w:rsid w:val="006B0AB7"/>
    <w:rsid w:val="006B1164"/>
    <w:rsid w:val="006C6E1D"/>
    <w:rsid w:val="006E1C45"/>
    <w:rsid w:val="006E5641"/>
    <w:rsid w:val="006F3D0B"/>
    <w:rsid w:val="006F79D5"/>
    <w:rsid w:val="00701CCB"/>
    <w:rsid w:val="00705019"/>
    <w:rsid w:val="00715AB8"/>
    <w:rsid w:val="007164F3"/>
    <w:rsid w:val="00747EBB"/>
    <w:rsid w:val="0075610F"/>
    <w:rsid w:val="0077003F"/>
    <w:rsid w:val="00785681"/>
    <w:rsid w:val="00790756"/>
    <w:rsid w:val="00795D2D"/>
    <w:rsid w:val="007A437A"/>
    <w:rsid w:val="007A6A49"/>
    <w:rsid w:val="007A71CD"/>
    <w:rsid w:val="007B024C"/>
    <w:rsid w:val="007B04E3"/>
    <w:rsid w:val="007B1CB2"/>
    <w:rsid w:val="007B33E1"/>
    <w:rsid w:val="007B4846"/>
    <w:rsid w:val="007E01AE"/>
    <w:rsid w:val="007F4346"/>
    <w:rsid w:val="00803FD0"/>
    <w:rsid w:val="00813BAE"/>
    <w:rsid w:val="00817684"/>
    <w:rsid w:val="0084130B"/>
    <w:rsid w:val="00843653"/>
    <w:rsid w:val="008443BD"/>
    <w:rsid w:val="0085441C"/>
    <w:rsid w:val="00857631"/>
    <w:rsid w:val="008633DB"/>
    <w:rsid w:val="00874A95"/>
    <w:rsid w:val="00882038"/>
    <w:rsid w:val="00884D8D"/>
    <w:rsid w:val="008A0302"/>
    <w:rsid w:val="008A1678"/>
    <w:rsid w:val="008A35ED"/>
    <w:rsid w:val="008B42B9"/>
    <w:rsid w:val="008C07AA"/>
    <w:rsid w:val="008D6FF2"/>
    <w:rsid w:val="008E0DAA"/>
    <w:rsid w:val="008E40FD"/>
    <w:rsid w:val="008F4A6C"/>
    <w:rsid w:val="008F73AF"/>
    <w:rsid w:val="0090410D"/>
    <w:rsid w:val="00905885"/>
    <w:rsid w:val="00914ACD"/>
    <w:rsid w:val="00916018"/>
    <w:rsid w:val="0091730B"/>
    <w:rsid w:val="009345AF"/>
    <w:rsid w:val="00944412"/>
    <w:rsid w:val="0096581E"/>
    <w:rsid w:val="009704B3"/>
    <w:rsid w:val="009875F1"/>
    <w:rsid w:val="0099284E"/>
    <w:rsid w:val="00994126"/>
    <w:rsid w:val="00997736"/>
    <w:rsid w:val="00997A3F"/>
    <w:rsid w:val="009B3C92"/>
    <w:rsid w:val="009B5628"/>
    <w:rsid w:val="009C2D5A"/>
    <w:rsid w:val="009C65DE"/>
    <w:rsid w:val="009C6D17"/>
    <w:rsid w:val="009D44E4"/>
    <w:rsid w:val="009F5B05"/>
    <w:rsid w:val="009F60C0"/>
    <w:rsid w:val="00A160C5"/>
    <w:rsid w:val="00A16762"/>
    <w:rsid w:val="00A27A51"/>
    <w:rsid w:val="00A36683"/>
    <w:rsid w:val="00A44AE0"/>
    <w:rsid w:val="00A60145"/>
    <w:rsid w:val="00A65050"/>
    <w:rsid w:val="00AA5994"/>
    <w:rsid w:val="00AB3572"/>
    <w:rsid w:val="00AB60FC"/>
    <w:rsid w:val="00AD4238"/>
    <w:rsid w:val="00AE00F3"/>
    <w:rsid w:val="00B0349E"/>
    <w:rsid w:val="00B3343D"/>
    <w:rsid w:val="00B567B4"/>
    <w:rsid w:val="00B57396"/>
    <w:rsid w:val="00B575A6"/>
    <w:rsid w:val="00B65791"/>
    <w:rsid w:val="00B71BF4"/>
    <w:rsid w:val="00B77CC4"/>
    <w:rsid w:val="00B90524"/>
    <w:rsid w:val="00B94A09"/>
    <w:rsid w:val="00B97AAE"/>
    <w:rsid w:val="00BA50A1"/>
    <w:rsid w:val="00BA66C0"/>
    <w:rsid w:val="00BB2AFD"/>
    <w:rsid w:val="00BB4044"/>
    <w:rsid w:val="00BC4324"/>
    <w:rsid w:val="00BC7901"/>
    <w:rsid w:val="00BD0E6E"/>
    <w:rsid w:val="00BD2328"/>
    <w:rsid w:val="00BE3F04"/>
    <w:rsid w:val="00BF010D"/>
    <w:rsid w:val="00BF1E7A"/>
    <w:rsid w:val="00C05B11"/>
    <w:rsid w:val="00C13F08"/>
    <w:rsid w:val="00C23612"/>
    <w:rsid w:val="00C24CB6"/>
    <w:rsid w:val="00C64731"/>
    <w:rsid w:val="00C65398"/>
    <w:rsid w:val="00C711CB"/>
    <w:rsid w:val="00C72691"/>
    <w:rsid w:val="00C876AE"/>
    <w:rsid w:val="00CB192F"/>
    <w:rsid w:val="00CC59C2"/>
    <w:rsid w:val="00CC7127"/>
    <w:rsid w:val="00CC7EF7"/>
    <w:rsid w:val="00CD714A"/>
    <w:rsid w:val="00D05349"/>
    <w:rsid w:val="00D17AC3"/>
    <w:rsid w:val="00D27DC9"/>
    <w:rsid w:val="00D41184"/>
    <w:rsid w:val="00D46AEF"/>
    <w:rsid w:val="00D47F99"/>
    <w:rsid w:val="00D62DED"/>
    <w:rsid w:val="00D661E2"/>
    <w:rsid w:val="00D707AD"/>
    <w:rsid w:val="00D710DD"/>
    <w:rsid w:val="00D73A4A"/>
    <w:rsid w:val="00D7506C"/>
    <w:rsid w:val="00D84BBC"/>
    <w:rsid w:val="00D93C41"/>
    <w:rsid w:val="00D94633"/>
    <w:rsid w:val="00D953F0"/>
    <w:rsid w:val="00DB1039"/>
    <w:rsid w:val="00DD4D25"/>
    <w:rsid w:val="00DD7783"/>
    <w:rsid w:val="00DE14F7"/>
    <w:rsid w:val="00DF0933"/>
    <w:rsid w:val="00DF7B45"/>
    <w:rsid w:val="00E0419E"/>
    <w:rsid w:val="00E10488"/>
    <w:rsid w:val="00E14B1E"/>
    <w:rsid w:val="00E1543D"/>
    <w:rsid w:val="00E267BF"/>
    <w:rsid w:val="00E32B2A"/>
    <w:rsid w:val="00E41AF9"/>
    <w:rsid w:val="00E660F7"/>
    <w:rsid w:val="00E7144B"/>
    <w:rsid w:val="00E741D8"/>
    <w:rsid w:val="00E81244"/>
    <w:rsid w:val="00E9631F"/>
    <w:rsid w:val="00EB2518"/>
    <w:rsid w:val="00EB3A03"/>
    <w:rsid w:val="00EC5130"/>
    <w:rsid w:val="00ED69A3"/>
    <w:rsid w:val="00EE1351"/>
    <w:rsid w:val="00EE332E"/>
    <w:rsid w:val="00EE6DC3"/>
    <w:rsid w:val="00EF0B3A"/>
    <w:rsid w:val="00EF7576"/>
    <w:rsid w:val="00F2139B"/>
    <w:rsid w:val="00F36D3B"/>
    <w:rsid w:val="00F43659"/>
    <w:rsid w:val="00F4526C"/>
    <w:rsid w:val="00F57630"/>
    <w:rsid w:val="00F659D8"/>
    <w:rsid w:val="00F7565F"/>
    <w:rsid w:val="00F8575A"/>
    <w:rsid w:val="00F90763"/>
    <w:rsid w:val="00FE1222"/>
    <w:rsid w:val="00FF48F8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1B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C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locked/>
    <w:rsid w:val="001C241B"/>
    <w:rPr>
      <w:rFonts w:eastAsiaTheme="minorEastAsia" w:cs="Times New Roman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F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8F4A6C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EB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B2518"/>
    <w:rPr>
      <w:rFonts w:eastAsiaTheme="minorEastAsia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1B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C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locked/>
    <w:rsid w:val="001C241B"/>
    <w:rPr>
      <w:rFonts w:eastAsiaTheme="minorEastAsia" w:cs="Times New Roman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F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8F4A6C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EB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B2518"/>
    <w:rPr>
      <w:rFonts w:eastAsiaTheme="minorEastAsi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63D1-4FEA-41BE-82D7-F600B1D5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1255</Words>
  <Characters>6780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Δαμουράκη</dc:creator>
  <cp:lastModifiedBy>Μαρία Παπαϊωάννου</cp:lastModifiedBy>
  <cp:revision>7</cp:revision>
  <cp:lastPrinted>2019-04-22T07:14:00Z</cp:lastPrinted>
  <dcterms:created xsi:type="dcterms:W3CDTF">2019-04-22T08:17:00Z</dcterms:created>
  <dcterms:modified xsi:type="dcterms:W3CDTF">2019-04-22T14:14:00Z</dcterms:modified>
</cp:coreProperties>
</file>