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14:paraId="589BF4DA" w14:textId="77777777" w:rsidTr="005B088C">
        <w:tc>
          <w:tcPr>
            <w:tcW w:w="4673" w:type="dxa"/>
          </w:tcPr>
          <w:p w14:paraId="3519BC7E" w14:textId="77777777"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 w14:anchorId="4060C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8" o:title="" croptop="-2039f" cropleft="7840f"/>
                </v:shape>
                <o:OLEObject Type="Embed" ProgID="PBrush" ShapeID="_x0000_i1025" DrawAspect="Content" ObjectID="_1638362432" r:id="rId9"/>
              </w:object>
            </w:r>
          </w:p>
        </w:tc>
        <w:tc>
          <w:tcPr>
            <w:tcW w:w="4777" w:type="dxa"/>
          </w:tcPr>
          <w:p w14:paraId="3760F6AE" w14:textId="77777777"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14:paraId="1DE440F0" w14:textId="77777777"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5C9908C0" wp14:editId="75F189E9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D3BD7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14:paraId="00BD8F7C" w14:textId="77777777" w:rsidR="00B20890" w:rsidRPr="00105C89" w:rsidRDefault="00B20890" w:rsidP="00B20890">
      <w:pPr>
        <w:spacing w:after="0" w:line="240" w:lineRule="auto"/>
        <w:rPr>
          <w:rFonts w:ascii="Candara" w:hAnsi="Candara"/>
          <w:lang w:val="el-GR"/>
        </w:rPr>
      </w:pPr>
      <w:r w:rsidRPr="00105C89">
        <w:rPr>
          <w:rFonts w:ascii="Candara" w:hAnsi="Candara"/>
          <w:lang w:val="el-GR"/>
        </w:rPr>
        <w:t>ΥΠΟΥΡΓΕΙΟ ΑΝΑΠΤΥΞΗΣ ΚΑΙ ΕΠΕΝΔΥΣΕΩΝ</w:t>
      </w:r>
    </w:p>
    <w:p w14:paraId="03363C93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105C89">
        <w:rPr>
          <w:rFonts w:ascii="Candara" w:eastAsia="Calibri" w:hAnsi="Candara" w:cstheme="minorHAnsi"/>
          <w:lang w:val="el-GR"/>
        </w:rPr>
        <w:t>ΓΕΝΙΚΗ ΓΡΑΜΜΑΤΕΙΑ ΕΡΕΥΝΑΣ ΚΑΙ ΤΕΧΝΟΛΟΓΙΑΣ</w:t>
      </w:r>
      <w:r w:rsidRPr="0066765A">
        <w:rPr>
          <w:rFonts w:ascii="Candara" w:hAnsi="Candara" w:cs="Times New Roman"/>
          <w:b/>
          <w:lang w:val="el-GR"/>
        </w:rPr>
        <w:tab/>
      </w:r>
    </w:p>
    <w:p w14:paraId="52BE938B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14:paraId="742F0D0D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14:paraId="4C149D3D" w14:textId="77777777" w:rsidR="00B20890" w:rsidRPr="004853A6" w:rsidRDefault="00B20890" w:rsidP="00B20890">
      <w:pPr>
        <w:spacing w:after="0" w:line="240" w:lineRule="auto"/>
        <w:rPr>
          <w:rFonts w:ascii="Candara" w:hAnsi="Candara" w:cs="Times New Roman"/>
          <w:sz w:val="20"/>
          <w:lang w:val="el-GR"/>
        </w:rPr>
      </w:pPr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Ταχ. Διεύθυνση: Βασ. Σοφίας 127, 115 21 Αθήνα</w:t>
      </w:r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br/>
        <w:t xml:space="preserve">Ιστοσελίδα: </w:t>
      </w:r>
      <w:r w:rsidRPr="004853A6">
        <w:rPr>
          <w:rStyle w:val="Hyperlink"/>
          <w:rFonts w:ascii="Candara" w:hAnsi="Candara"/>
          <w:sz w:val="20"/>
          <w:lang w:val="el-GR"/>
        </w:rPr>
        <w:t>www.elidek.gr</w:t>
      </w:r>
    </w:p>
    <w:p w14:paraId="4DE10E31" w14:textId="77777777" w:rsidR="00B20890" w:rsidRPr="004853A6" w:rsidRDefault="00B20890" w:rsidP="00B20890">
      <w:pPr>
        <w:spacing w:after="0" w:line="240" w:lineRule="auto"/>
        <w:rPr>
          <w:rFonts w:ascii="Candara" w:hAnsi="Candara" w:cs="Times New Roman"/>
          <w:sz w:val="20"/>
          <w:lang w:val="el-GR"/>
        </w:rPr>
      </w:pPr>
      <w:r>
        <w:rPr>
          <w:rFonts w:ascii="Candara" w:eastAsia="Times New Roman" w:hAnsi="Candara" w:cs="Times New Roman"/>
          <w:color w:val="222222"/>
          <w:sz w:val="20"/>
          <w:lang w:val="el-GR"/>
        </w:rPr>
        <w:t>Τμήμα Διοικητικών Υπηρεσιών</w:t>
      </w:r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br/>
        <w:t xml:space="preserve">Πληροφορίες: </w:t>
      </w:r>
      <w:r>
        <w:rPr>
          <w:rFonts w:ascii="Candara" w:eastAsia="Times New Roman" w:hAnsi="Candara" w:cs="Times New Roman"/>
          <w:color w:val="222222"/>
          <w:sz w:val="20"/>
          <w:lang w:val="el-GR"/>
        </w:rPr>
        <w:t xml:space="preserve">Ασπασία Τρευλάκη, Υπεύθυνη Επικοινωνίας </w:t>
      </w:r>
    </w:p>
    <w:p w14:paraId="4DEA5042" w14:textId="77777777" w:rsidR="00B20890" w:rsidRPr="004853A6" w:rsidRDefault="00B20890" w:rsidP="00B20890">
      <w:pPr>
        <w:spacing w:after="0" w:line="240" w:lineRule="auto"/>
        <w:rPr>
          <w:rFonts w:ascii="Candara" w:eastAsia="Times New Roman" w:hAnsi="Candara" w:cs="Times New Roman"/>
          <w:color w:val="222222"/>
          <w:sz w:val="20"/>
          <w:lang w:val="el-GR"/>
        </w:rPr>
      </w:pPr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Τηλ. Επικ.: 210 6412410, 420, Φαξ: 210 6412429</w:t>
      </w:r>
    </w:p>
    <w:p w14:paraId="3115C161" w14:textId="77777777" w:rsidR="00B20890" w:rsidRPr="00B20890" w:rsidRDefault="00B20890" w:rsidP="00B20890">
      <w:pPr>
        <w:spacing w:after="0" w:line="240" w:lineRule="auto"/>
        <w:rPr>
          <w:rFonts w:ascii="Candara" w:eastAsia="Times New Roman" w:hAnsi="Candara" w:cs="Times New Roman"/>
          <w:color w:val="222222"/>
          <w:sz w:val="20"/>
          <w:lang w:val="el-GR"/>
        </w:rPr>
      </w:pPr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 xml:space="preserve">Ηλ. Διεύθυνση: </w:t>
      </w:r>
      <w:hyperlink r:id="rId11" w:history="1">
        <w:r w:rsidRPr="004853A6">
          <w:rPr>
            <w:rStyle w:val="Hyperlink"/>
            <w:rFonts w:ascii="Candara" w:eastAsia="Times New Roman" w:hAnsi="Candara" w:cs="Times New Roman"/>
            <w:sz w:val="20"/>
            <w:lang w:val="el-GR"/>
          </w:rPr>
          <w:t>info@elidek.gr</w:t>
        </w:r>
      </w:hyperlink>
      <w:r w:rsidRPr="004853A6">
        <w:rPr>
          <w:rStyle w:val="Hyperlink"/>
          <w:rFonts w:ascii="Candara" w:eastAsia="Times New Roman" w:hAnsi="Candara" w:cs="Times New Roman"/>
          <w:color w:val="auto"/>
          <w:sz w:val="20"/>
          <w:u w:val="none"/>
          <w:lang w:val="el-GR"/>
        </w:rPr>
        <w:t xml:space="preserve">, </w:t>
      </w:r>
      <w:r>
        <w:rPr>
          <w:rStyle w:val="Hyperlink"/>
          <w:rFonts w:ascii="Candara" w:eastAsia="Times New Roman" w:hAnsi="Candara" w:cs="Times New Roman"/>
          <w:sz w:val="20"/>
        </w:rPr>
        <w:t>communication</w:t>
      </w:r>
      <w:r w:rsidRPr="00B20890">
        <w:rPr>
          <w:rStyle w:val="Hyperlink"/>
          <w:rFonts w:ascii="Candara" w:eastAsia="Times New Roman" w:hAnsi="Candara" w:cs="Times New Roman"/>
          <w:sz w:val="20"/>
          <w:lang w:val="el-GR"/>
        </w:rPr>
        <w:t>@</w:t>
      </w:r>
      <w:r>
        <w:rPr>
          <w:rStyle w:val="Hyperlink"/>
          <w:rFonts w:ascii="Candara" w:eastAsia="Times New Roman" w:hAnsi="Candara" w:cs="Times New Roman"/>
          <w:sz w:val="20"/>
        </w:rPr>
        <w:t>elidek</w:t>
      </w:r>
      <w:r w:rsidRPr="00B20890">
        <w:rPr>
          <w:rStyle w:val="Hyperlink"/>
          <w:rFonts w:ascii="Candara" w:eastAsia="Times New Roman" w:hAnsi="Candara" w:cs="Times New Roman"/>
          <w:sz w:val="20"/>
          <w:lang w:val="el-GR"/>
        </w:rPr>
        <w:t>.</w:t>
      </w:r>
      <w:r>
        <w:rPr>
          <w:rStyle w:val="Hyperlink"/>
          <w:rFonts w:ascii="Candara" w:eastAsia="Times New Roman" w:hAnsi="Candara" w:cs="Times New Roman"/>
          <w:sz w:val="20"/>
        </w:rPr>
        <w:t>gr</w:t>
      </w:r>
    </w:p>
    <w:p w14:paraId="2AA87211" w14:textId="77777777" w:rsidR="00380DBB" w:rsidRDefault="00380DBB" w:rsidP="00512707">
      <w:pPr>
        <w:rPr>
          <w:sz w:val="28"/>
          <w:szCs w:val="28"/>
          <w:lang w:val="el-GR"/>
        </w:rPr>
      </w:pPr>
    </w:p>
    <w:p w14:paraId="202C8706" w14:textId="7730E53B" w:rsidR="000E4EDE" w:rsidRPr="001D20C5" w:rsidRDefault="000041D5" w:rsidP="001D20C5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Παρασκευή</w:t>
      </w:r>
      <w:r w:rsidR="003E09C6" w:rsidRPr="00E31D98">
        <w:rPr>
          <w:rFonts w:ascii="Arial" w:hAnsi="Arial" w:cs="Arial"/>
          <w:color w:val="000000"/>
          <w:lang w:val="el-GR"/>
        </w:rPr>
        <w:t xml:space="preserve">, </w:t>
      </w:r>
      <w:r>
        <w:rPr>
          <w:rFonts w:ascii="Arial" w:hAnsi="Arial" w:cs="Arial"/>
          <w:color w:val="000000"/>
          <w:lang w:val="el-GR"/>
        </w:rPr>
        <w:t>20 Δεκεμβρίου</w:t>
      </w:r>
      <w:r w:rsidR="004864E9" w:rsidRPr="00E31D98">
        <w:rPr>
          <w:rFonts w:ascii="Arial" w:hAnsi="Arial" w:cs="Arial"/>
          <w:color w:val="000000"/>
          <w:lang w:val="el-GR"/>
        </w:rPr>
        <w:t xml:space="preserve"> 2019</w:t>
      </w:r>
    </w:p>
    <w:p w14:paraId="7FFD4357" w14:textId="77777777" w:rsidR="00FB2DE7" w:rsidRDefault="00FB2DE7" w:rsidP="0055088E">
      <w:pPr>
        <w:jc w:val="center"/>
        <w:rPr>
          <w:b/>
          <w:sz w:val="32"/>
          <w:szCs w:val="32"/>
          <w:lang w:val="el-GR"/>
        </w:rPr>
      </w:pPr>
    </w:p>
    <w:p w14:paraId="6744C612" w14:textId="476B71E5" w:rsidR="0055088E" w:rsidRDefault="0055088E" w:rsidP="0055088E">
      <w:pPr>
        <w:jc w:val="center"/>
        <w:rPr>
          <w:b/>
          <w:sz w:val="32"/>
          <w:szCs w:val="32"/>
          <w:lang w:val="el-GR"/>
        </w:rPr>
      </w:pPr>
      <w:r w:rsidRPr="00380DBB">
        <w:rPr>
          <w:b/>
          <w:sz w:val="32"/>
          <w:szCs w:val="32"/>
          <w:lang w:val="el-GR"/>
        </w:rPr>
        <w:t xml:space="preserve">ΔΕΛΤΙΟ ΤΥΠΟΥ </w:t>
      </w:r>
    </w:p>
    <w:p w14:paraId="4BABC617" w14:textId="7F499E1F" w:rsidR="000041D5" w:rsidRDefault="000041D5" w:rsidP="000041D5">
      <w:pPr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Ολοκληρώθηκε </w:t>
      </w:r>
      <w:r w:rsidRPr="000041D5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η διαδικασία αξιολόγησης </w:t>
      </w:r>
      <w:r w:rsidR="00781D85">
        <w:rPr>
          <w:rFonts w:ascii="Arial" w:hAnsi="Arial" w:cs="Arial"/>
          <w:b/>
          <w:color w:val="000000"/>
          <w:sz w:val="28"/>
          <w:szCs w:val="28"/>
          <w:lang w:val="el-GR"/>
        </w:rPr>
        <w:t>τ</w:t>
      </w:r>
      <w:r w:rsidRPr="000041D5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ης 1ης Φάσης </w:t>
      </w:r>
      <w:r w:rsidR="00781D85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στο πλαίσιο της </w:t>
      </w:r>
      <w:r w:rsidRPr="000041D5">
        <w:rPr>
          <w:rFonts w:ascii="Arial" w:hAnsi="Arial" w:cs="Arial"/>
          <w:b/>
          <w:color w:val="000000"/>
          <w:sz w:val="28"/>
          <w:szCs w:val="28"/>
          <w:lang w:val="el-GR"/>
        </w:rPr>
        <w:t>«2</w:t>
      </w:r>
      <w:r w:rsidR="00781D85" w:rsidRPr="00781D85">
        <w:rPr>
          <w:rFonts w:ascii="Arial" w:hAnsi="Arial" w:cs="Arial"/>
          <w:b/>
          <w:color w:val="000000"/>
          <w:sz w:val="28"/>
          <w:szCs w:val="28"/>
          <w:vertAlign w:val="superscript"/>
          <w:lang w:val="el-GR"/>
        </w:rPr>
        <w:t>ης</w:t>
      </w:r>
      <w:r w:rsidR="00781D85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Προκήρυξης</w:t>
      </w:r>
      <w:r w:rsidRPr="000041D5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Ερευνητικών Έργων ΕΛ.ΙΔ.Ε.Κ. για την ενίσχυση Μεταδιδακτορικών Ερευνητών/τριών» </w:t>
      </w:r>
    </w:p>
    <w:p w14:paraId="5D9C1A7A" w14:textId="7FA103EE" w:rsidR="000041D5" w:rsidRPr="00FB2DE7" w:rsidRDefault="000041D5" w:rsidP="008F60FF">
      <w:pPr>
        <w:spacing w:before="240" w:line="264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Ολοκληρώθηκε σήμερα Παρασκευή, 20 Δεκεμβρίου 2019 </w:t>
      </w:r>
      <w:r w:rsidRPr="000041D5">
        <w:rPr>
          <w:rFonts w:ascii="Arial" w:hAnsi="Arial" w:cs="Arial"/>
          <w:sz w:val="24"/>
          <w:szCs w:val="24"/>
          <w:lang w:val="el-GR"/>
        </w:rPr>
        <w:t>η διαδικασία αξιολόγησης των προτάσεων που υποβλήθηκαν στο πλαίσιο της 1ης Φάσης της «2ης Προκήρυξης Ερευνητικών Έργων ΕΛ.ΙΔ.Ε.Κ. για την ενίσχυση Μ</w:t>
      </w:r>
      <w:r w:rsidR="00BE76F2">
        <w:rPr>
          <w:rFonts w:ascii="Arial" w:hAnsi="Arial" w:cs="Arial"/>
          <w:sz w:val="24"/>
          <w:szCs w:val="24"/>
          <w:lang w:val="el-GR"/>
        </w:rPr>
        <w:t>εταδιδακτορικών Ερευνητών/τριών</w:t>
      </w:r>
      <w:r w:rsidRPr="000041D5">
        <w:rPr>
          <w:rFonts w:ascii="Arial" w:hAnsi="Arial" w:cs="Arial"/>
          <w:sz w:val="24"/>
          <w:szCs w:val="24"/>
          <w:lang w:val="el-GR"/>
        </w:rPr>
        <w:t xml:space="preserve">» στις </w:t>
      </w:r>
      <w:r>
        <w:rPr>
          <w:rFonts w:ascii="Arial" w:hAnsi="Arial" w:cs="Arial"/>
          <w:sz w:val="24"/>
          <w:szCs w:val="24"/>
          <w:lang w:val="el-GR"/>
        </w:rPr>
        <w:t>παρακάτω Επιστημονικές Περιοχές:</w:t>
      </w:r>
      <w:r w:rsidRPr="000041D5">
        <w:rPr>
          <w:rFonts w:ascii="Arial" w:hAnsi="Arial" w:cs="Arial"/>
          <w:sz w:val="24"/>
          <w:szCs w:val="24"/>
          <w:lang w:val="el-GR"/>
        </w:rPr>
        <w:t xml:space="preserve"> </w:t>
      </w:r>
      <w:r w:rsidRPr="00FB2DE7">
        <w:rPr>
          <w:rFonts w:ascii="Arial" w:hAnsi="Arial" w:cs="Arial"/>
          <w:b/>
          <w:sz w:val="24"/>
          <w:szCs w:val="24"/>
          <w:lang w:val="el-GR"/>
        </w:rPr>
        <w:t xml:space="preserve">ΣΤ. Κοινωνικές Επιστήμες, </w:t>
      </w:r>
      <w:r w:rsidR="00BE76F2">
        <w:rPr>
          <w:rFonts w:ascii="Arial" w:hAnsi="Arial" w:cs="Arial"/>
          <w:b/>
          <w:sz w:val="24"/>
          <w:szCs w:val="24"/>
          <w:lang w:val="el-GR"/>
        </w:rPr>
        <w:t>Ζ.</w:t>
      </w:r>
      <w:r w:rsidRPr="00FB2DE7">
        <w:rPr>
          <w:rFonts w:ascii="Arial" w:hAnsi="Arial" w:cs="Arial"/>
          <w:b/>
          <w:sz w:val="24"/>
          <w:szCs w:val="24"/>
          <w:lang w:val="el-GR"/>
        </w:rPr>
        <w:t xml:space="preserve"> Ανθρωπιστικές Επιστήμες και Τέχνες και Θ. Διοίκηση και Οικονομία της Καινοτομίας. </w:t>
      </w:r>
    </w:p>
    <w:p w14:paraId="7E279974" w14:textId="0B48BF04" w:rsidR="00781D85" w:rsidRPr="00781D85" w:rsidRDefault="000041D5" w:rsidP="00781D85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0041D5">
        <w:rPr>
          <w:rFonts w:ascii="Arial" w:hAnsi="Arial" w:cs="Arial"/>
          <w:sz w:val="24"/>
          <w:szCs w:val="24"/>
          <w:lang w:val="el-GR"/>
        </w:rPr>
        <w:t xml:space="preserve">Με συνολικό προϋπολογισμό </w:t>
      </w:r>
      <w:r w:rsidRPr="000041D5">
        <w:rPr>
          <w:rFonts w:ascii="Arial" w:hAnsi="Arial" w:cs="Arial"/>
          <w:b/>
          <w:sz w:val="24"/>
          <w:szCs w:val="24"/>
          <w:lang w:val="el-GR"/>
        </w:rPr>
        <w:t>16.580.000</w:t>
      </w:r>
      <w:r w:rsidRPr="000041D5">
        <w:rPr>
          <w:rFonts w:ascii="Arial" w:hAnsi="Arial" w:cs="Arial"/>
          <w:sz w:val="24"/>
          <w:szCs w:val="24"/>
          <w:lang w:val="el-GR"/>
        </w:rPr>
        <w:t xml:space="preserve"> </w:t>
      </w:r>
      <w:r w:rsidRPr="00FC0171">
        <w:rPr>
          <w:rFonts w:ascii="Arial" w:hAnsi="Arial" w:cs="Arial"/>
          <w:b/>
          <w:sz w:val="24"/>
          <w:szCs w:val="24"/>
          <w:lang w:val="el-GR"/>
        </w:rPr>
        <w:t>ευρώ</w:t>
      </w:r>
      <w:r w:rsidRPr="000041D5">
        <w:rPr>
          <w:rFonts w:ascii="Arial" w:hAnsi="Arial" w:cs="Arial"/>
          <w:sz w:val="24"/>
          <w:szCs w:val="24"/>
          <w:lang w:val="el-GR"/>
        </w:rPr>
        <w:t xml:space="preserve"> η παρούσα δράση</w:t>
      </w:r>
      <w:r>
        <w:rPr>
          <w:rFonts w:ascii="Arial" w:hAnsi="Arial" w:cs="Arial"/>
          <w:sz w:val="24"/>
          <w:szCs w:val="24"/>
          <w:lang w:val="el-GR"/>
        </w:rPr>
        <w:t xml:space="preserve"> του ΕΛ.ΙΔ.Ε.Κ. δίνει τη δυνατότητα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στους Έλληνες </w:t>
      </w:r>
      <w:r w:rsidR="00FC0171">
        <w:rPr>
          <w:rFonts w:ascii="Arial" w:hAnsi="Arial" w:cs="Arial"/>
          <w:color w:val="000000"/>
          <w:sz w:val="24"/>
          <w:szCs w:val="24"/>
          <w:lang w:val="el-GR"/>
        </w:rPr>
        <w:t>Μεταδιδακτορικούς Ερευνητές/τ</w:t>
      </w:r>
      <w:r w:rsidR="00781D85">
        <w:rPr>
          <w:rFonts w:ascii="Arial" w:hAnsi="Arial" w:cs="Arial"/>
          <w:color w:val="000000"/>
          <w:sz w:val="24"/>
          <w:szCs w:val="24"/>
          <w:lang w:val="el-GR"/>
        </w:rPr>
        <w:t>ριες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να παράξουν τα ερευνητικά τους αποτελέσματα</w:t>
      </w:r>
      <w:r w:rsidR="00FB2DE7">
        <w:rPr>
          <w:rFonts w:ascii="Arial" w:hAnsi="Arial" w:cs="Arial"/>
          <w:color w:val="000000"/>
          <w:sz w:val="24"/>
          <w:szCs w:val="24"/>
          <w:lang w:val="el-GR"/>
        </w:rPr>
        <w:t xml:space="preserve"> ως Επιστημονικοί Υπεύθυνοι του έργου τους</w:t>
      </w:r>
      <w:r w:rsidRPr="00BB5F4C">
        <w:rPr>
          <w:lang w:val="el-GR"/>
        </w:rPr>
        <w:t xml:space="preserve"> </w:t>
      </w:r>
      <w:r w:rsidR="00FC0171">
        <w:rPr>
          <w:rFonts w:ascii="Arial" w:hAnsi="Arial" w:cs="Arial"/>
          <w:color w:val="000000"/>
          <w:sz w:val="24"/>
          <w:szCs w:val="24"/>
          <w:lang w:val="el-GR"/>
        </w:rPr>
        <w:t>στα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Πανεπιστήμια και τα Ερευνητικά Κέντρα</w:t>
      </w:r>
      <w:r w:rsidR="00FB2DE7">
        <w:rPr>
          <w:rFonts w:ascii="Arial" w:hAnsi="Arial" w:cs="Arial"/>
          <w:color w:val="000000"/>
          <w:sz w:val="24"/>
          <w:szCs w:val="24"/>
          <w:lang w:val="el-GR"/>
        </w:rPr>
        <w:t xml:space="preserve"> της χώρας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. </w:t>
      </w:r>
    </w:p>
    <w:p w14:paraId="4B2606F6" w14:textId="464EDE03" w:rsidR="000041D5" w:rsidRDefault="000041D5" w:rsidP="000041D5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D101D2">
        <w:rPr>
          <w:rFonts w:ascii="Arial" w:hAnsi="Arial" w:cs="Arial"/>
          <w:color w:val="000000"/>
          <w:sz w:val="24"/>
          <w:szCs w:val="24"/>
          <w:lang w:val="el-GR"/>
        </w:rPr>
        <w:t>Το ΕΛ.ΙΔ.Ε.Κ. συνεχίζει με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αποφασιστικότητα,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συνέπεια και συνέχεια να στηρίζει τους Έλληνες Επιστήμονες και την ελεύθερη έρευνα με κριτήρια την επι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στημονική ποιότητα και αριστεία -χωρίς θεματικούς και γεωγραφικούς περιορισμούς-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καθώς πρόκειται για τη δεύτερη δράση του σε συνέχεια της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«1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ης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Προκήρυξη</w:t>
      </w:r>
      <w:r>
        <w:rPr>
          <w:rFonts w:ascii="Arial" w:hAnsi="Arial" w:cs="Arial"/>
          <w:color w:val="000000"/>
          <w:sz w:val="24"/>
          <w:szCs w:val="24"/>
          <w:lang w:val="el-GR"/>
        </w:rPr>
        <w:t>ς Ερευνητικών Έ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ργων ΕΛ.ΙΔ.Ε.Κ. για την ενίσχυση Μεταδιδακτόρων Ερευνητών/τριών»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που πραγματοποιήθηκε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 τη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σημαντική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συμβολή της ΓΓΕΤ</w:t>
      </w:r>
      <w:r w:rsidR="00FC0171">
        <w:rPr>
          <w:rFonts w:ascii="Arial" w:hAnsi="Arial" w:cs="Arial"/>
          <w:color w:val="000000"/>
          <w:sz w:val="24"/>
          <w:szCs w:val="24"/>
          <w:lang w:val="el-GR"/>
        </w:rPr>
        <w:t xml:space="preserve"> και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συνολικό προϋπολογισμό </w:t>
      </w:r>
      <w:r w:rsidRPr="00D101D2">
        <w:rPr>
          <w:rFonts w:ascii="Arial" w:hAnsi="Arial" w:cs="Arial"/>
          <w:b/>
          <w:color w:val="000000"/>
          <w:sz w:val="24"/>
          <w:szCs w:val="24"/>
          <w:lang w:val="el-GR"/>
        </w:rPr>
        <w:t>34.000.000 ευρώ.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Στο πλαίσιο της 1ης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Προκήρυξης, 177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ερευνητικά έργα Ελλήνων μεταδιδακτόρων ερευνητών υψηλών προδιαγραφών επιστημονικής ποιότητας και πρωτοτυπίας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βρίσκονται στη φάση υλοποίησης εκ των οποίων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>37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προέρχονται από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>Έλληνες μεταδιδάκτορες του εξωτερικού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14:paraId="0CE5EBA7" w14:textId="0BB1DDA5" w:rsidR="000041D5" w:rsidRDefault="000041D5" w:rsidP="000041D5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Το  ΕΛ.ΙΔ.Ε.Κ. πιστό στην αποστολή του για την ενδ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υνάμωση και στήριξη της έρευνας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προχωρά με στα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θερά βήματα στην αξιοποίηση του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ερευνητικού δυναμικού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εντός και </w:t>
      </w:r>
      <w:r>
        <w:rPr>
          <w:rFonts w:ascii="Arial" w:hAnsi="Arial" w:cs="Arial"/>
          <w:color w:val="000000"/>
          <w:sz w:val="24"/>
          <w:szCs w:val="24"/>
          <w:lang w:val="el-GR"/>
        </w:rPr>
        <w:lastRenderedPageBreak/>
        <w:t xml:space="preserve">εκτός συνόρων 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επενδύοντας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μέχρι σήμερα,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μό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>νο για τις εν</w:t>
      </w:r>
      <w:r w:rsidR="00FB2DE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λόγω δράσεις των Μεταδιδακτορικών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ρευνητών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>,</w:t>
      </w:r>
      <w:r w:rsidR="00FB2DE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συνολικά </w:t>
      </w:r>
      <w:r w:rsidR="00FC017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50.580.000 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ευρώ</w:t>
      </w:r>
      <w:r w:rsidRPr="00411BD8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(σύνολο προϋπολογισμού 1</w:t>
      </w:r>
      <w:r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 xml:space="preserve">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και 2</w:t>
      </w:r>
      <w:r w:rsidRPr="00411BD8"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>ης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Προκήρυξης </w:t>
      </w:r>
      <w:r w:rsidRPr="00411BD8">
        <w:rPr>
          <w:rFonts w:ascii="Arial" w:hAnsi="Arial" w:cs="Arial"/>
          <w:color w:val="000000"/>
          <w:sz w:val="24"/>
          <w:szCs w:val="24"/>
          <w:lang w:val="el-GR"/>
        </w:rPr>
        <w:t>Ερευνητικών Έργων ΕΛ.ΙΔ.Ε.Κ. για την ενίσχυση Μεταδιδακτορικών Ερευνητών/τριών</w:t>
      </w:r>
      <w:r>
        <w:rPr>
          <w:rFonts w:ascii="Arial" w:hAnsi="Arial" w:cs="Arial"/>
          <w:color w:val="000000"/>
          <w:sz w:val="24"/>
          <w:szCs w:val="24"/>
          <w:lang w:val="el-GR"/>
        </w:rPr>
        <w:t>)</w:t>
      </w:r>
      <w:r w:rsidR="00FC0171">
        <w:rPr>
          <w:rFonts w:ascii="Arial" w:hAnsi="Arial" w:cs="Arial"/>
          <w:color w:val="000000"/>
          <w:sz w:val="24"/>
          <w:szCs w:val="24"/>
          <w:lang w:val="el-GR"/>
        </w:rPr>
        <w:t>, ενώ επίκειται η 3</w:t>
      </w:r>
      <w:r w:rsidR="00FC0171"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 xml:space="preserve">η </w:t>
      </w:r>
      <w:r w:rsidR="00FC0171">
        <w:rPr>
          <w:rFonts w:ascii="Arial" w:hAnsi="Arial" w:cs="Arial"/>
          <w:color w:val="000000"/>
          <w:sz w:val="24"/>
          <w:szCs w:val="24"/>
          <w:lang w:val="el-GR"/>
        </w:rPr>
        <w:t xml:space="preserve">Προκήρυξη για την ίδια δράση με προϋπολογισμό </w:t>
      </w:r>
      <w:r w:rsidR="00FC0171" w:rsidRPr="00FC0171">
        <w:rPr>
          <w:rFonts w:ascii="Arial" w:hAnsi="Arial" w:cs="Arial"/>
          <w:b/>
          <w:color w:val="000000"/>
          <w:sz w:val="24"/>
          <w:szCs w:val="24"/>
          <w:lang w:val="el-GR"/>
        </w:rPr>
        <w:t>12.250.000</w:t>
      </w:r>
      <w:r w:rsidR="00FC0171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FC0171">
        <w:rPr>
          <w:rFonts w:ascii="Arial" w:hAnsi="Arial" w:cs="Arial"/>
          <w:b/>
          <w:color w:val="000000"/>
          <w:sz w:val="24"/>
          <w:szCs w:val="24"/>
          <w:lang w:val="el-GR"/>
        </w:rPr>
        <w:t>ευρώ προς το τέλος του 2020</w:t>
      </w:r>
      <w:r w:rsidR="003D3EC8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</w:p>
    <w:p w14:paraId="39171448" w14:textId="3AEE515A" w:rsidR="000041D5" w:rsidRDefault="000041D5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63B3B4D9" w14:textId="59039F36" w:rsidR="00F97080" w:rsidRDefault="009D14A2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Διαβάστε </w:t>
      </w:r>
      <w:hyperlink r:id="rId12" w:history="1">
        <w:r w:rsidRPr="009D14A2">
          <w:rPr>
            <w:rStyle w:val="Hyperlink"/>
            <w:rFonts w:ascii="Arial" w:hAnsi="Arial" w:cs="Arial"/>
            <w:sz w:val="24"/>
            <w:szCs w:val="24"/>
            <w:lang w:val="el-GR"/>
          </w:rPr>
          <w:t>εδώ</w:t>
        </w:r>
      </w:hyperlink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την </w:t>
      </w:r>
      <w:hyperlink r:id="rId13" w:tgtFrame="tab" w:history="1">
        <w:r w:rsidRPr="009D14A2">
          <w:rPr>
            <w:rFonts w:ascii="Arial" w:hAnsi="Arial" w:cs="Arial"/>
            <w:color w:val="000000"/>
            <w:sz w:val="24"/>
            <w:szCs w:val="24"/>
            <w:lang w:val="el-GR"/>
          </w:rPr>
          <w:t>Ανακοίνωση Αποτελεσμάτων και Οριστικών Πινάκων Κατάταξης Προτάσεων για τις ΕΠ6. Κοινωνικές Επιστήμες, ΕΠ7. Ανθρωπιστικές Επιστήμες και Τέχνες, ΕΠ9. Διοίκηση και Οικονομία της Καινοτομίας</w:t>
        </w:r>
      </w:hyperlink>
    </w:p>
    <w:p w14:paraId="164047E2" w14:textId="72C6A169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492B2E68" w14:textId="1B1EA0E7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010F8D1F" w14:textId="3305C468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7F4C9B73" w14:textId="264D1639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765A45FC" w14:textId="14451356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39039638" w14:textId="6B79729D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bookmarkStart w:id="0" w:name="_GoBack"/>
      <w:bookmarkEnd w:id="0"/>
    </w:p>
    <w:p w14:paraId="2D2ED4C4" w14:textId="68A044DF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677EFB65" w14:textId="2AC0A5A6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3B9F8F6C" w14:textId="365B59BC" w:rsidR="00F97080" w:rsidRDefault="00F97080" w:rsidP="008F60FF">
      <w:pPr>
        <w:spacing w:before="240" w:line="264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698E5F8E" w14:textId="77777777" w:rsidR="00F97080" w:rsidRDefault="00F97080" w:rsidP="008F60FF">
      <w:pPr>
        <w:spacing w:before="240" w:line="264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3E46E354" w14:textId="54B47606" w:rsidR="00AA0556" w:rsidRDefault="000E4EDE" w:rsidP="00634531">
      <w:pPr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449985" wp14:editId="38C2501E">
            <wp:simplePos x="0" y="0"/>
            <wp:positionH relativeFrom="column">
              <wp:posOffset>2132965</wp:posOffset>
            </wp:positionH>
            <wp:positionV relativeFrom="paragraph">
              <wp:posOffset>96520</wp:posOffset>
            </wp:positionV>
            <wp:extent cx="1579245" cy="450850"/>
            <wp:effectExtent l="0" t="0" r="0" b="0"/>
            <wp:wrapTight wrapText="bothSides">
              <wp:wrapPolygon edited="0">
                <wp:start x="9901" y="3651"/>
                <wp:lineTo x="1563" y="6389"/>
                <wp:lineTo x="1824" y="13690"/>
                <wp:lineTo x="17197" y="17341"/>
                <wp:lineTo x="18499" y="17341"/>
                <wp:lineTo x="20584" y="10039"/>
                <wp:lineTo x="20063" y="6389"/>
                <wp:lineTo x="15633" y="3651"/>
                <wp:lineTo x="9901" y="365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8BE33C" w14:textId="77777777" w:rsidR="001A7C5A" w:rsidRPr="001A7C5A" w:rsidRDefault="000E4EDE" w:rsidP="00634531">
      <w:pPr>
        <w:jc w:val="both"/>
        <w:rPr>
          <w:rFonts w:ascii="Arial" w:hAnsi="Arial" w:cs="Arial"/>
          <w:color w:val="1F4E79" w:themeColor="accent1" w:themeShade="80"/>
          <w:sz w:val="20"/>
          <w:szCs w:val="20"/>
          <w:lang w:val="el-GR"/>
        </w:rPr>
      </w:pPr>
      <w:r>
        <w:rPr>
          <w:rFonts w:ascii="Arial" w:hAnsi="Arial" w:cs="Arial"/>
          <w:color w:val="000000"/>
          <w:sz w:val="20"/>
          <w:szCs w:val="20"/>
          <w:lang w:val="el-GR"/>
        </w:rPr>
        <w:t xml:space="preserve">                                                                       </w:t>
      </w:r>
    </w:p>
    <w:p w14:paraId="519946D8" w14:textId="77777777" w:rsidR="00634531" w:rsidRDefault="000E4EDE" w:rsidP="00F97C08">
      <w:pPr>
        <w:pStyle w:val="NormalWeb"/>
        <w:shd w:val="clear" w:color="auto" w:fill="FFFFFF"/>
        <w:jc w:val="center"/>
        <w:rPr>
          <w:rFonts w:ascii="Arial" w:hAnsi="Arial" w:cs="Arial"/>
          <w:b/>
          <w:lang w:val="el-GR"/>
        </w:rPr>
      </w:pPr>
      <w:r w:rsidRPr="000E4EDE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886FB5" wp14:editId="3A32404E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443727" cy="224037"/>
            <wp:effectExtent l="0" t="0" r="4445" b="5080"/>
            <wp:wrapTight wrapText="bothSides">
              <wp:wrapPolygon edited="0">
                <wp:start x="0" y="0"/>
                <wp:lineTo x="0" y="20250"/>
                <wp:lineTo x="12829" y="20250"/>
                <wp:lineTo x="14539" y="20250"/>
                <wp:lineTo x="21381" y="20250"/>
                <wp:lineTo x="21381" y="0"/>
                <wp:lineTo x="15110" y="0"/>
                <wp:lineTo x="0" y="0"/>
              </wp:wrapPolygon>
            </wp:wrapTight>
            <wp:docPr id="151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" descr="Imag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27" cy="22403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634531" w:rsidRPr="001A7C5A">
        <w:rPr>
          <w:color w:val="1F4E79" w:themeColor="accent1" w:themeShade="80"/>
          <w:lang w:val="el-GR"/>
        </w:rPr>
        <w:t xml:space="preserve">   </w:t>
      </w:r>
    </w:p>
    <w:p w14:paraId="003FA257" w14:textId="77777777" w:rsidR="00E74E02" w:rsidRDefault="00E74E02" w:rsidP="00634531">
      <w:pPr>
        <w:pBdr>
          <w:bottom w:val="single" w:sz="6" w:space="1" w:color="auto"/>
        </w:pBd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  <w:lang w:val="el-GR"/>
        </w:rPr>
      </w:pPr>
    </w:p>
    <w:p w14:paraId="24439D3A" w14:textId="77777777" w:rsidR="00E74E02" w:rsidRDefault="00E74E02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14:paraId="50F387B2" w14:textId="77777777" w:rsidR="007F0507" w:rsidRDefault="007F0507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14:paraId="29A9A6C9" w14:textId="77777777" w:rsidR="00634531" w:rsidRPr="00FF49FD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FF49FD">
        <w:rPr>
          <w:rFonts w:ascii="Arial" w:eastAsia="Times New Roman" w:hAnsi="Arial" w:cs="Arial"/>
          <w:b/>
          <w:lang w:val="el-GR"/>
        </w:rPr>
        <w:t>Σχετικά με το ΕΛ.ΙΔ.Ε.Κ.</w:t>
      </w:r>
      <w:r>
        <w:rPr>
          <w:rFonts w:ascii="Arial" w:eastAsia="Times New Roman" w:hAnsi="Arial" w:cs="Arial"/>
          <w:b/>
          <w:lang w:val="el-GR"/>
        </w:rPr>
        <w:br/>
      </w:r>
    </w:p>
    <w:p w14:paraId="4225D4C8" w14:textId="507AC8F1" w:rsidR="002679CE" w:rsidRPr="0012687F" w:rsidRDefault="00C63F24" w:rsidP="0012687F">
      <w:pPr>
        <w:spacing w:after="0" w:line="240" w:lineRule="auto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>Το</w:t>
      </w:r>
      <w:r w:rsidR="00634531" w:rsidRPr="00FF49FD">
        <w:rPr>
          <w:rFonts w:ascii="Arial" w:eastAsia="Times New Roman" w:hAnsi="Arial" w:cs="Arial"/>
          <w:lang w:val="el-GR"/>
        </w:rPr>
        <w:t xml:space="preserve"> Ελληνικό Ίδρυμα Έρευνας &amp; Καινοτομίας δημιουργήθηκε</w:t>
      </w:r>
      <w:r w:rsidR="001A7C5A">
        <w:rPr>
          <w:rFonts w:ascii="Arial" w:eastAsia="Times New Roman" w:hAnsi="Arial" w:cs="Arial"/>
          <w:lang w:val="el-GR"/>
        </w:rPr>
        <w:t xml:space="preserve"> </w:t>
      </w:r>
      <w:r w:rsidR="001A7C5A" w:rsidRPr="00FD0F0E">
        <w:rPr>
          <w:rFonts w:ascii="Arial" w:eastAsia="Times New Roman" w:hAnsi="Arial" w:cs="Arial"/>
          <w:lang w:val="el-GR"/>
        </w:rPr>
        <w:t>(Ν. 4429/2016)</w:t>
      </w:r>
      <w:r w:rsidR="001A7C5A" w:rsidRPr="002712F5">
        <w:rPr>
          <w:lang w:val="el-GR"/>
        </w:rPr>
        <w:t xml:space="preserve"> </w:t>
      </w:r>
      <w:r w:rsidR="00634531" w:rsidRPr="00FF49FD">
        <w:rPr>
          <w:rFonts w:ascii="Arial" w:eastAsia="Times New Roman" w:hAnsi="Arial" w:cs="Arial"/>
          <w:lang w:val="el-GR"/>
        </w:rPr>
        <w:t xml:space="preserve">από τη ζωτική </w:t>
      </w:r>
      <w:r w:rsidR="005B2881">
        <w:rPr>
          <w:rFonts w:ascii="Arial" w:eastAsia="Times New Roman" w:hAnsi="Arial" w:cs="Arial"/>
          <w:lang w:val="el-GR"/>
        </w:rPr>
        <w:t>ανάγκη υποστήριξης</w:t>
      </w:r>
      <w:r w:rsidR="00905390">
        <w:rPr>
          <w:rFonts w:ascii="Arial" w:eastAsia="Times New Roman" w:hAnsi="Arial" w:cs="Arial"/>
          <w:lang w:val="el-GR"/>
        </w:rPr>
        <w:t xml:space="preserve"> του Ερευνητικού Οικοσυστήματος της χώρας</w:t>
      </w:r>
      <w:r w:rsidR="00634531" w:rsidRPr="00FF49FD">
        <w:rPr>
          <w:rFonts w:ascii="Arial" w:eastAsia="Times New Roman" w:hAnsi="Arial" w:cs="Arial"/>
          <w:lang w:val="el-GR"/>
        </w:rPr>
        <w:t xml:space="preserve">. Αποτελεί Νομικό Πρόσωπο Ιδιωτικού Δικαίου, </w:t>
      </w:r>
      <w:r w:rsidR="00F97C08">
        <w:rPr>
          <w:rFonts w:ascii="Arial" w:eastAsia="Times New Roman" w:hAnsi="Arial" w:cs="Arial"/>
          <w:lang w:val="el-GR"/>
        </w:rPr>
        <w:t>εποπτευόμενο από το</w:t>
      </w:r>
      <w:r w:rsidR="00F97C08" w:rsidRPr="00F97C08">
        <w:rPr>
          <w:rFonts w:ascii="Arial" w:eastAsia="Times New Roman" w:hAnsi="Arial" w:cs="Arial"/>
          <w:lang w:val="el-GR"/>
        </w:rPr>
        <w:t xml:space="preserve"> Υπουργείο Ανάπτυξης και Επενδύσεων.</w:t>
      </w:r>
      <w:r w:rsidR="00F97C08">
        <w:rPr>
          <w:rFonts w:ascii="Arial" w:eastAsia="Times New Roman" w:hAnsi="Arial" w:cs="Arial"/>
          <w:lang w:val="el-GR"/>
        </w:rPr>
        <w:t xml:space="preserve"> </w:t>
      </w:r>
      <w:r w:rsidR="00634531" w:rsidRPr="00FF49FD">
        <w:rPr>
          <w:rFonts w:ascii="Arial" w:eastAsia="Times New Roman" w:hAnsi="Arial" w:cs="Arial"/>
          <w:lang w:val="el-GR"/>
        </w:rPr>
        <w:t xml:space="preserve">Σκοπός του ΕΛ.ΙΔ.Ε.Κ. είναι η προαγωγή της έρευνας και της καινοτομίας στη χώρα και ειδικότερα η αξιολόγηση και χρηματοδότηση ερευνητικών </w:t>
      </w:r>
      <w:r w:rsidR="007A2119">
        <w:rPr>
          <w:rFonts w:ascii="Arial" w:eastAsia="Times New Roman" w:hAnsi="Arial" w:cs="Arial"/>
          <w:lang w:val="el-GR"/>
        </w:rPr>
        <w:t xml:space="preserve">έργων και ερευνητικών </w:t>
      </w:r>
      <w:r w:rsidR="00634531" w:rsidRPr="00FF49FD">
        <w:rPr>
          <w:rFonts w:ascii="Arial" w:eastAsia="Times New Roman" w:hAnsi="Arial" w:cs="Arial"/>
          <w:lang w:val="el-GR"/>
        </w:rPr>
        <w:t>υποδομών</w:t>
      </w:r>
      <w:r w:rsidR="00D53BE4">
        <w:rPr>
          <w:rFonts w:ascii="Arial" w:eastAsia="Times New Roman" w:hAnsi="Arial" w:cs="Arial"/>
          <w:lang w:val="el-GR"/>
        </w:rPr>
        <w:t xml:space="preserve"> καθώς</w:t>
      </w:r>
      <w:r w:rsidR="00634531" w:rsidRPr="00FF49FD">
        <w:rPr>
          <w:rFonts w:ascii="Arial" w:eastAsia="Times New Roman" w:hAnsi="Arial" w:cs="Arial"/>
          <w:lang w:val="el-GR"/>
        </w:rPr>
        <w:t xml:space="preserve"> και τω</w:t>
      </w:r>
      <w:r w:rsidR="0033023A">
        <w:rPr>
          <w:rFonts w:ascii="Arial" w:eastAsia="Times New Roman" w:hAnsi="Arial" w:cs="Arial"/>
          <w:lang w:val="el-GR"/>
        </w:rPr>
        <w:t>ν τεχνολογικών εφαρμογών τους,</w:t>
      </w:r>
      <w:r w:rsidR="00634531" w:rsidRPr="00FF49FD">
        <w:rPr>
          <w:rFonts w:ascii="Arial" w:eastAsia="Times New Roman" w:hAnsi="Arial" w:cs="Arial"/>
          <w:lang w:val="el-GR"/>
        </w:rPr>
        <w:t xml:space="preserve"> χωρίς θεματικούς αποκλεισμούς ή γεωγραφικούς περιορισμούς</w:t>
      </w:r>
      <w:r w:rsidR="00D53BE4">
        <w:rPr>
          <w:rFonts w:ascii="Arial" w:eastAsia="Times New Roman" w:hAnsi="Arial" w:cs="Arial"/>
          <w:lang w:val="el-GR"/>
        </w:rPr>
        <w:t>,</w:t>
      </w:r>
      <w:r w:rsidR="00634531" w:rsidRPr="00FF49FD">
        <w:rPr>
          <w:rFonts w:ascii="Arial" w:eastAsia="Times New Roman" w:hAnsi="Arial" w:cs="Arial"/>
          <w:lang w:val="el-GR"/>
        </w:rPr>
        <w:t xml:space="preserve"> με μοναδικό κριτήριο την επιστημονική ποιότητα και αριστεία. </w:t>
      </w:r>
    </w:p>
    <w:sectPr w:rsidR="002679CE" w:rsidRPr="0012687F" w:rsidSect="009B391C">
      <w:footerReference w:type="default" r:id="rId16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48C8" w14:textId="77777777" w:rsidR="009F1107" w:rsidRDefault="009F1107" w:rsidP="00014EE6">
      <w:pPr>
        <w:spacing w:after="0" w:line="240" w:lineRule="auto"/>
      </w:pPr>
      <w:r>
        <w:separator/>
      </w:r>
    </w:p>
  </w:endnote>
  <w:endnote w:type="continuationSeparator" w:id="0">
    <w:p w14:paraId="7CCEDB83" w14:textId="77777777" w:rsidR="009F1107" w:rsidRDefault="009F1107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4081F" w14:textId="44477B59" w:rsidR="0046478A" w:rsidRDefault="00464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87230" w14:textId="77777777" w:rsidR="0046478A" w:rsidRDefault="00464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DA34F" w14:textId="77777777" w:rsidR="009F1107" w:rsidRDefault="009F1107" w:rsidP="00014EE6">
      <w:pPr>
        <w:spacing w:after="0" w:line="240" w:lineRule="auto"/>
      </w:pPr>
      <w:r>
        <w:separator/>
      </w:r>
    </w:p>
  </w:footnote>
  <w:footnote w:type="continuationSeparator" w:id="0">
    <w:p w14:paraId="156269FB" w14:textId="77777777" w:rsidR="009F1107" w:rsidRDefault="009F1107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883"/>
    <w:multiLevelType w:val="hybridMultilevel"/>
    <w:tmpl w:val="5D10A1AA"/>
    <w:lvl w:ilvl="0" w:tplc="81307E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61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2EA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C31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EC3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C9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94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CE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E57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BD5"/>
    <w:multiLevelType w:val="hybridMultilevel"/>
    <w:tmpl w:val="7BECA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6976"/>
    <w:multiLevelType w:val="hybridMultilevel"/>
    <w:tmpl w:val="051A16B8"/>
    <w:lvl w:ilvl="0" w:tplc="222404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C65"/>
    <w:multiLevelType w:val="hybridMultilevel"/>
    <w:tmpl w:val="FA8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251BA"/>
    <w:multiLevelType w:val="multilevel"/>
    <w:tmpl w:val="4B3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976E8"/>
    <w:multiLevelType w:val="hybridMultilevel"/>
    <w:tmpl w:val="F62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62CC"/>
    <w:multiLevelType w:val="hybridMultilevel"/>
    <w:tmpl w:val="CDC4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22F7"/>
    <w:multiLevelType w:val="hybridMultilevel"/>
    <w:tmpl w:val="2DBE2EDC"/>
    <w:lvl w:ilvl="0" w:tplc="329E62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7B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68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E2E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ABD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29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2A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A2D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EE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7BF"/>
    <w:multiLevelType w:val="hybridMultilevel"/>
    <w:tmpl w:val="FD903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1130"/>
    <w:multiLevelType w:val="hybridMultilevel"/>
    <w:tmpl w:val="90D0F7DA"/>
    <w:lvl w:ilvl="0" w:tplc="16369D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010D5E"/>
    <w:multiLevelType w:val="hybridMultilevel"/>
    <w:tmpl w:val="1C9C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041D5"/>
    <w:rsid w:val="00005330"/>
    <w:rsid w:val="000068A7"/>
    <w:rsid w:val="00014EE6"/>
    <w:rsid w:val="00016654"/>
    <w:rsid w:val="00030E98"/>
    <w:rsid w:val="00033ACF"/>
    <w:rsid w:val="00037090"/>
    <w:rsid w:val="0004569E"/>
    <w:rsid w:val="00053BDB"/>
    <w:rsid w:val="0005443C"/>
    <w:rsid w:val="000647BF"/>
    <w:rsid w:val="00070621"/>
    <w:rsid w:val="00072336"/>
    <w:rsid w:val="00073211"/>
    <w:rsid w:val="00074E26"/>
    <w:rsid w:val="0008195F"/>
    <w:rsid w:val="00086282"/>
    <w:rsid w:val="00091C9E"/>
    <w:rsid w:val="000A3D64"/>
    <w:rsid w:val="000A5221"/>
    <w:rsid w:val="000B5FC8"/>
    <w:rsid w:val="000D170F"/>
    <w:rsid w:val="000D3ACE"/>
    <w:rsid w:val="000E4EDE"/>
    <w:rsid w:val="000E78A9"/>
    <w:rsid w:val="000F25CE"/>
    <w:rsid w:val="00104CB7"/>
    <w:rsid w:val="00111F00"/>
    <w:rsid w:val="001217DF"/>
    <w:rsid w:val="0012687F"/>
    <w:rsid w:val="00133553"/>
    <w:rsid w:val="00144E97"/>
    <w:rsid w:val="00147C4F"/>
    <w:rsid w:val="001672DF"/>
    <w:rsid w:val="001746DA"/>
    <w:rsid w:val="00175A18"/>
    <w:rsid w:val="00177AB0"/>
    <w:rsid w:val="001863F0"/>
    <w:rsid w:val="0019629A"/>
    <w:rsid w:val="001A37AC"/>
    <w:rsid w:val="001A65B5"/>
    <w:rsid w:val="001A718F"/>
    <w:rsid w:val="001A736F"/>
    <w:rsid w:val="001A7C5A"/>
    <w:rsid w:val="001B574A"/>
    <w:rsid w:val="001D20C5"/>
    <w:rsid w:val="001D2589"/>
    <w:rsid w:val="001D645A"/>
    <w:rsid w:val="001D743F"/>
    <w:rsid w:val="001E2ED0"/>
    <w:rsid w:val="002020C5"/>
    <w:rsid w:val="0020476F"/>
    <w:rsid w:val="0020495E"/>
    <w:rsid w:val="002151CB"/>
    <w:rsid w:val="0022448C"/>
    <w:rsid w:val="0022739D"/>
    <w:rsid w:val="00234FA2"/>
    <w:rsid w:val="00243689"/>
    <w:rsid w:val="0024468E"/>
    <w:rsid w:val="00244EB5"/>
    <w:rsid w:val="0025073A"/>
    <w:rsid w:val="00251669"/>
    <w:rsid w:val="00255140"/>
    <w:rsid w:val="002568E8"/>
    <w:rsid w:val="0026178C"/>
    <w:rsid w:val="002679CE"/>
    <w:rsid w:val="00270209"/>
    <w:rsid w:val="00271D05"/>
    <w:rsid w:val="00275101"/>
    <w:rsid w:val="0028183A"/>
    <w:rsid w:val="00281B0F"/>
    <w:rsid w:val="00284175"/>
    <w:rsid w:val="0028659E"/>
    <w:rsid w:val="00287285"/>
    <w:rsid w:val="002919F1"/>
    <w:rsid w:val="002A1308"/>
    <w:rsid w:val="002A22E3"/>
    <w:rsid w:val="002B0D38"/>
    <w:rsid w:val="002B3F9E"/>
    <w:rsid w:val="002C029D"/>
    <w:rsid w:val="002F401C"/>
    <w:rsid w:val="00301AD7"/>
    <w:rsid w:val="00304601"/>
    <w:rsid w:val="00305936"/>
    <w:rsid w:val="00305949"/>
    <w:rsid w:val="00306574"/>
    <w:rsid w:val="00312BB7"/>
    <w:rsid w:val="00313E2F"/>
    <w:rsid w:val="0033023A"/>
    <w:rsid w:val="003317D4"/>
    <w:rsid w:val="003414E1"/>
    <w:rsid w:val="00344D2D"/>
    <w:rsid w:val="00350FF6"/>
    <w:rsid w:val="00356CCC"/>
    <w:rsid w:val="00361497"/>
    <w:rsid w:val="003658BC"/>
    <w:rsid w:val="00373E71"/>
    <w:rsid w:val="00380DBB"/>
    <w:rsid w:val="0038252D"/>
    <w:rsid w:val="003844D8"/>
    <w:rsid w:val="003855BB"/>
    <w:rsid w:val="00391C88"/>
    <w:rsid w:val="00394349"/>
    <w:rsid w:val="003956AB"/>
    <w:rsid w:val="003A5F81"/>
    <w:rsid w:val="003B3F99"/>
    <w:rsid w:val="003D3EC8"/>
    <w:rsid w:val="003D4EDF"/>
    <w:rsid w:val="003E09C6"/>
    <w:rsid w:val="003E10D9"/>
    <w:rsid w:val="003E7A7A"/>
    <w:rsid w:val="003F3D1C"/>
    <w:rsid w:val="003F7F47"/>
    <w:rsid w:val="0040026A"/>
    <w:rsid w:val="00401BD9"/>
    <w:rsid w:val="004049FA"/>
    <w:rsid w:val="0041209A"/>
    <w:rsid w:val="00420D17"/>
    <w:rsid w:val="004243D8"/>
    <w:rsid w:val="004243F2"/>
    <w:rsid w:val="00424E41"/>
    <w:rsid w:val="00434A46"/>
    <w:rsid w:val="004421DC"/>
    <w:rsid w:val="0044476A"/>
    <w:rsid w:val="004566CE"/>
    <w:rsid w:val="00456FE8"/>
    <w:rsid w:val="0046478A"/>
    <w:rsid w:val="00464C14"/>
    <w:rsid w:val="00466B35"/>
    <w:rsid w:val="004758FD"/>
    <w:rsid w:val="00476373"/>
    <w:rsid w:val="0047744A"/>
    <w:rsid w:val="00482CBD"/>
    <w:rsid w:val="004864E9"/>
    <w:rsid w:val="00486E25"/>
    <w:rsid w:val="004874EF"/>
    <w:rsid w:val="0049388C"/>
    <w:rsid w:val="004956AF"/>
    <w:rsid w:val="004A0A65"/>
    <w:rsid w:val="004A2DE5"/>
    <w:rsid w:val="004A5C51"/>
    <w:rsid w:val="004B09C9"/>
    <w:rsid w:val="004B0EE7"/>
    <w:rsid w:val="004B13FA"/>
    <w:rsid w:val="004B5766"/>
    <w:rsid w:val="004B5AEE"/>
    <w:rsid w:val="004B7C91"/>
    <w:rsid w:val="004C42D9"/>
    <w:rsid w:val="004C6CF6"/>
    <w:rsid w:val="004D3630"/>
    <w:rsid w:val="004D46B0"/>
    <w:rsid w:val="00512707"/>
    <w:rsid w:val="00520C7F"/>
    <w:rsid w:val="0053023B"/>
    <w:rsid w:val="00531112"/>
    <w:rsid w:val="0054070A"/>
    <w:rsid w:val="00545C0A"/>
    <w:rsid w:val="00545CAE"/>
    <w:rsid w:val="0055088E"/>
    <w:rsid w:val="0055165B"/>
    <w:rsid w:val="0055355E"/>
    <w:rsid w:val="0056174A"/>
    <w:rsid w:val="00594C0F"/>
    <w:rsid w:val="005B088C"/>
    <w:rsid w:val="005B10A0"/>
    <w:rsid w:val="005B2881"/>
    <w:rsid w:val="005B3297"/>
    <w:rsid w:val="005B3AAA"/>
    <w:rsid w:val="005C02E3"/>
    <w:rsid w:val="005C311D"/>
    <w:rsid w:val="005D30DE"/>
    <w:rsid w:val="005D45CB"/>
    <w:rsid w:val="005D6773"/>
    <w:rsid w:val="005E69CA"/>
    <w:rsid w:val="005F2529"/>
    <w:rsid w:val="00610A0B"/>
    <w:rsid w:val="00622D53"/>
    <w:rsid w:val="006242D8"/>
    <w:rsid w:val="00624590"/>
    <w:rsid w:val="00633D5A"/>
    <w:rsid w:val="00634531"/>
    <w:rsid w:val="00643080"/>
    <w:rsid w:val="00646E7D"/>
    <w:rsid w:val="00650780"/>
    <w:rsid w:val="00662833"/>
    <w:rsid w:val="00665C52"/>
    <w:rsid w:val="0066765A"/>
    <w:rsid w:val="00673298"/>
    <w:rsid w:val="0067512B"/>
    <w:rsid w:val="00676B1A"/>
    <w:rsid w:val="00676D9E"/>
    <w:rsid w:val="00694118"/>
    <w:rsid w:val="00694FE5"/>
    <w:rsid w:val="00696A81"/>
    <w:rsid w:val="006A0E79"/>
    <w:rsid w:val="006A43D6"/>
    <w:rsid w:val="006A5CE6"/>
    <w:rsid w:val="006A69C6"/>
    <w:rsid w:val="006B3B3E"/>
    <w:rsid w:val="006B5E12"/>
    <w:rsid w:val="006C128C"/>
    <w:rsid w:val="006C23D8"/>
    <w:rsid w:val="006C2CBC"/>
    <w:rsid w:val="006D7BE9"/>
    <w:rsid w:val="006F192C"/>
    <w:rsid w:val="00705EDA"/>
    <w:rsid w:val="007145D6"/>
    <w:rsid w:val="00717D5A"/>
    <w:rsid w:val="00724F27"/>
    <w:rsid w:val="0073408A"/>
    <w:rsid w:val="0074422C"/>
    <w:rsid w:val="00755EDE"/>
    <w:rsid w:val="0077730D"/>
    <w:rsid w:val="00781D85"/>
    <w:rsid w:val="007820EF"/>
    <w:rsid w:val="007832C1"/>
    <w:rsid w:val="007A1A75"/>
    <w:rsid w:val="007A2119"/>
    <w:rsid w:val="007A5112"/>
    <w:rsid w:val="007B03B8"/>
    <w:rsid w:val="007C3CA3"/>
    <w:rsid w:val="007D5D59"/>
    <w:rsid w:val="007E384A"/>
    <w:rsid w:val="007E3BEA"/>
    <w:rsid w:val="007F0507"/>
    <w:rsid w:val="007F0936"/>
    <w:rsid w:val="008201B1"/>
    <w:rsid w:val="00824E0D"/>
    <w:rsid w:val="0083599E"/>
    <w:rsid w:val="0084306B"/>
    <w:rsid w:val="00853D83"/>
    <w:rsid w:val="00866E24"/>
    <w:rsid w:val="00870157"/>
    <w:rsid w:val="0088513A"/>
    <w:rsid w:val="00890308"/>
    <w:rsid w:val="0089708C"/>
    <w:rsid w:val="008B0268"/>
    <w:rsid w:val="008B2C62"/>
    <w:rsid w:val="008B36F9"/>
    <w:rsid w:val="008C1A81"/>
    <w:rsid w:val="008C61A0"/>
    <w:rsid w:val="008C7F6F"/>
    <w:rsid w:val="008D0AC0"/>
    <w:rsid w:val="008F20E0"/>
    <w:rsid w:val="008F60FF"/>
    <w:rsid w:val="00905390"/>
    <w:rsid w:val="009121EC"/>
    <w:rsid w:val="009263D1"/>
    <w:rsid w:val="009369D7"/>
    <w:rsid w:val="00957E29"/>
    <w:rsid w:val="00967F40"/>
    <w:rsid w:val="00973E83"/>
    <w:rsid w:val="00975B26"/>
    <w:rsid w:val="00985909"/>
    <w:rsid w:val="009962ED"/>
    <w:rsid w:val="009A3F59"/>
    <w:rsid w:val="009A5603"/>
    <w:rsid w:val="009B234A"/>
    <w:rsid w:val="009B391C"/>
    <w:rsid w:val="009B47A0"/>
    <w:rsid w:val="009D14A2"/>
    <w:rsid w:val="009D7CE3"/>
    <w:rsid w:val="009E2508"/>
    <w:rsid w:val="009E70E4"/>
    <w:rsid w:val="009F1107"/>
    <w:rsid w:val="009F21F2"/>
    <w:rsid w:val="00A01C2D"/>
    <w:rsid w:val="00A05955"/>
    <w:rsid w:val="00A10A66"/>
    <w:rsid w:val="00A1462D"/>
    <w:rsid w:val="00A17B89"/>
    <w:rsid w:val="00A30E3A"/>
    <w:rsid w:val="00A36A71"/>
    <w:rsid w:val="00A4161B"/>
    <w:rsid w:val="00A47749"/>
    <w:rsid w:val="00A52B46"/>
    <w:rsid w:val="00A57D29"/>
    <w:rsid w:val="00A60379"/>
    <w:rsid w:val="00A6486F"/>
    <w:rsid w:val="00A80134"/>
    <w:rsid w:val="00A80727"/>
    <w:rsid w:val="00AA0556"/>
    <w:rsid w:val="00AB0184"/>
    <w:rsid w:val="00AB24E0"/>
    <w:rsid w:val="00AB2C62"/>
    <w:rsid w:val="00AB6DFA"/>
    <w:rsid w:val="00AC064E"/>
    <w:rsid w:val="00AC099C"/>
    <w:rsid w:val="00AC6053"/>
    <w:rsid w:val="00AF5220"/>
    <w:rsid w:val="00AF7CF1"/>
    <w:rsid w:val="00B01705"/>
    <w:rsid w:val="00B15D0D"/>
    <w:rsid w:val="00B20890"/>
    <w:rsid w:val="00B20DA3"/>
    <w:rsid w:val="00B21B3F"/>
    <w:rsid w:val="00B331C9"/>
    <w:rsid w:val="00B4125D"/>
    <w:rsid w:val="00B52648"/>
    <w:rsid w:val="00B71A7E"/>
    <w:rsid w:val="00B72CA9"/>
    <w:rsid w:val="00B816F6"/>
    <w:rsid w:val="00B82A4D"/>
    <w:rsid w:val="00B90531"/>
    <w:rsid w:val="00B90CB4"/>
    <w:rsid w:val="00BA27D0"/>
    <w:rsid w:val="00BA6AE2"/>
    <w:rsid w:val="00BB5F4C"/>
    <w:rsid w:val="00BC09D3"/>
    <w:rsid w:val="00BC13CE"/>
    <w:rsid w:val="00BC1B27"/>
    <w:rsid w:val="00BE569A"/>
    <w:rsid w:val="00BE76F2"/>
    <w:rsid w:val="00BF37BD"/>
    <w:rsid w:val="00C136A4"/>
    <w:rsid w:val="00C1436B"/>
    <w:rsid w:val="00C24DF5"/>
    <w:rsid w:val="00C340D5"/>
    <w:rsid w:val="00C34A7C"/>
    <w:rsid w:val="00C378A9"/>
    <w:rsid w:val="00C44EA5"/>
    <w:rsid w:val="00C473CB"/>
    <w:rsid w:val="00C55B84"/>
    <w:rsid w:val="00C62964"/>
    <w:rsid w:val="00C63F24"/>
    <w:rsid w:val="00C6653F"/>
    <w:rsid w:val="00C6676B"/>
    <w:rsid w:val="00C673EE"/>
    <w:rsid w:val="00C84AD9"/>
    <w:rsid w:val="00CA188D"/>
    <w:rsid w:val="00CA7A6B"/>
    <w:rsid w:val="00CB20A8"/>
    <w:rsid w:val="00CB2BFE"/>
    <w:rsid w:val="00CB4BBD"/>
    <w:rsid w:val="00CD0721"/>
    <w:rsid w:val="00CD57E1"/>
    <w:rsid w:val="00CE3F20"/>
    <w:rsid w:val="00D018C5"/>
    <w:rsid w:val="00D05A1A"/>
    <w:rsid w:val="00D065FB"/>
    <w:rsid w:val="00D31F55"/>
    <w:rsid w:val="00D33AA7"/>
    <w:rsid w:val="00D41513"/>
    <w:rsid w:val="00D45940"/>
    <w:rsid w:val="00D53BE4"/>
    <w:rsid w:val="00D667E2"/>
    <w:rsid w:val="00D91259"/>
    <w:rsid w:val="00D9279F"/>
    <w:rsid w:val="00DA2524"/>
    <w:rsid w:val="00DB0629"/>
    <w:rsid w:val="00DB1E63"/>
    <w:rsid w:val="00DB6786"/>
    <w:rsid w:val="00DC086C"/>
    <w:rsid w:val="00DE14B6"/>
    <w:rsid w:val="00DE7A29"/>
    <w:rsid w:val="00DF1950"/>
    <w:rsid w:val="00E00106"/>
    <w:rsid w:val="00E04DCF"/>
    <w:rsid w:val="00E20905"/>
    <w:rsid w:val="00E302D4"/>
    <w:rsid w:val="00E31D98"/>
    <w:rsid w:val="00E3360C"/>
    <w:rsid w:val="00E3474A"/>
    <w:rsid w:val="00E42069"/>
    <w:rsid w:val="00E538AC"/>
    <w:rsid w:val="00E6610B"/>
    <w:rsid w:val="00E71106"/>
    <w:rsid w:val="00E7338C"/>
    <w:rsid w:val="00E74E02"/>
    <w:rsid w:val="00E77AD2"/>
    <w:rsid w:val="00E852F5"/>
    <w:rsid w:val="00E879C4"/>
    <w:rsid w:val="00E927FA"/>
    <w:rsid w:val="00E96E3F"/>
    <w:rsid w:val="00E97735"/>
    <w:rsid w:val="00EB184D"/>
    <w:rsid w:val="00ED3D0B"/>
    <w:rsid w:val="00ED6A85"/>
    <w:rsid w:val="00EE4668"/>
    <w:rsid w:val="00EE50FF"/>
    <w:rsid w:val="00EE66B6"/>
    <w:rsid w:val="00EF7A2E"/>
    <w:rsid w:val="00EF7CC3"/>
    <w:rsid w:val="00F01B97"/>
    <w:rsid w:val="00F12829"/>
    <w:rsid w:val="00F1512E"/>
    <w:rsid w:val="00F1624D"/>
    <w:rsid w:val="00F211C1"/>
    <w:rsid w:val="00F31B62"/>
    <w:rsid w:val="00F358D9"/>
    <w:rsid w:val="00F36E99"/>
    <w:rsid w:val="00F36FAD"/>
    <w:rsid w:val="00F37189"/>
    <w:rsid w:val="00F44656"/>
    <w:rsid w:val="00F52EB8"/>
    <w:rsid w:val="00F70C4C"/>
    <w:rsid w:val="00F72EB0"/>
    <w:rsid w:val="00F81179"/>
    <w:rsid w:val="00F87795"/>
    <w:rsid w:val="00F94DDA"/>
    <w:rsid w:val="00F97080"/>
    <w:rsid w:val="00F97C08"/>
    <w:rsid w:val="00FA22B4"/>
    <w:rsid w:val="00FA72F4"/>
    <w:rsid w:val="00FB0EBD"/>
    <w:rsid w:val="00FB2DE7"/>
    <w:rsid w:val="00FB5A51"/>
    <w:rsid w:val="00FB5B0A"/>
    <w:rsid w:val="00FC0171"/>
    <w:rsid w:val="00FD0488"/>
    <w:rsid w:val="00FD0F0E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87389"/>
  <w15:docId w15:val="{71732392-8308-4D6E-BD80-07C4117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paragraph" w:styleId="Heading1">
    <w:name w:val="heading 1"/>
    <w:basedOn w:val="Normal"/>
    <w:next w:val="Normal"/>
    <w:link w:val="Heading1Char"/>
    <w:uiPriority w:val="9"/>
    <w:qFormat/>
    <w:rsid w:val="00F36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character" w:styleId="FollowedHyperlink">
    <w:name w:val="FollowedHyperlink"/>
    <w:basedOn w:val="DefaultParagraphFont"/>
    <w:uiPriority w:val="99"/>
    <w:semiHidden/>
    <w:unhideWhenUsed/>
    <w:rsid w:val="00AB018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340D5"/>
    <w:rPr>
      <w:b/>
      <w:bCs/>
    </w:rPr>
  </w:style>
  <w:style w:type="paragraph" w:styleId="ListParagraph">
    <w:name w:val="List Paragraph"/>
    <w:basedOn w:val="Normal"/>
    <w:uiPriority w:val="34"/>
    <w:qFormat/>
    <w:rsid w:val="003414E1"/>
    <w:pPr>
      <w:ind w:left="720"/>
      <w:contextualSpacing/>
    </w:pPr>
  </w:style>
  <w:style w:type="paragraph" w:styleId="NoSpacing">
    <w:name w:val="No Spacing"/>
    <w:uiPriority w:val="1"/>
    <w:qFormat/>
    <w:rsid w:val="00466B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86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D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6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E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idek.gr/downloads/38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dek.gr/2019/12/20/anakoinosi-apotelesmaton-kai-oristikon-pinakon-katataxis-protaseon-gia-tis-ep6-koinonikes-epistimes-ep7-anthropistikes-epistimes-kai-technes-ep9-dioikisi-kai-oikonomia-tis-kainotomia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idek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8876-0724-4D94-9DE1-2FC56885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paraskevi.markou</dc:creator>
  <cp:lastModifiedBy>Aspasia.Trevlaki</cp:lastModifiedBy>
  <cp:revision>2</cp:revision>
  <cp:lastPrinted>2019-10-14T12:16:00Z</cp:lastPrinted>
  <dcterms:created xsi:type="dcterms:W3CDTF">2019-12-20T13:54:00Z</dcterms:created>
  <dcterms:modified xsi:type="dcterms:W3CDTF">2019-12-20T13:54:00Z</dcterms:modified>
</cp:coreProperties>
</file>