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62" w:rsidRDefault="00D77662" w:rsidP="00D77662"/>
    <w:p w:rsidR="00D77662" w:rsidRDefault="00D77662" w:rsidP="00D77662"/>
    <w:p w:rsidR="00E41539" w:rsidRPr="00E41539" w:rsidRDefault="00E41539" w:rsidP="00E41539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spacing w:before="100" w:beforeAutospacing="1" w:after="100" w:afterAutospacing="1"/>
        <w:outlineLvl w:val="1"/>
        <w:rPr>
          <w:rFonts w:ascii="Calibri" w:hAnsi="Calibri"/>
          <w:b/>
          <w:bCs/>
          <w:color w:val="000000"/>
          <w:lang w:eastAsia="en-US"/>
        </w:rPr>
      </w:pPr>
      <w:r>
        <w:rPr>
          <w:rFonts w:ascii="Calibri" w:hAnsi="Calibri"/>
          <w:b/>
          <w:bCs/>
          <w:lang w:eastAsia="en-US"/>
        </w:rPr>
        <w:t xml:space="preserve">   </w:t>
      </w:r>
      <w:r w:rsidRPr="00E41539">
        <w:rPr>
          <w:rFonts w:ascii="Calibri" w:hAnsi="Calibri"/>
          <w:b/>
          <w:bCs/>
          <w:lang w:eastAsia="en-US"/>
        </w:rPr>
        <w:t xml:space="preserve">ΔΕΛΤΙΟ ΤΥΠΟΥ                                                                           </w:t>
      </w:r>
      <w:r>
        <w:rPr>
          <w:rFonts w:ascii="Calibri" w:hAnsi="Calibri"/>
          <w:b/>
          <w:bCs/>
          <w:lang w:eastAsia="en-US"/>
        </w:rPr>
        <w:t xml:space="preserve">                                                        </w:t>
      </w:r>
      <w:r w:rsidRPr="00E41539">
        <w:rPr>
          <w:rFonts w:ascii="Calibri" w:hAnsi="Calibri"/>
          <w:bCs/>
          <w:lang w:eastAsia="en-US"/>
        </w:rPr>
        <w:t>2</w:t>
      </w:r>
      <w:r w:rsidR="006E17E1">
        <w:rPr>
          <w:rFonts w:ascii="Calibri" w:hAnsi="Calibri"/>
          <w:bCs/>
          <w:lang w:eastAsia="en-US"/>
        </w:rPr>
        <w:t>7</w:t>
      </w:r>
      <w:r w:rsidRPr="00E41539">
        <w:rPr>
          <w:rFonts w:ascii="Calibri" w:hAnsi="Calibri"/>
          <w:bCs/>
          <w:lang w:eastAsia="en-US"/>
        </w:rPr>
        <w:t>.11.2017</w:t>
      </w:r>
    </w:p>
    <w:p w:rsidR="00E41539" w:rsidRPr="00E41539" w:rsidRDefault="00E41539" w:rsidP="00E41539">
      <w:pPr>
        <w:jc w:val="center"/>
        <w:rPr>
          <w:rFonts w:asciiTheme="minorHAnsi" w:hAnsiTheme="minorHAnsi" w:cs="Tahoma"/>
          <w:bCs/>
        </w:rPr>
      </w:pPr>
      <w:r w:rsidRPr="00E41539">
        <w:rPr>
          <w:rFonts w:asciiTheme="minorHAnsi" w:hAnsiTheme="minorHAnsi" w:cs="Tahoma"/>
          <w:bCs/>
        </w:rPr>
        <w:t xml:space="preserve">Αποτελέσματα αξιολόγησης των προτάσεων του  Α΄ κύκλου </w:t>
      </w:r>
    </w:p>
    <w:p w:rsidR="00E41539" w:rsidRPr="00AA0F3F" w:rsidRDefault="00E41539" w:rsidP="00E41539">
      <w:pPr>
        <w:jc w:val="center"/>
        <w:rPr>
          <w:rFonts w:asciiTheme="minorHAnsi" w:hAnsiTheme="minorHAnsi" w:cs="Tahoma"/>
          <w:bCs/>
        </w:rPr>
      </w:pPr>
      <w:r w:rsidRPr="00793386">
        <w:rPr>
          <w:rFonts w:asciiTheme="minorHAnsi" w:hAnsiTheme="minorHAnsi" w:cs="Tahoma"/>
          <w:b/>
          <w:bCs/>
        </w:rPr>
        <w:t xml:space="preserve"> </w:t>
      </w:r>
      <w:r w:rsidRPr="00AA0F3F">
        <w:rPr>
          <w:rFonts w:asciiTheme="minorHAnsi" w:hAnsiTheme="minorHAnsi" w:cs="Tahoma"/>
          <w:bCs/>
        </w:rPr>
        <w:t xml:space="preserve">της ενιαίας δράσης κρατικών ενισχύσεων </w:t>
      </w:r>
    </w:p>
    <w:p w:rsidR="00E41539" w:rsidRDefault="00E41539" w:rsidP="00E41539">
      <w:pPr>
        <w:jc w:val="center"/>
        <w:rPr>
          <w:rFonts w:asciiTheme="minorHAnsi" w:hAnsiTheme="minorHAnsi" w:cs="Tahoma"/>
          <w:b/>
          <w:bCs/>
        </w:rPr>
      </w:pPr>
    </w:p>
    <w:p w:rsidR="00E41539" w:rsidRPr="00793386" w:rsidRDefault="00E41539" w:rsidP="00E41539">
      <w:pPr>
        <w:jc w:val="center"/>
        <w:rPr>
          <w:rFonts w:asciiTheme="minorHAnsi" w:hAnsiTheme="minorHAnsi" w:cs="Tahoma"/>
          <w:b/>
          <w:bCs/>
          <w:caps/>
        </w:rPr>
      </w:pPr>
      <w:r w:rsidRPr="00793386">
        <w:rPr>
          <w:rFonts w:asciiTheme="minorHAnsi" w:hAnsiTheme="minorHAnsi" w:cs="Tahoma"/>
          <w:b/>
          <w:bCs/>
          <w:caps/>
        </w:rPr>
        <w:t xml:space="preserve">«ερευνω δημιουργω καινοτομω» </w:t>
      </w:r>
    </w:p>
    <w:p w:rsidR="00E41539" w:rsidRPr="00E41539" w:rsidRDefault="00E41539" w:rsidP="00E41539">
      <w:pPr>
        <w:pBdr>
          <w:bottom w:val="single" w:sz="12" w:space="1" w:color="auto"/>
        </w:pBdr>
        <w:outlineLvl w:val="1"/>
        <w:rPr>
          <w:rFonts w:ascii="Calibri" w:hAnsi="Calibri"/>
          <w:bCs/>
        </w:rPr>
      </w:pPr>
    </w:p>
    <w:p w:rsidR="00E41539" w:rsidRDefault="00E41539" w:rsidP="00E7313B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  <w:lang w:eastAsia="ar-SA"/>
        </w:rPr>
      </w:pPr>
    </w:p>
    <w:p w:rsidR="00E7313B" w:rsidRPr="00793386" w:rsidRDefault="00E7313B" w:rsidP="00E7313B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793386">
        <w:rPr>
          <w:rFonts w:asciiTheme="minorHAnsi" w:hAnsiTheme="minorHAnsi"/>
          <w:sz w:val="22"/>
          <w:szCs w:val="22"/>
          <w:lang w:eastAsia="ar-SA"/>
        </w:rPr>
        <w:t xml:space="preserve">Σήμερα, Δευτέρα 27 Νοεμβρίου 2017, με την ανακοίνωση των αποτελεσμάτων </w:t>
      </w:r>
      <w:r>
        <w:rPr>
          <w:rFonts w:asciiTheme="minorHAnsi" w:hAnsiTheme="minorHAnsi"/>
          <w:sz w:val="22"/>
          <w:szCs w:val="22"/>
          <w:lang w:eastAsia="ar-SA"/>
        </w:rPr>
        <w:t xml:space="preserve">και </w:t>
      </w:r>
      <w:r w:rsidRPr="00793386">
        <w:rPr>
          <w:rFonts w:asciiTheme="minorHAnsi" w:hAnsiTheme="minorHAnsi"/>
          <w:sz w:val="22"/>
          <w:szCs w:val="22"/>
          <w:lang w:eastAsia="ar-SA"/>
        </w:rPr>
        <w:t>της Παρέμβασης ΙΙ, ολοκληρώθηκε η αξιολόγη</w:t>
      </w:r>
      <w:bookmarkStart w:id="0" w:name="_GoBack"/>
      <w:bookmarkEnd w:id="0"/>
      <w:r w:rsidRPr="00793386">
        <w:rPr>
          <w:rFonts w:asciiTheme="minorHAnsi" w:hAnsiTheme="minorHAnsi"/>
          <w:sz w:val="22"/>
          <w:szCs w:val="22"/>
          <w:lang w:eastAsia="ar-SA"/>
        </w:rPr>
        <w:t xml:space="preserve">ση της </w:t>
      </w:r>
      <w:r w:rsidRPr="00793386">
        <w:rPr>
          <w:rFonts w:asciiTheme="minorHAnsi" w:hAnsiTheme="minorHAnsi" w:cs="Tahoma"/>
          <w:bCs/>
          <w:sz w:val="22"/>
          <w:szCs w:val="22"/>
        </w:rPr>
        <w:t xml:space="preserve">ενιαίας δράσης κρατικών ενισχύσεων </w:t>
      </w:r>
      <w:r>
        <w:rPr>
          <w:rFonts w:asciiTheme="minorHAnsi" w:hAnsiTheme="minorHAnsi" w:cs="Tahoma"/>
          <w:bCs/>
          <w:sz w:val="22"/>
          <w:szCs w:val="22"/>
        </w:rPr>
        <w:t>«</w:t>
      </w:r>
      <w:r w:rsidRPr="00793386">
        <w:rPr>
          <w:rFonts w:asciiTheme="minorHAnsi" w:hAnsiTheme="minorHAnsi" w:cstheme="minorHAnsi"/>
          <w:b/>
          <w:sz w:val="22"/>
          <w:szCs w:val="22"/>
        </w:rPr>
        <w:t xml:space="preserve">Ερευνώ - Δημιουργώ </w:t>
      </w:r>
      <w:r>
        <w:rPr>
          <w:rFonts w:asciiTheme="minorHAnsi" w:hAnsiTheme="minorHAnsi" w:cstheme="minorHAnsi"/>
          <w:b/>
          <w:sz w:val="22"/>
          <w:szCs w:val="22"/>
        </w:rPr>
        <w:t>–</w:t>
      </w:r>
      <w:r w:rsidRPr="00793386">
        <w:rPr>
          <w:rFonts w:asciiTheme="minorHAnsi" w:hAnsiTheme="minorHAnsi" w:cstheme="minorHAnsi"/>
          <w:b/>
          <w:sz w:val="22"/>
          <w:szCs w:val="22"/>
        </w:rPr>
        <w:t xml:space="preserve"> Καινοτομώ</w:t>
      </w:r>
      <w:r>
        <w:rPr>
          <w:rFonts w:asciiTheme="minorHAnsi" w:hAnsiTheme="minorHAnsi" w:cstheme="minorHAnsi"/>
          <w:b/>
          <w:sz w:val="22"/>
          <w:szCs w:val="22"/>
        </w:rPr>
        <w:t>»</w:t>
      </w:r>
      <w:r w:rsidRPr="00E41539">
        <w:rPr>
          <w:rFonts w:asciiTheme="minorHAnsi" w:hAnsiTheme="minorHAnsi"/>
          <w:sz w:val="22"/>
          <w:szCs w:val="22"/>
          <w:lang w:eastAsia="ar-SA"/>
        </w:rPr>
        <w:t>.</w:t>
      </w:r>
    </w:p>
    <w:p w:rsidR="00E7313B" w:rsidRPr="00A13607" w:rsidRDefault="00E7313B" w:rsidP="00E7313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42B32">
        <w:rPr>
          <w:rFonts w:asciiTheme="minorHAnsi" w:hAnsiTheme="minorHAnsi" w:cstheme="minorHAnsi"/>
          <w:sz w:val="22"/>
          <w:szCs w:val="22"/>
        </w:rPr>
        <w:t xml:space="preserve">Η </w:t>
      </w:r>
      <w:r>
        <w:rPr>
          <w:rFonts w:asciiTheme="minorHAnsi" w:hAnsiTheme="minorHAnsi" w:cstheme="minorHAnsi"/>
          <w:sz w:val="22"/>
          <w:szCs w:val="22"/>
        </w:rPr>
        <w:t>Δ</w:t>
      </w:r>
      <w:r w:rsidRPr="00F42B32">
        <w:rPr>
          <w:rFonts w:asciiTheme="minorHAnsi" w:hAnsiTheme="minorHAnsi" w:cstheme="minorHAnsi"/>
          <w:sz w:val="22"/>
          <w:szCs w:val="22"/>
        </w:rPr>
        <w:t>ράση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42B32">
        <w:rPr>
          <w:rFonts w:asciiTheme="minorHAnsi" w:hAnsiTheme="minorHAnsi" w:cstheme="minorHAnsi"/>
          <w:sz w:val="22"/>
          <w:szCs w:val="22"/>
        </w:rPr>
        <w:t xml:space="preserve">σχεδιάστηκε στο </w:t>
      </w:r>
      <w:r w:rsidRPr="00F42B32">
        <w:rPr>
          <w:rFonts w:asciiTheme="minorHAnsi" w:hAnsiTheme="minorHAnsi"/>
          <w:sz w:val="22"/>
          <w:szCs w:val="22"/>
        </w:rPr>
        <w:t xml:space="preserve">πλαίσιο του Επιχειρησιακού Προγράμματος «Ανταγωνιστικότητα, Επιχειρηματικότητα, Καινοτομία» </w:t>
      </w:r>
      <w:proofErr w:type="spellStart"/>
      <w:r w:rsidRPr="00F42B32">
        <w:rPr>
          <w:rFonts w:asciiTheme="minorHAnsi" w:hAnsiTheme="minorHAnsi"/>
          <w:sz w:val="22"/>
          <w:szCs w:val="22"/>
        </w:rPr>
        <w:t>ΕΠΑνΕΚ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F42B32">
        <w:rPr>
          <w:rFonts w:asciiTheme="minorHAnsi" w:hAnsiTheme="minorHAnsi" w:cstheme="minorHAnsi"/>
          <w:sz w:val="22"/>
          <w:szCs w:val="22"/>
        </w:rPr>
        <w:t>με συνεργασία τ</w:t>
      </w:r>
      <w:r>
        <w:rPr>
          <w:rFonts w:asciiTheme="minorHAnsi" w:hAnsiTheme="minorHAnsi" w:cstheme="minorHAnsi"/>
          <w:sz w:val="22"/>
          <w:szCs w:val="22"/>
        </w:rPr>
        <w:t xml:space="preserve">ων </w:t>
      </w:r>
      <w:r w:rsidRPr="00F42B32">
        <w:rPr>
          <w:rFonts w:asciiTheme="minorHAnsi" w:hAnsiTheme="minorHAnsi" w:cstheme="minorHAnsi"/>
          <w:sz w:val="22"/>
          <w:szCs w:val="22"/>
        </w:rPr>
        <w:t>Υπουργεί</w:t>
      </w:r>
      <w:r>
        <w:rPr>
          <w:rFonts w:asciiTheme="minorHAnsi" w:hAnsiTheme="minorHAnsi" w:cstheme="minorHAnsi"/>
          <w:sz w:val="22"/>
          <w:szCs w:val="22"/>
        </w:rPr>
        <w:t xml:space="preserve">ων </w:t>
      </w:r>
      <w:r w:rsidRPr="00F42B32">
        <w:rPr>
          <w:rFonts w:asciiTheme="minorHAnsi" w:hAnsiTheme="minorHAnsi" w:cstheme="minorHAnsi"/>
          <w:sz w:val="22"/>
          <w:szCs w:val="22"/>
        </w:rPr>
        <w:t>Οικονομίας και Ανάπτυξης και Παιδείας,  Έρευνας και Θρησκευμάτων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F42B32">
        <w:rPr>
          <w:rFonts w:asciiTheme="minorHAnsi" w:hAnsiTheme="minorHAnsi" w:cstheme="minorHAnsi"/>
          <w:sz w:val="22"/>
          <w:szCs w:val="22"/>
        </w:rPr>
        <w:t>Γενική Γραμματεία Έρευνας και Τεχνολογίας</w:t>
      </w:r>
      <w:r>
        <w:rPr>
          <w:rFonts w:asciiTheme="minorHAnsi" w:hAnsiTheme="minorHAnsi" w:cstheme="minorHAnsi"/>
          <w:sz w:val="22"/>
          <w:szCs w:val="22"/>
        </w:rPr>
        <w:t xml:space="preserve">. Η Δράση, την οποία </w:t>
      </w:r>
      <w:r w:rsidRPr="00F42B32">
        <w:rPr>
          <w:rFonts w:asciiTheme="minorHAnsi" w:hAnsiTheme="minorHAnsi" w:cstheme="minorHAnsi"/>
          <w:sz w:val="22"/>
          <w:szCs w:val="22"/>
        </w:rPr>
        <w:t xml:space="preserve">διαχειρίζεται η Ειδική Υπηρεσία Διαχείρισης και Εφαρμογής Δράσεων στους τομείς της Έρευνας, Τεχνολογικής Ανάπτυξης και Καινοτομίας (ΕΥΔΕ ΕΤΑΚ), </w:t>
      </w:r>
      <w:r>
        <w:rPr>
          <w:rFonts w:asciiTheme="minorHAnsi" w:hAnsiTheme="minorHAnsi" w:cstheme="minorHAnsi"/>
          <w:sz w:val="22"/>
          <w:szCs w:val="22"/>
        </w:rPr>
        <w:t xml:space="preserve">είναι </w:t>
      </w:r>
      <w:r w:rsidRPr="00F42B32">
        <w:rPr>
          <w:rFonts w:asciiTheme="minorHAnsi" w:hAnsiTheme="minorHAnsi" w:cstheme="minorHAnsi"/>
          <w:sz w:val="22"/>
          <w:szCs w:val="22"/>
        </w:rPr>
        <w:t>μία από τις πιο σημαντικές του ΕΣΠΑ 2014 -2020</w:t>
      </w:r>
      <w:r>
        <w:rPr>
          <w:rFonts w:asciiTheme="minorHAnsi" w:hAnsiTheme="minorHAnsi" w:cstheme="minorHAnsi"/>
          <w:sz w:val="22"/>
          <w:szCs w:val="22"/>
        </w:rPr>
        <w:t xml:space="preserve">, αφορά την υλοποίηση ερευνητικών έργων με </w:t>
      </w:r>
      <w:r w:rsidRPr="00F42B32">
        <w:rPr>
          <w:rFonts w:asciiTheme="minorHAnsi" w:hAnsiTheme="minorHAnsi" w:cstheme="minorHAnsi"/>
          <w:sz w:val="22"/>
          <w:szCs w:val="22"/>
        </w:rPr>
        <w:t>αναπτυξιακό χαρακτήρα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13607">
        <w:rPr>
          <w:rFonts w:asciiTheme="minorHAnsi" w:hAnsiTheme="minorHAnsi" w:cstheme="minorHAnsi"/>
          <w:sz w:val="22"/>
          <w:szCs w:val="22"/>
        </w:rPr>
        <w:t xml:space="preserve">και συγχρηματοδοτείται από το Ευρωπαϊκό Ταμείο Περιφερειακής Ανάπτυξης και εθνικούς πόρους. </w:t>
      </w:r>
    </w:p>
    <w:p w:rsidR="00E7313B" w:rsidRPr="00F42B32" w:rsidRDefault="00E7313B" w:rsidP="00E7313B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F42B32">
        <w:rPr>
          <w:rFonts w:asciiTheme="minorHAnsi" w:hAnsiTheme="minorHAnsi"/>
          <w:sz w:val="22"/>
          <w:szCs w:val="22"/>
        </w:rPr>
        <w:t xml:space="preserve">Η </w:t>
      </w:r>
      <w:r>
        <w:rPr>
          <w:rFonts w:asciiTheme="minorHAnsi" w:hAnsiTheme="minorHAnsi"/>
          <w:sz w:val="22"/>
          <w:szCs w:val="22"/>
        </w:rPr>
        <w:t>Δ</w:t>
      </w:r>
      <w:r w:rsidRPr="00F42B32">
        <w:rPr>
          <w:rFonts w:asciiTheme="minorHAnsi" w:hAnsiTheme="minorHAnsi"/>
          <w:sz w:val="22"/>
          <w:szCs w:val="22"/>
        </w:rPr>
        <w:t>ράση έχει ως βασικό στόχο τη</w:t>
      </w:r>
      <w:r w:rsidRPr="00F42B32">
        <w:rPr>
          <w:rFonts w:asciiTheme="minorHAnsi" w:hAnsiTheme="minorHAnsi" w:cs="Tahoma"/>
          <w:sz w:val="22"/>
          <w:szCs w:val="22"/>
          <w:lang w:eastAsia="el-GR"/>
        </w:rPr>
        <w:t xml:space="preserve"> σύνδεση της έρευνας με την </w:t>
      </w:r>
      <w:r>
        <w:rPr>
          <w:rFonts w:asciiTheme="minorHAnsi" w:hAnsiTheme="minorHAnsi" w:cs="Tahoma"/>
          <w:sz w:val="22"/>
          <w:szCs w:val="22"/>
          <w:lang w:eastAsia="el-GR"/>
        </w:rPr>
        <w:t xml:space="preserve">καινοτόμο </w:t>
      </w:r>
      <w:r w:rsidRPr="00F42B32">
        <w:rPr>
          <w:rFonts w:asciiTheme="minorHAnsi" w:hAnsiTheme="minorHAnsi" w:cs="Tahoma"/>
          <w:sz w:val="22"/>
          <w:szCs w:val="22"/>
          <w:lang w:eastAsia="el-GR"/>
        </w:rPr>
        <w:t>επιχειρηματικότητα</w:t>
      </w:r>
      <w:r>
        <w:rPr>
          <w:rFonts w:asciiTheme="minorHAnsi" w:hAnsiTheme="minorHAnsi" w:cs="Tahoma"/>
          <w:sz w:val="22"/>
          <w:szCs w:val="22"/>
          <w:lang w:eastAsia="el-GR"/>
        </w:rPr>
        <w:t xml:space="preserve">, </w:t>
      </w:r>
      <w:r w:rsidRPr="00F42B32">
        <w:rPr>
          <w:rFonts w:asciiTheme="minorHAnsi" w:hAnsiTheme="minorHAnsi" w:cs="Tahoma"/>
          <w:sz w:val="22"/>
          <w:szCs w:val="22"/>
          <w:lang w:eastAsia="el-GR"/>
        </w:rPr>
        <w:t>την ενίσχυση της ανταγωνιστικότητας και της εξωστρέφειας των επιχειρήσεων</w:t>
      </w:r>
      <w:r>
        <w:rPr>
          <w:rFonts w:asciiTheme="minorHAnsi" w:hAnsiTheme="minorHAnsi" w:cs="Tahoma"/>
          <w:sz w:val="22"/>
          <w:szCs w:val="22"/>
          <w:lang w:eastAsia="el-GR"/>
        </w:rPr>
        <w:t xml:space="preserve">, </w:t>
      </w:r>
      <w:r w:rsidRPr="00F42B32">
        <w:rPr>
          <w:rFonts w:asciiTheme="minorHAnsi" w:hAnsiTheme="minorHAnsi"/>
          <w:sz w:val="22"/>
          <w:szCs w:val="22"/>
        </w:rPr>
        <w:t xml:space="preserve">σε όλους τους </w:t>
      </w:r>
      <w:r>
        <w:rPr>
          <w:rFonts w:asciiTheme="minorHAnsi" w:hAnsiTheme="minorHAnsi"/>
          <w:sz w:val="22"/>
          <w:szCs w:val="22"/>
        </w:rPr>
        <w:t>τ</w:t>
      </w:r>
      <w:r w:rsidRPr="00F42B32">
        <w:rPr>
          <w:rFonts w:asciiTheme="minorHAnsi" w:hAnsiTheme="minorHAnsi"/>
          <w:sz w:val="22"/>
          <w:szCs w:val="22"/>
        </w:rPr>
        <w:t>ομείς προτεραιότητας της Έξυπνης Εξειδίκευσης (</w:t>
      </w:r>
      <w:r w:rsidRPr="00F42B32">
        <w:rPr>
          <w:rFonts w:asciiTheme="minorHAnsi" w:hAnsiTheme="minorHAnsi" w:cs="Tahoma"/>
          <w:sz w:val="22"/>
          <w:szCs w:val="22"/>
        </w:rPr>
        <w:t>Υλικά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F42B32">
        <w:rPr>
          <w:rFonts w:asciiTheme="minorHAnsi" w:hAnsiTheme="minorHAnsi" w:cs="Tahoma"/>
          <w:sz w:val="22"/>
          <w:szCs w:val="22"/>
        </w:rPr>
        <w:t>–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F42B32">
        <w:rPr>
          <w:rFonts w:asciiTheme="minorHAnsi" w:hAnsiTheme="minorHAnsi" w:cs="Tahoma"/>
          <w:sz w:val="22"/>
          <w:szCs w:val="22"/>
        </w:rPr>
        <w:t xml:space="preserve">Κατασκευές, Τουρισμός, Πολιτισμός &amp; Δημιουργικές Βιομηχανίες, </w:t>
      </w:r>
      <w:proofErr w:type="spellStart"/>
      <w:r w:rsidRPr="00F42B32">
        <w:rPr>
          <w:rFonts w:asciiTheme="minorHAnsi" w:hAnsiTheme="minorHAnsi" w:cs="Tahoma"/>
          <w:sz w:val="22"/>
          <w:szCs w:val="22"/>
        </w:rPr>
        <w:t>Αγρο</w:t>
      </w:r>
      <w:proofErr w:type="spellEnd"/>
      <w:r>
        <w:rPr>
          <w:rFonts w:asciiTheme="minorHAnsi" w:hAnsiTheme="minorHAnsi" w:cs="Tahoma"/>
          <w:sz w:val="22"/>
          <w:szCs w:val="22"/>
        </w:rPr>
        <w:t>-</w:t>
      </w:r>
      <w:r w:rsidRPr="00F42B32">
        <w:rPr>
          <w:rFonts w:asciiTheme="minorHAnsi" w:hAnsiTheme="minorHAnsi" w:cs="Tahoma"/>
          <w:sz w:val="22"/>
          <w:szCs w:val="22"/>
        </w:rPr>
        <w:t xml:space="preserve">διατροφή &amp; </w:t>
      </w:r>
      <w:r>
        <w:rPr>
          <w:rFonts w:asciiTheme="minorHAnsi" w:hAnsiTheme="minorHAnsi" w:cs="Tahoma"/>
          <w:sz w:val="22"/>
          <w:szCs w:val="22"/>
        </w:rPr>
        <w:t>Β</w:t>
      </w:r>
      <w:r w:rsidRPr="00F42B32">
        <w:rPr>
          <w:rFonts w:asciiTheme="minorHAnsi" w:hAnsiTheme="minorHAnsi" w:cs="Tahoma"/>
          <w:sz w:val="22"/>
          <w:szCs w:val="22"/>
        </w:rPr>
        <w:t xml:space="preserve">ιομηχανία τροφίμων, Περιβάλλον &amp; Βιώσιμη Ανάπτυξη, Υγεία &amp; Φάρμακα, Μεταφορές &amp; Εφοδιαστική Αλυσίδα, Ενέργεια, Τεχνολογίες Πληροφορικής &amp; Επικοινωνιών). </w:t>
      </w:r>
    </w:p>
    <w:p w:rsidR="00E7313B" w:rsidRDefault="00E7313B" w:rsidP="00E7313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Ο</w:t>
      </w:r>
      <w:r w:rsidRPr="00F42B32">
        <w:rPr>
          <w:rFonts w:asciiTheme="minorHAnsi" w:hAnsiTheme="minorHAnsi" w:cstheme="minorHAnsi"/>
          <w:sz w:val="22"/>
          <w:szCs w:val="22"/>
        </w:rPr>
        <w:t xml:space="preserve"> αρχικός προϋπολογισμός των 280 εκατ. </w:t>
      </w:r>
      <w:r>
        <w:rPr>
          <w:rFonts w:asciiTheme="minorHAnsi" w:hAnsiTheme="minorHAnsi" w:cstheme="minorHAnsi"/>
          <w:sz w:val="22"/>
          <w:szCs w:val="22"/>
        </w:rPr>
        <w:t>€,</w:t>
      </w:r>
      <w:r w:rsidRPr="00F42B3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λόγω του </w:t>
      </w:r>
      <w:r w:rsidRPr="00F42B32">
        <w:rPr>
          <w:rFonts w:asciiTheme="minorHAnsi" w:hAnsiTheme="minorHAnsi" w:cstheme="minorHAnsi"/>
          <w:sz w:val="22"/>
          <w:szCs w:val="22"/>
        </w:rPr>
        <w:t>υψηλ</w:t>
      </w:r>
      <w:r>
        <w:rPr>
          <w:rFonts w:asciiTheme="minorHAnsi" w:hAnsiTheme="minorHAnsi" w:cstheme="minorHAnsi"/>
          <w:sz w:val="22"/>
          <w:szCs w:val="22"/>
        </w:rPr>
        <w:t xml:space="preserve">ού ενδιαφέροντος από ερευνητικούς φορείς και επιχειρήσεις, </w:t>
      </w:r>
      <w:r w:rsidRPr="00F42B32">
        <w:rPr>
          <w:rFonts w:asciiTheme="minorHAnsi" w:hAnsiTheme="minorHAnsi" w:cstheme="minorHAnsi"/>
          <w:sz w:val="22"/>
          <w:szCs w:val="22"/>
        </w:rPr>
        <w:t>αυξήθηκε τον Αύγουστο 2017 κατά 130 εκ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2D09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€, ανερχόμενος </w:t>
      </w:r>
      <w:r w:rsidRPr="00F42B32">
        <w:rPr>
          <w:rFonts w:asciiTheme="minorHAnsi" w:hAnsiTheme="minorHAnsi" w:cstheme="minorHAnsi"/>
          <w:sz w:val="22"/>
          <w:szCs w:val="22"/>
        </w:rPr>
        <w:t xml:space="preserve">σε </w:t>
      </w:r>
      <w:r w:rsidRPr="00E72A5C">
        <w:rPr>
          <w:rFonts w:asciiTheme="minorHAnsi" w:hAnsiTheme="minorHAnsi" w:cstheme="minorHAnsi"/>
          <w:b/>
          <w:sz w:val="22"/>
          <w:szCs w:val="22"/>
          <w:u w:val="single"/>
        </w:rPr>
        <w:t xml:space="preserve">410 εκ. </w:t>
      </w:r>
      <w:r w:rsidRPr="00E72A5C">
        <w:rPr>
          <w:rFonts w:asciiTheme="minorHAnsi" w:hAnsiTheme="minorHAnsi" w:cstheme="minorHAnsi"/>
          <w:b/>
          <w:sz w:val="22"/>
          <w:szCs w:val="22"/>
        </w:rPr>
        <w:t>€</w:t>
      </w:r>
      <w:r w:rsidRPr="00F42B3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7313B" w:rsidRPr="00F42B32" w:rsidRDefault="00E7313B" w:rsidP="00E7313B">
      <w:pPr>
        <w:spacing w:after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Σ</w:t>
      </w:r>
      <w:r w:rsidRPr="00F42B32">
        <w:rPr>
          <w:rFonts w:asciiTheme="minorHAnsi" w:hAnsiTheme="minorHAnsi"/>
          <w:sz w:val="22"/>
          <w:szCs w:val="22"/>
        </w:rPr>
        <w:t xml:space="preserve">τις τρεις Παρεμβάσεις </w:t>
      </w:r>
      <w:r>
        <w:rPr>
          <w:rFonts w:asciiTheme="minorHAnsi" w:hAnsiTheme="minorHAnsi"/>
          <w:sz w:val="22"/>
          <w:szCs w:val="22"/>
        </w:rPr>
        <w:t>υ</w:t>
      </w:r>
      <w:r w:rsidRPr="00F42B32">
        <w:rPr>
          <w:rFonts w:asciiTheme="minorHAnsi" w:hAnsiTheme="minorHAnsi" w:cs="Tahoma"/>
          <w:bCs/>
          <w:sz w:val="22"/>
          <w:szCs w:val="22"/>
        </w:rPr>
        <w:t xml:space="preserve">ποβλήθηκαν από </w:t>
      </w:r>
      <w:r>
        <w:rPr>
          <w:rFonts w:asciiTheme="minorHAnsi" w:hAnsiTheme="minorHAnsi"/>
          <w:sz w:val="22"/>
          <w:szCs w:val="22"/>
        </w:rPr>
        <w:t>ε</w:t>
      </w:r>
      <w:r w:rsidRPr="00F42B32">
        <w:rPr>
          <w:rFonts w:asciiTheme="minorHAnsi" w:hAnsiTheme="minorHAnsi"/>
          <w:sz w:val="22"/>
          <w:szCs w:val="22"/>
        </w:rPr>
        <w:t xml:space="preserve">πιχειρήσεις και </w:t>
      </w:r>
      <w:r>
        <w:rPr>
          <w:rFonts w:asciiTheme="minorHAnsi" w:hAnsiTheme="minorHAnsi"/>
          <w:sz w:val="22"/>
          <w:szCs w:val="22"/>
        </w:rPr>
        <w:t>ε</w:t>
      </w:r>
      <w:r w:rsidRPr="00F42B32">
        <w:rPr>
          <w:rFonts w:asciiTheme="minorHAnsi" w:hAnsiTheme="minorHAnsi"/>
          <w:sz w:val="22"/>
          <w:szCs w:val="22"/>
        </w:rPr>
        <w:t xml:space="preserve">ρευνητικούς </w:t>
      </w:r>
      <w:r>
        <w:rPr>
          <w:rFonts w:asciiTheme="minorHAnsi" w:hAnsiTheme="minorHAnsi"/>
          <w:sz w:val="22"/>
          <w:szCs w:val="22"/>
        </w:rPr>
        <w:t>ο</w:t>
      </w:r>
      <w:r w:rsidRPr="00F42B32">
        <w:rPr>
          <w:rFonts w:asciiTheme="minorHAnsi" w:hAnsiTheme="minorHAnsi"/>
          <w:sz w:val="22"/>
          <w:szCs w:val="22"/>
        </w:rPr>
        <w:t>ργανισμούς</w:t>
      </w:r>
      <w:r w:rsidRPr="00F42B32">
        <w:rPr>
          <w:rFonts w:asciiTheme="minorHAnsi" w:hAnsiTheme="minorHAnsi" w:cs="Tahoma"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Cs/>
          <w:sz w:val="22"/>
          <w:szCs w:val="22"/>
        </w:rPr>
        <w:t>για χρηματοδότηση,</w:t>
      </w:r>
      <w:r w:rsidRPr="00F42B32">
        <w:rPr>
          <w:rFonts w:asciiTheme="minorHAnsi" w:hAnsiTheme="minorHAnsi" w:cs="Tahoma"/>
          <w:bCs/>
          <w:sz w:val="22"/>
          <w:szCs w:val="22"/>
        </w:rPr>
        <w:t xml:space="preserve"> συνολικά </w:t>
      </w:r>
      <w:r w:rsidRPr="005E5E76">
        <w:rPr>
          <w:rFonts w:asciiTheme="minorHAnsi" w:hAnsiTheme="minorHAnsi" w:cs="Tahoma"/>
          <w:bCs/>
          <w:sz w:val="22"/>
          <w:szCs w:val="22"/>
        </w:rPr>
        <w:t>2.426 προτάσεις</w:t>
      </w:r>
      <w:r>
        <w:rPr>
          <w:rFonts w:asciiTheme="minorHAnsi" w:hAnsiTheme="minorHAnsi" w:cs="Tahoma"/>
          <w:bCs/>
          <w:sz w:val="22"/>
          <w:szCs w:val="22"/>
        </w:rPr>
        <w:t>, οι οποίες α</w:t>
      </w:r>
      <w:r w:rsidRPr="00F42B32">
        <w:rPr>
          <w:rFonts w:asciiTheme="minorHAnsi" w:hAnsiTheme="minorHAnsi" w:cs="Tahoma"/>
          <w:sz w:val="22"/>
          <w:szCs w:val="22"/>
        </w:rPr>
        <w:t xml:space="preserve">ξιολογήθηκαν από 28 </w:t>
      </w:r>
      <w:r>
        <w:rPr>
          <w:rFonts w:asciiTheme="minorHAnsi" w:hAnsiTheme="minorHAnsi" w:cs="Tahoma"/>
          <w:sz w:val="22"/>
          <w:szCs w:val="22"/>
        </w:rPr>
        <w:t>ε</w:t>
      </w:r>
      <w:r w:rsidRPr="00F42B32">
        <w:rPr>
          <w:rFonts w:asciiTheme="minorHAnsi" w:hAnsiTheme="minorHAnsi" w:cs="Tahoma"/>
          <w:sz w:val="22"/>
          <w:szCs w:val="22"/>
        </w:rPr>
        <w:t xml:space="preserve">πιτροπές </w:t>
      </w:r>
      <w:r>
        <w:rPr>
          <w:rFonts w:asciiTheme="minorHAnsi" w:hAnsiTheme="minorHAnsi" w:cs="Tahoma"/>
          <w:sz w:val="22"/>
          <w:szCs w:val="22"/>
        </w:rPr>
        <w:t>εμπειρογνώμων εγν</w:t>
      </w:r>
      <w:r w:rsidRPr="00F42B32">
        <w:rPr>
          <w:rFonts w:asciiTheme="minorHAnsi" w:hAnsiTheme="minorHAnsi"/>
          <w:sz w:val="22"/>
          <w:szCs w:val="22"/>
        </w:rPr>
        <w:t xml:space="preserve">ωσμένου κύρους,  με </w:t>
      </w:r>
      <w:r w:rsidRPr="00F42B32">
        <w:rPr>
          <w:rFonts w:asciiTheme="minorHAnsi" w:hAnsiTheme="minorHAnsi"/>
          <w:color w:val="000000"/>
          <w:sz w:val="22"/>
          <w:szCs w:val="22"/>
        </w:rPr>
        <w:t xml:space="preserve">κριτήρια την </w:t>
      </w:r>
      <w:r w:rsidRPr="00F42B32">
        <w:rPr>
          <w:rFonts w:asciiTheme="minorHAnsi" w:hAnsiTheme="minorHAnsi" w:cs="Tahoma"/>
          <w:sz w:val="22"/>
          <w:szCs w:val="22"/>
        </w:rPr>
        <w:t>επιστημονική και τεχνική αρτιότητα των προτάσεων, την εμπειρία και αξιοπιστία των  δικαιούχων</w:t>
      </w:r>
      <w:r>
        <w:rPr>
          <w:rFonts w:asciiTheme="minorHAnsi" w:hAnsiTheme="minorHAnsi" w:cs="Tahoma"/>
          <w:sz w:val="22"/>
          <w:szCs w:val="22"/>
        </w:rPr>
        <w:t>,</w:t>
      </w:r>
      <w:r w:rsidRPr="00F42B32">
        <w:rPr>
          <w:rFonts w:asciiTheme="minorHAnsi" w:hAnsiTheme="minorHAnsi" w:cs="Tahoma"/>
          <w:sz w:val="22"/>
          <w:szCs w:val="22"/>
        </w:rPr>
        <w:t xml:space="preserve"> καθώς και τα προσδοκώμενα αποτελέσματα του κάθε έργου. </w:t>
      </w:r>
    </w:p>
    <w:p w:rsidR="00E7313B" w:rsidRPr="00E72A5C" w:rsidRDefault="00E7313B" w:rsidP="00E7313B">
      <w:pPr>
        <w:spacing w:after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Ο</w:t>
      </w:r>
      <w:r w:rsidRPr="00F42B32">
        <w:rPr>
          <w:rFonts w:asciiTheme="minorHAnsi" w:hAnsiTheme="minorHAnsi"/>
          <w:sz w:val="22"/>
          <w:szCs w:val="22"/>
        </w:rPr>
        <w:t xml:space="preserve">ι </w:t>
      </w:r>
      <w:r w:rsidRPr="00F42B32">
        <w:rPr>
          <w:rFonts w:asciiTheme="minorHAnsi" w:hAnsiTheme="minorHAnsi" w:cs="Tahoma"/>
          <w:sz w:val="22"/>
          <w:szCs w:val="22"/>
        </w:rPr>
        <w:t>προσωρινοί κα</w:t>
      </w:r>
      <w:r>
        <w:rPr>
          <w:rFonts w:asciiTheme="minorHAnsi" w:hAnsiTheme="minorHAnsi" w:cs="Tahoma"/>
          <w:sz w:val="22"/>
          <w:szCs w:val="22"/>
        </w:rPr>
        <w:t xml:space="preserve">τάλογοι των </w:t>
      </w:r>
      <w:r w:rsidRPr="00A13607">
        <w:rPr>
          <w:rFonts w:asciiTheme="minorHAnsi" w:hAnsiTheme="minorHAnsi" w:cs="Tahoma"/>
          <w:sz w:val="22"/>
          <w:szCs w:val="22"/>
        </w:rPr>
        <w:t xml:space="preserve">δυνητικών δικαιούχων για όλες τις Παρεμβάσεις </w:t>
      </w:r>
      <w:r w:rsidRPr="00F42B32">
        <w:rPr>
          <w:rFonts w:asciiTheme="minorHAnsi" w:hAnsiTheme="minorHAnsi" w:cs="Tahoma"/>
          <w:sz w:val="22"/>
          <w:szCs w:val="22"/>
        </w:rPr>
        <w:t>έχουν ήδη ανακοινωθεί</w:t>
      </w:r>
      <w:r>
        <w:rPr>
          <w:rFonts w:asciiTheme="minorHAnsi" w:hAnsiTheme="minorHAnsi" w:cs="Tahoma"/>
          <w:sz w:val="22"/>
          <w:szCs w:val="22"/>
        </w:rPr>
        <w:t>.</w:t>
      </w:r>
    </w:p>
    <w:p w:rsidR="00E7313B" w:rsidRPr="00DC6651" w:rsidRDefault="00E7313B" w:rsidP="00E7313B">
      <w:pPr>
        <w:spacing w:after="120"/>
        <w:jc w:val="both"/>
        <w:rPr>
          <w:rFonts w:asciiTheme="minorHAnsi" w:hAnsiTheme="minorHAnsi" w:cs="Tahoma"/>
          <w:bCs/>
          <w:sz w:val="22"/>
          <w:szCs w:val="22"/>
          <w:lang w:val="en-US"/>
        </w:rPr>
      </w:pPr>
      <w:r>
        <w:rPr>
          <w:rFonts w:asciiTheme="minorHAnsi" w:hAnsiTheme="minorHAnsi" w:cs="Tahoma"/>
          <w:sz w:val="22"/>
          <w:szCs w:val="22"/>
        </w:rPr>
        <w:t>Σ</w:t>
      </w:r>
      <w:r w:rsidRPr="00F42B32">
        <w:rPr>
          <w:rFonts w:asciiTheme="minorHAnsi" w:hAnsiTheme="minorHAnsi" w:cs="Tahoma"/>
          <w:sz w:val="22"/>
          <w:szCs w:val="22"/>
        </w:rPr>
        <w:t xml:space="preserve">υνολικά </w:t>
      </w:r>
      <w:r w:rsidRPr="00F42B32">
        <w:rPr>
          <w:rFonts w:asciiTheme="minorHAnsi" w:hAnsiTheme="minorHAnsi" w:cs="Tahoma"/>
          <w:bCs/>
          <w:sz w:val="22"/>
          <w:szCs w:val="22"/>
        </w:rPr>
        <w:t>προκρίνονται για χρηματοδότηση</w:t>
      </w:r>
      <w:r>
        <w:rPr>
          <w:rFonts w:asciiTheme="minorHAnsi" w:hAnsiTheme="minorHAnsi" w:cs="Tahoma"/>
          <w:bCs/>
          <w:sz w:val="22"/>
          <w:szCs w:val="22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1559"/>
        <w:gridCol w:w="2126"/>
      </w:tblGrid>
      <w:tr w:rsidR="00E7313B" w:rsidRPr="00AF2451" w:rsidTr="00A03F87">
        <w:tc>
          <w:tcPr>
            <w:tcW w:w="5637" w:type="dxa"/>
          </w:tcPr>
          <w:p w:rsidR="00E7313B" w:rsidRPr="00AF2451" w:rsidRDefault="00E7313B" w:rsidP="00A03F87">
            <w:pPr>
              <w:spacing w:before="60" w:after="6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E7313B" w:rsidRPr="00AF2451" w:rsidRDefault="00E7313B" w:rsidP="00A03F87">
            <w:pPr>
              <w:spacing w:before="60" w:after="6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AF245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Αρ. Έργων</w:t>
            </w:r>
          </w:p>
        </w:tc>
        <w:tc>
          <w:tcPr>
            <w:tcW w:w="2126" w:type="dxa"/>
          </w:tcPr>
          <w:p w:rsidR="00E7313B" w:rsidRPr="00AF2451" w:rsidRDefault="00E7313B" w:rsidP="00A03F87">
            <w:pPr>
              <w:spacing w:before="60" w:after="6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</w:pPr>
            <w:r w:rsidRPr="00AF245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Δημόσια Δαπάνη</w:t>
            </w:r>
            <w:r w:rsidRPr="00AF2451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 xml:space="preserve"> (</w:t>
            </w:r>
            <w:r w:rsidRPr="00AF2451">
              <w:rPr>
                <w:rFonts w:asciiTheme="minorHAnsi" w:hAnsiTheme="minorHAnsi" w:cs="Tahoma"/>
                <w:b/>
                <w:sz w:val="22"/>
                <w:szCs w:val="22"/>
              </w:rPr>
              <w:t>€</w:t>
            </w:r>
            <w:r w:rsidRPr="00AF2451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)</w:t>
            </w:r>
          </w:p>
        </w:tc>
      </w:tr>
      <w:tr w:rsidR="00E7313B" w:rsidRPr="00DC6651" w:rsidTr="00A03F87">
        <w:tc>
          <w:tcPr>
            <w:tcW w:w="5637" w:type="dxa"/>
            <w:vAlign w:val="center"/>
          </w:tcPr>
          <w:p w:rsidR="00E7313B" w:rsidRPr="00DC6651" w:rsidRDefault="00E7313B" w:rsidP="00A03F87">
            <w:pPr>
              <w:pStyle w:val="ListParagraph"/>
              <w:spacing w:before="60" w:after="60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DC665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Παρέμβαση Ι</w:t>
            </w:r>
            <w:r w:rsidRPr="00DC6651">
              <w:rPr>
                <w:rFonts w:asciiTheme="minorHAnsi" w:hAnsiTheme="minorHAnsi" w:cs="Tahoma"/>
                <w:bCs/>
                <w:sz w:val="22"/>
                <w:szCs w:val="22"/>
              </w:rPr>
              <w:t xml:space="preserve">: </w:t>
            </w:r>
            <w:r w:rsidRPr="00DC6651">
              <w:rPr>
                <w:rFonts w:asciiTheme="minorHAnsi" w:hAnsiTheme="minorHAnsi"/>
                <w:sz w:val="22"/>
                <w:szCs w:val="22"/>
              </w:rPr>
              <w:t xml:space="preserve"> Έρευνα και Ανάπτυξη από Μικρομεσαίες Επιχειρήσεις</w:t>
            </w:r>
          </w:p>
        </w:tc>
        <w:tc>
          <w:tcPr>
            <w:tcW w:w="1559" w:type="dxa"/>
            <w:vAlign w:val="center"/>
          </w:tcPr>
          <w:p w:rsidR="00E7313B" w:rsidRPr="00DC6651" w:rsidRDefault="00E7313B" w:rsidP="00A03F87">
            <w:pPr>
              <w:spacing w:before="60" w:after="60"/>
              <w:jc w:val="center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C6651">
              <w:rPr>
                <w:rFonts w:asciiTheme="minorHAnsi" w:hAnsiTheme="minorHAnsi" w:cs="Tahoma"/>
                <w:bCs/>
                <w:sz w:val="22"/>
                <w:szCs w:val="22"/>
              </w:rPr>
              <w:t>176</w:t>
            </w:r>
          </w:p>
        </w:tc>
        <w:tc>
          <w:tcPr>
            <w:tcW w:w="2126" w:type="dxa"/>
            <w:vAlign w:val="center"/>
          </w:tcPr>
          <w:p w:rsidR="00E7313B" w:rsidRPr="00DC6651" w:rsidRDefault="00E7313B" w:rsidP="00A03F87">
            <w:pPr>
              <w:spacing w:before="60" w:after="60"/>
              <w:jc w:val="center"/>
              <w:rPr>
                <w:rFonts w:asciiTheme="minorHAnsi" w:hAnsiTheme="minorHAnsi" w:cs="Tahoma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  <w:lang w:val="en-US"/>
              </w:rPr>
              <w:t>35.326.473</w:t>
            </w:r>
          </w:p>
        </w:tc>
      </w:tr>
      <w:tr w:rsidR="00E7313B" w:rsidRPr="00DC6651" w:rsidTr="00A03F87">
        <w:tc>
          <w:tcPr>
            <w:tcW w:w="5637" w:type="dxa"/>
            <w:vAlign w:val="center"/>
          </w:tcPr>
          <w:p w:rsidR="00E7313B" w:rsidRPr="00DC6651" w:rsidRDefault="00E7313B" w:rsidP="00A03F87">
            <w:pPr>
              <w:spacing w:before="60" w:after="6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C665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Παρέμβαση ΙΙ</w:t>
            </w:r>
            <w:r w:rsidRPr="00DC6651">
              <w:rPr>
                <w:rFonts w:asciiTheme="minorHAnsi" w:hAnsiTheme="minorHAnsi" w:cs="Tahoma"/>
                <w:bCs/>
                <w:sz w:val="22"/>
                <w:szCs w:val="22"/>
              </w:rPr>
              <w:t>:</w:t>
            </w:r>
            <w:r w:rsidRPr="00DC6651">
              <w:rPr>
                <w:rFonts w:asciiTheme="minorHAnsi" w:hAnsiTheme="minorHAnsi"/>
                <w:sz w:val="22"/>
                <w:szCs w:val="22"/>
              </w:rPr>
              <w:t xml:space="preserve"> Συμπράξεις Επιχειρήσεων με Ερευνητικούς Οργανισμούς.</w:t>
            </w:r>
          </w:p>
        </w:tc>
        <w:tc>
          <w:tcPr>
            <w:tcW w:w="1559" w:type="dxa"/>
            <w:vAlign w:val="center"/>
          </w:tcPr>
          <w:p w:rsidR="00E7313B" w:rsidRPr="00DC6651" w:rsidRDefault="00E7313B" w:rsidP="00A03F87">
            <w:pPr>
              <w:spacing w:before="60" w:after="60"/>
              <w:jc w:val="center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C6651">
              <w:rPr>
                <w:rFonts w:asciiTheme="minorHAnsi" w:hAnsiTheme="minorHAnsi" w:cs="Tahoma"/>
                <w:bCs/>
                <w:sz w:val="22"/>
                <w:szCs w:val="22"/>
              </w:rPr>
              <w:t>371</w:t>
            </w:r>
          </w:p>
        </w:tc>
        <w:tc>
          <w:tcPr>
            <w:tcW w:w="2126" w:type="dxa"/>
            <w:vAlign w:val="center"/>
          </w:tcPr>
          <w:p w:rsidR="00E7313B" w:rsidRPr="00DC6651" w:rsidRDefault="00E7313B" w:rsidP="00A03F87">
            <w:pPr>
              <w:spacing w:before="60" w:after="60"/>
              <w:jc w:val="center"/>
              <w:rPr>
                <w:rFonts w:asciiTheme="minorHAnsi" w:hAnsiTheme="minorHAnsi" w:cs="Tahoma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  <w:lang w:val="en-US"/>
              </w:rPr>
              <w:t>247.871.950</w:t>
            </w:r>
          </w:p>
        </w:tc>
      </w:tr>
      <w:tr w:rsidR="00E7313B" w:rsidRPr="00DC6651" w:rsidTr="00A03F87">
        <w:tc>
          <w:tcPr>
            <w:tcW w:w="5637" w:type="dxa"/>
            <w:vAlign w:val="center"/>
          </w:tcPr>
          <w:p w:rsidR="00E7313B" w:rsidRPr="00DC6651" w:rsidRDefault="00E7313B" w:rsidP="00A03F87">
            <w:pPr>
              <w:spacing w:before="60" w:after="60"/>
              <w:rPr>
                <w:rFonts w:asciiTheme="minorHAnsi" w:hAnsiTheme="minorHAnsi" w:cs="Tahoma"/>
                <w:sz w:val="22"/>
                <w:szCs w:val="22"/>
              </w:rPr>
            </w:pPr>
            <w:r w:rsidRPr="00DC665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Παρέμβαση ΙΙΙ</w:t>
            </w:r>
            <w:r w:rsidRPr="00DC6651">
              <w:rPr>
                <w:rFonts w:asciiTheme="minorHAnsi" w:hAnsiTheme="minorHAnsi"/>
                <w:sz w:val="22"/>
                <w:szCs w:val="22"/>
              </w:rPr>
              <w:t>: Αξιοποίηση Ερευνητικών Αποτελεσμάτων</w:t>
            </w:r>
          </w:p>
        </w:tc>
        <w:tc>
          <w:tcPr>
            <w:tcW w:w="1559" w:type="dxa"/>
            <w:vAlign w:val="center"/>
          </w:tcPr>
          <w:p w:rsidR="00E7313B" w:rsidRPr="00DC6651" w:rsidRDefault="00E7313B" w:rsidP="00A03F87">
            <w:pPr>
              <w:spacing w:before="60" w:after="60"/>
              <w:jc w:val="center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C6651">
              <w:rPr>
                <w:rFonts w:asciiTheme="minorHAnsi" w:hAnsiTheme="minorHAnsi" w:cs="Tahoma"/>
                <w:bCs/>
                <w:sz w:val="22"/>
                <w:szCs w:val="22"/>
              </w:rPr>
              <w:t>11</w:t>
            </w:r>
          </w:p>
        </w:tc>
        <w:tc>
          <w:tcPr>
            <w:tcW w:w="2126" w:type="dxa"/>
            <w:vAlign w:val="center"/>
          </w:tcPr>
          <w:p w:rsidR="00E7313B" w:rsidRPr="00DC6651" w:rsidRDefault="00E7313B" w:rsidP="00A03F87">
            <w:pPr>
              <w:spacing w:before="60" w:after="60"/>
              <w:jc w:val="center"/>
              <w:rPr>
                <w:rFonts w:asciiTheme="minorHAnsi" w:hAnsiTheme="minorHAnsi" w:cs="Tahoma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  <w:lang w:val="en-US"/>
              </w:rPr>
              <w:t>3.239.345</w:t>
            </w:r>
          </w:p>
        </w:tc>
      </w:tr>
      <w:tr w:rsidR="00E7313B" w:rsidRPr="00F42B32" w:rsidTr="00A03F87">
        <w:tc>
          <w:tcPr>
            <w:tcW w:w="5637" w:type="dxa"/>
            <w:vAlign w:val="center"/>
          </w:tcPr>
          <w:p w:rsidR="00E7313B" w:rsidRPr="00DC6651" w:rsidRDefault="00E7313B" w:rsidP="00A03F87">
            <w:pPr>
              <w:spacing w:before="60" w:after="60"/>
              <w:jc w:val="right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A1360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ΣΥΝΟΛΑ</w:t>
            </w:r>
          </w:p>
        </w:tc>
        <w:tc>
          <w:tcPr>
            <w:tcW w:w="1559" w:type="dxa"/>
            <w:vAlign w:val="center"/>
          </w:tcPr>
          <w:p w:rsidR="00E7313B" w:rsidRPr="00F42B32" w:rsidRDefault="00E7313B" w:rsidP="00A03F87">
            <w:pPr>
              <w:spacing w:before="60" w:after="6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42B3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558</w:t>
            </w:r>
          </w:p>
        </w:tc>
        <w:tc>
          <w:tcPr>
            <w:tcW w:w="2126" w:type="dxa"/>
            <w:vAlign w:val="center"/>
          </w:tcPr>
          <w:p w:rsidR="00E7313B" w:rsidRPr="00F42B32" w:rsidRDefault="00E7313B" w:rsidP="00A03F87">
            <w:pPr>
              <w:spacing w:before="60" w:after="6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42B32">
              <w:rPr>
                <w:rFonts w:asciiTheme="minorHAnsi" w:hAnsiTheme="minorHAnsi" w:cs="Tahoma"/>
                <w:b/>
                <w:sz w:val="22"/>
                <w:szCs w:val="22"/>
              </w:rPr>
              <w:t>286.437.769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 </w:t>
            </w:r>
            <w:r w:rsidRPr="00F42B32">
              <w:rPr>
                <w:rFonts w:asciiTheme="minorHAnsi" w:hAnsiTheme="minorHAnsi" w:cs="Tahoma"/>
                <w:b/>
                <w:sz w:val="22"/>
                <w:szCs w:val="22"/>
              </w:rPr>
              <w:t>€</w:t>
            </w:r>
          </w:p>
        </w:tc>
      </w:tr>
    </w:tbl>
    <w:p w:rsidR="00E7313B" w:rsidRDefault="00E7313B" w:rsidP="00E7313B">
      <w:pPr>
        <w:spacing w:after="120"/>
        <w:jc w:val="both"/>
        <w:rPr>
          <w:rFonts w:asciiTheme="minorHAnsi" w:hAnsiTheme="minorHAnsi" w:cs="Tahoma"/>
          <w:bCs/>
          <w:sz w:val="22"/>
          <w:szCs w:val="22"/>
          <w:lang w:val="en-US"/>
        </w:rPr>
      </w:pPr>
    </w:p>
    <w:p w:rsidR="00E7313B" w:rsidRDefault="00E7313B" w:rsidP="00E7313B">
      <w:pPr>
        <w:spacing w:after="120"/>
        <w:jc w:val="both"/>
        <w:rPr>
          <w:rFonts w:ascii="Calibri" w:hAnsi="Calibri"/>
          <w:b/>
          <w:color w:val="000000"/>
          <w:sz w:val="22"/>
          <w:szCs w:val="22"/>
          <w:lang w:eastAsia="el-GR"/>
        </w:rPr>
      </w:pPr>
      <w:r w:rsidRPr="00D9192A">
        <w:rPr>
          <w:rFonts w:asciiTheme="minorHAnsi" w:hAnsiTheme="minorHAnsi" w:cs="Tahoma"/>
          <w:b/>
          <w:bCs/>
          <w:sz w:val="22"/>
          <w:szCs w:val="22"/>
        </w:rPr>
        <w:t xml:space="preserve">Επισημαίνεται ότι η χρηματοδότηση των 558 έργων </w:t>
      </w:r>
      <w:r w:rsidRPr="00D9192A">
        <w:rPr>
          <w:rFonts w:asciiTheme="minorHAnsi" w:hAnsiTheme="minorHAnsi" w:cs="Tahoma"/>
          <w:b/>
          <w:sz w:val="22"/>
          <w:szCs w:val="22"/>
        </w:rPr>
        <w:t xml:space="preserve">με δημόσια δαπάνη 286.437.769 € αναμένεται να μοχλεύσει </w:t>
      </w:r>
      <w:r w:rsidRPr="00D9192A">
        <w:rPr>
          <w:rFonts w:asciiTheme="minorHAnsi" w:hAnsiTheme="minorHAnsi" w:cs="Tahoma"/>
          <w:b/>
          <w:bCs/>
          <w:sz w:val="22"/>
          <w:szCs w:val="22"/>
        </w:rPr>
        <w:t>ιδιωτικές επενδύσεις ύψους άνω των 50 εκ €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. Επίσης, αναμένονται </w:t>
      </w:r>
      <w:r>
        <w:rPr>
          <w:rFonts w:ascii="Calibri" w:hAnsi="Calibri"/>
          <w:b/>
          <w:color w:val="000000"/>
          <w:sz w:val="22"/>
          <w:szCs w:val="22"/>
          <w:lang w:eastAsia="el-GR"/>
        </w:rPr>
        <w:t xml:space="preserve">περί τις </w:t>
      </w:r>
      <w:r w:rsidRPr="00D9192A">
        <w:rPr>
          <w:rFonts w:ascii="Calibri" w:hAnsi="Calibri"/>
          <w:b/>
          <w:color w:val="000000"/>
          <w:sz w:val="22"/>
          <w:szCs w:val="22"/>
          <w:lang w:eastAsia="el-GR"/>
        </w:rPr>
        <w:t>3</w:t>
      </w:r>
      <w:r>
        <w:rPr>
          <w:rFonts w:ascii="Calibri" w:hAnsi="Calibri"/>
          <w:b/>
          <w:color w:val="000000"/>
          <w:sz w:val="22"/>
          <w:szCs w:val="22"/>
          <w:lang w:eastAsia="el-GR"/>
        </w:rPr>
        <w:t>4</w:t>
      </w:r>
      <w:r w:rsidRPr="00D9192A">
        <w:rPr>
          <w:rFonts w:ascii="Calibri" w:hAnsi="Calibri"/>
          <w:b/>
          <w:color w:val="000000"/>
          <w:sz w:val="22"/>
          <w:szCs w:val="22"/>
          <w:lang w:eastAsia="el-GR"/>
        </w:rPr>
        <w:t xml:space="preserve">00 </w:t>
      </w:r>
      <w:r>
        <w:rPr>
          <w:rFonts w:ascii="Calibri" w:hAnsi="Calibri"/>
          <w:b/>
          <w:color w:val="000000"/>
          <w:sz w:val="22"/>
          <w:szCs w:val="22"/>
          <w:lang w:eastAsia="el-GR"/>
        </w:rPr>
        <w:t xml:space="preserve">νέες </w:t>
      </w:r>
      <w:r w:rsidRPr="00D9192A">
        <w:rPr>
          <w:rFonts w:ascii="Calibri" w:hAnsi="Calibri"/>
          <w:b/>
          <w:color w:val="000000"/>
          <w:sz w:val="22"/>
          <w:szCs w:val="22"/>
          <w:lang w:eastAsia="el-GR"/>
        </w:rPr>
        <w:t>ποιοτικές θέσεις εργασίας στην Έρευνα.</w:t>
      </w:r>
    </w:p>
    <w:p w:rsidR="001906F2" w:rsidRDefault="001906F2" w:rsidP="001906F2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el-GR"/>
        </w:rPr>
      </w:pPr>
    </w:p>
    <w:p w:rsidR="001906F2" w:rsidRPr="001906F2" w:rsidRDefault="00E7313B" w:rsidP="001906F2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el-GR"/>
        </w:rPr>
      </w:pPr>
      <w:r w:rsidRPr="001906F2">
        <w:rPr>
          <w:rFonts w:asciiTheme="minorHAnsi" w:hAnsiTheme="minorHAnsi" w:cstheme="minorHAnsi"/>
          <w:color w:val="000000"/>
          <w:sz w:val="22"/>
          <w:szCs w:val="22"/>
          <w:lang w:eastAsia="el-GR"/>
        </w:rPr>
        <w:t>Ο Αναπλ</w:t>
      </w:r>
      <w:r w:rsidR="001906F2">
        <w:rPr>
          <w:rFonts w:asciiTheme="minorHAnsi" w:hAnsiTheme="minorHAnsi" w:cstheme="minorHAnsi"/>
          <w:color w:val="000000"/>
          <w:sz w:val="22"/>
          <w:szCs w:val="22"/>
          <w:lang w:eastAsia="el-GR"/>
        </w:rPr>
        <w:t>ηρωτής</w:t>
      </w:r>
      <w:r w:rsidRPr="001906F2">
        <w:rPr>
          <w:rFonts w:asciiTheme="minorHAnsi" w:hAnsiTheme="minorHAnsi" w:cstheme="minorHAnsi"/>
          <w:color w:val="000000"/>
          <w:sz w:val="22"/>
          <w:szCs w:val="22"/>
          <w:lang w:eastAsia="el-GR"/>
        </w:rPr>
        <w:t xml:space="preserve"> Υπουργός </w:t>
      </w:r>
      <w:r w:rsidR="001906F2" w:rsidRPr="001906F2">
        <w:rPr>
          <w:rFonts w:asciiTheme="minorHAnsi" w:hAnsiTheme="minorHAnsi" w:cstheme="minorHAnsi"/>
          <w:sz w:val="22"/>
          <w:szCs w:val="22"/>
        </w:rPr>
        <w:t>Παιδείας Έρευνας και Θρησκευμάτων</w:t>
      </w:r>
      <w:r w:rsidR="001906F2" w:rsidRPr="001906F2">
        <w:rPr>
          <w:rFonts w:asciiTheme="minorHAnsi" w:hAnsiTheme="minorHAnsi" w:cstheme="minorHAnsi"/>
          <w:color w:val="000000"/>
          <w:sz w:val="22"/>
          <w:szCs w:val="22"/>
          <w:lang w:eastAsia="el-GR"/>
        </w:rPr>
        <w:t xml:space="preserve"> </w:t>
      </w:r>
      <w:r w:rsidRPr="001906F2">
        <w:rPr>
          <w:rFonts w:asciiTheme="minorHAnsi" w:hAnsiTheme="minorHAnsi" w:cstheme="minorHAnsi"/>
          <w:color w:val="000000"/>
          <w:sz w:val="22"/>
          <w:szCs w:val="22"/>
          <w:lang w:eastAsia="el-GR"/>
        </w:rPr>
        <w:t xml:space="preserve">Κ. </w:t>
      </w:r>
      <w:proofErr w:type="spellStart"/>
      <w:r w:rsidRPr="001906F2">
        <w:rPr>
          <w:rFonts w:asciiTheme="minorHAnsi" w:hAnsiTheme="minorHAnsi" w:cstheme="minorHAnsi"/>
          <w:color w:val="000000"/>
          <w:sz w:val="22"/>
          <w:szCs w:val="22"/>
          <w:lang w:eastAsia="el-GR"/>
        </w:rPr>
        <w:t>Φωτάκης</w:t>
      </w:r>
      <w:proofErr w:type="spellEnd"/>
      <w:r w:rsidR="001906F2" w:rsidRPr="001906F2">
        <w:rPr>
          <w:rFonts w:asciiTheme="minorHAnsi" w:hAnsiTheme="minorHAnsi" w:cstheme="minorHAnsi"/>
          <w:color w:val="000000"/>
          <w:sz w:val="22"/>
          <w:szCs w:val="22"/>
          <w:lang w:eastAsia="el-GR"/>
        </w:rPr>
        <w:t>,</w:t>
      </w:r>
      <w:r w:rsidRPr="001906F2">
        <w:rPr>
          <w:rFonts w:asciiTheme="minorHAnsi" w:hAnsiTheme="minorHAnsi" w:cstheme="minorHAnsi"/>
          <w:color w:val="000000"/>
          <w:sz w:val="22"/>
          <w:szCs w:val="22"/>
          <w:lang w:eastAsia="el-GR"/>
        </w:rPr>
        <w:t xml:space="preserve"> </w:t>
      </w:r>
      <w:r w:rsidR="001906F2" w:rsidRPr="001906F2">
        <w:rPr>
          <w:rFonts w:asciiTheme="minorHAnsi" w:hAnsiTheme="minorHAnsi" w:cstheme="minorHAnsi"/>
          <w:sz w:val="22"/>
          <w:szCs w:val="22"/>
        </w:rPr>
        <w:t xml:space="preserve">μετά την ανακοίνωση των αποτελεσμάτων </w:t>
      </w:r>
      <w:r w:rsidR="001906F2" w:rsidRPr="001906F2">
        <w:rPr>
          <w:rFonts w:asciiTheme="minorHAnsi" w:hAnsiTheme="minorHAnsi" w:cstheme="minorHAnsi"/>
          <w:color w:val="000000"/>
          <w:sz w:val="22"/>
          <w:szCs w:val="22"/>
          <w:lang w:eastAsia="el-GR"/>
        </w:rPr>
        <w:t xml:space="preserve">δήλωσε: </w:t>
      </w:r>
      <w:r w:rsidR="001906F2" w:rsidRPr="001906F2">
        <w:rPr>
          <w:rFonts w:asciiTheme="minorHAnsi" w:hAnsiTheme="minorHAnsi" w:cstheme="minorHAnsi"/>
          <w:sz w:val="22"/>
          <w:szCs w:val="22"/>
        </w:rPr>
        <w:t>«</w:t>
      </w:r>
      <w:r w:rsidR="001906F2">
        <w:rPr>
          <w:rFonts w:asciiTheme="minorHAnsi" w:hAnsiTheme="minorHAnsi" w:cstheme="minorHAnsi"/>
          <w:sz w:val="22"/>
          <w:szCs w:val="22"/>
          <w:lang w:val="en-US"/>
        </w:rPr>
        <w:t>A</w:t>
      </w:r>
      <w:proofErr w:type="spellStart"/>
      <w:r w:rsidR="001906F2" w:rsidRPr="001906F2">
        <w:rPr>
          <w:rFonts w:asciiTheme="minorHAnsi" w:hAnsiTheme="minorHAnsi" w:cstheme="minorHAnsi"/>
          <w:sz w:val="22"/>
          <w:szCs w:val="22"/>
        </w:rPr>
        <w:t>ξίζουν</w:t>
      </w:r>
      <w:proofErr w:type="spellEnd"/>
      <w:r w:rsidR="001906F2" w:rsidRPr="001906F2">
        <w:rPr>
          <w:rFonts w:asciiTheme="minorHAnsi" w:hAnsiTheme="minorHAnsi" w:cstheme="minorHAnsi"/>
          <w:sz w:val="22"/>
          <w:szCs w:val="22"/>
        </w:rPr>
        <w:t xml:space="preserve"> πολλά συγχαρητήρια στα στελέχη της ΕΥΔΕ-ΕΤΑΚ και της ΓΓΕΤ για την ταχεία και αξιόπιστη διεκπεραίωση της διαδικασίας που αφορά </w:t>
      </w:r>
      <w:r w:rsidR="001906F2">
        <w:rPr>
          <w:rFonts w:asciiTheme="minorHAnsi" w:hAnsiTheme="minorHAnsi" w:cstheme="minorHAnsi"/>
          <w:sz w:val="22"/>
          <w:szCs w:val="22"/>
        </w:rPr>
        <w:t>τη Δράση</w:t>
      </w:r>
      <w:r w:rsidR="001906F2" w:rsidRPr="001906F2">
        <w:rPr>
          <w:rFonts w:asciiTheme="minorHAnsi" w:hAnsiTheme="minorHAnsi" w:cstheme="minorHAnsi"/>
          <w:sz w:val="22"/>
          <w:szCs w:val="22"/>
        </w:rPr>
        <w:t xml:space="preserve"> ΕΡΕΥΝΩ-ΔΗΜΙΟΥΡΓΩ-ΚΑΙΝΟΤΟΜΩ. Η συνεισφορά τους αποκτά ιδιαίτερη σημασία </w:t>
      </w:r>
      <w:r w:rsidR="001906F2">
        <w:rPr>
          <w:rFonts w:asciiTheme="minorHAnsi" w:hAnsiTheme="minorHAnsi" w:cstheme="minorHAnsi"/>
          <w:sz w:val="22"/>
          <w:szCs w:val="22"/>
        </w:rPr>
        <w:t>ε</w:t>
      </w:r>
      <w:r w:rsidR="001906F2" w:rsidRPr="001906F2">
        <w:rPr>
          <w:rFonts w:asciiTheme="minorHAnsi" w:hAnsiTheme="minorHAnsi" w:cstheme="minorHAnsi"/>
          <w:sz w:val="22"/>
          <w:szCs w:val="22"/>
        </w:rPr>
        <w:t xml:space="preserve">άν ληφθεί </w:t>
      </w:r>
      <w:proofErr w:type="spellStart"/>
      <w:r w:rsidR="001906F2" w:rsidRPr="001906F2">
        <w:rPr>
          <w:rFonts w:asciiTheme="minorHAnsi" w:hAnsiTheme="minorHAnsi" w:cstheme="minorHAnsi"/>
          <w:sz w:val="22"/>
          <w:szCs w:val="22"/>
        </w:rPr>
        <w:t>υπόψιν</w:t>
      </w:r>
      <w:proofErr w:type="spellEnd"/>
      <w:r w:rsidR="001906F2" w:rsidRPr="001906F2">
        <w:rPr>
          <w:rFonts w:asciiTheme="minorHAnsi" w:hAnsiTheme="minorHAnsi" w:cstheme="minorHAnsi"/>
          <w:sz w:val="22"/>
          <w:szCs w:val="22"/>
        </w:rPr>
        <w:t xml:space="preserve"> ότι μετά από πολλά χρόνια μέσα από το συγκεκριμένο πρόγραμμα πραγματοποιείται μια τόση μεγάλης έκτασης συντονισμένη παρέμβαση για τη διασύνδεση της έρευνας με την καινοτόμο επιχειρηματικότητα».</w:t>
      </w:r>
    </w:p>
    <w:p w:rsidR="001906F2" w:rsidRDefault="001906F2" w:rsidP="00E7313B">
      <w:pPr>
        <w:jc w:val="both"/>
        <w:rPr>
          <w:rFonts w:ascii="Calibri" w:hAnsi="Calibri"/>
          <w:sz w:val="22"/>
          <w:szCs w:val="22"/>
          <w:lang w:eastAsia="el-GR"/>
        </w:rPr>
      </w:pPr>
    </w:p>
    <w:p w:rsidR="001906F2" w:rsidRDefault="001906F2" w:rsidP="00E7313B">
      <w:pPr>
        <w:jc w:val="both"/>
        <w:rPr>
          <w:rFonts w:ascii="Calibri" w:hAnsi="Calibri"/>
          <w:sz w:val="22"/>
          <w:szCs w:val="22"/>
          <w:lang w:eastAsia="el-GR"/>
        </w:rPr>
      </w:pPr>
      <w:r>
        <w:rPr>
          <w:rFonts w:ascii="Calibri" w:hAnsi="Calibri"/>
          <w:sz w:val="22"/>
          <w:szCs w:val="22"/>
          <w:lang w:eastAsia="el-GR"/>
        </w:rPr>
        <w:t xml:space="preserve">Η Γενική Γραμματέας Έρευνας και Τεχνολογίας Π. </w:t>
      </w:r>
      <w:proofErr w:type="spellStart"/>
      <w:r>
        <w:rPr>
          <w:rFonts w:ascii="Calibri" w:hAnsi="Calibri"/>
          <w:sz w:val="22"/>
          <w:szCs w:val="22"/>
          <w:lang w:eastAsia="el-GR"/>
        </w:rPr>
        <w:t>Κυπριανίδου</w:t>
      </w:r>
      <w:proofErr w:type="spellEnd"/>
      <w:r w:rsidR="00E622DC">
        <w:rPr>
          <w:rFonts w:ascii="Calibri" w:hAnsi="Calibri"/>
          <w:sz w:val="22"/>
          <w:szCs w:val="22"/>
          <w:lang w:eastAsia="el-GR"/>
        </w:rPr>
        <w:t xml:space="preserve"> δήλωσε</w:t>
      </w:r>
      <w:r w:rsidRPr="001906F2">
        <w:rPr>
          <w:rFonts w:ascii="Calibri" w:hAnsi="Calibri"/>
          <w:sz w:val="22"/>
          <w:szCs w:val="22"/>
          <w:lang w:eastAsia="el-GR"/>
        </w:rPr>
        <w:t xml:space="preserve">: </w:t>
      </w:r>
      <w:r>
        <w:rPr>
          <w:rFonts w:ascii="Calibri" w:hAnsi="Calibri"/>
          <w:sz w:val="22"/>
          <w:szCs w:val="22"/>
          <w:lang w:eastAsia="el-GR"/>
        </w:rPr>
        <w:t>«</w:t>
      </w:r>
      <w:r w:rsidR="00E622DC">
        <w:rPr>
          <w:rFonts w:ascii="Calibri" w:hAnsi="Calibri"/>
          <w:sz w:val="22"/>
          <w:szCs w:val="22"/>
          <w:lang w:eastAsia="el-GR"/>
        </w:rPr>
        <w:t>Ευχαριστούμε ιδιαιτέρως</w:t>
      </w:r>
      <w:r w:rsidR="00826AF5">
        <w:rPr>
          <w:rFonts w:ascii="Calibri" w:hAnsi="Calibri"/>
          <w:sz w:val="22"/>
          <w:szCs w:val="22"/>
          <w:lang w:eastAsia="el-GR"/>
        </w:rPr>
        <w:t xml:space="preserve"> τα μέλη των επιτροπών αξιολόγησης και τους</w:t>
      </w:r>
      <w:r w:rsidR="00E622DC">
        <w:rPr>
          <w:rFonts w:ascii="Calibri" w:hAnsi="Calibri"/>
          <w:sz w:val="22"/>
          <w:szCs w:val="22"/>
          <w:lang w:eastAsia="el-GR"/>
        </w:rPr>
        <w:t xml:space="preserve"> 300 εμπειρογνώμονες, οι οποίοι αξιολόγησαν τις υποβληθείσες προτάσεις της Δράσης. Για τη ΓΓΕΤ, η δίκαιη και αξιόπιστη αξιολόγηση των ερευνητικών προτάσεων αποτελεί προτεραιότητα».</w:t>
      </w:r>
    </w:p>
    <w:p w:rsidR="00E622DC" w:rsidRPr="001906F2" w:rsidRDefault="00E622DC" w:rsidP="00E7313B">
      <w:pPr>
        <w:jc w:val="both"/>
        <w:rPr>
          <w:rFonts w:ascii="Calibri" w:hAnsi="Calibri"/>
          <w:sz w:val="22"/>
          <w:szCs w:val="22"/>
          <w:lang w:eastAsia="el-GR"/>
        </w:rPr>
      </w:pPr>
    </w:p>
    <w:p w:rsidR="00E7313B" w:rsidRPr="00F42B32" w:rsidRDefault="00E7313B" w:rsidP="00E7313B">
      <w:pPr>
        <w:jc w:val="both"/>
        <w:rPr>
          <w:rFonts w:ascii="Calibri" w:hAnsi="Calibri"/>
          <w:color w:val="000000"/>
          <w:sz w:val="22"/>
          <w:szCs w:val="22"/>
          <w:lang w:eastAsia="el-GR"/>
        </w:rPr>
      </w:pPr>
      <w:r w:rsidRPr="00A13607">
        <w:rPr>
          <w:rFonts w:ascii="Calibri" w:hAnsi="Calibri"/>
          <w:sz w:val="22"/>
          <w:szCs w:val="22"/>
          <w:lang w:eastAsia="el-GR"/>
        </w:rPr>
        <w:t xml:space="preserve">Παρά την υψηλή δημόσια δαπάνη, εξαιτίας των περιορισμών της περιφερειακής κατανομής των κονδυλίων του ΕΣΠΑ 2014-2020, ειδικά </w:t>
      </w:r>
      <w:r>
        <w:rPr>
          <w:rFonts w:ascii="Calibri" w:hAnsi="Calibri"/>
          <w:sz w:val="22"/>
          <w:szCs w:val="22"/>
          <w:lang w:eastAsia="el-GR"/>
        </w:rPr>
        <w:t>σ</w:t>
      </w:r>
      <w:r w:rsidRPr="00A13607">
        <w:rPr>
          <w:rFonts w:ascii="Calibri" w:hAnsi="Calibri"/>
          <w:sz w:val="22"/>
          <w:szCs w:val="22"/>
          <w:lang w:eastAsia="el-GR"/>
        </w:rPr>
        <w:t>την Παρέμβαση ΙΙ που περιλαμβάνει συνεργατικά έργα με φορείς κυρίως από την Περιφέρεια της Αττικής, δεν καθίσταται επί του παρόντος δυνατόν να χρηματοδοτηθούν προτάσεις που έλαβαν πολύ υψηλή βαθμολογία</w:t>
      </w:r>
      <w:r w:rsidRPr="00F42B32">
        <w:rPr>
          <w:rFonts w:ascii="Calibri" w:hAnsi="Calibri"/>
          <w:color w:val="000000"/>
          <w:sz w:val="22"/>
          <w:szCs w:val="22"/>
          <w:lang w:eastAsia="el-GR"/>
        </w:rPr>
        <w:t>.</w:t>
      </w:r>
      <w:r>
        <w:rPr>
          <w:rFonts w:ascii="Calibri" w:hAnsi="Calibri"/>
          <w:color w:val="000000"/>
          <w:sz w:val="22"/>
          <w:szCs w:val="22"/>
          <w:lang w:eastAsia="el-GR"/>
        </w:rPr>
        <w:t xml:space="preserve"> </w:t>
      </w:r>
      <w:r w:rsidRPr="00F42B32">
        <w:rPr>
          <w:rFonts w:ascii="Calibri" w:hAnsi="Calibri"/>
          <w:color w:val="000000"/>
          <w:sz w:val="22"/>
          <w:szCs w:val="22"/>
          <w:lang w:eastAsia="el-GR"/>
        </w:rPr>
        <w:t>Ως εκ τούτου</w:t>
      </w:r>
      <w:r>
        <w:rPr>
          <w:rFonts w:ascii="Calibri" w:hAnsi="Calibri"/>
          <w:color w:val="000000"/>
          <w:sz w:val="22"/>
          <w:szCs w:val="22"/>
          <w:lang w:eastAsia="el-GR"/>
        </w:rPr>
        <w:t xml:space="preserve">, </w:t>
      </w:r>
      <w:r w:rsidRPr="00F42B32">
        <w:rPr>
          <w:rFonts w:ascii="Calibri" w:hAnsi="Calibri"/>
          <w:color w:val="000000"/>
          <w:sz w:val="22"/>
          <w:szCs w:val="22"/>
          <w:lang w:eastAsia="el-GR"/>
        </w:rPr>
        <w:t xml:space="preserve">γίνονται </w:t>
      </w:r>
      <w:r>
        <w:rPr>
          <w:rFonts w:ascii="Calibri" w:hAnsi="Calibri"/>
          <w:color w:val="000000"/>
          <w:sz w:val="22"/>
          <w:szCs w:val="22"/>
          <w:lang w:eastAsia="el-GR"/>
        </w:rPr>
        <w:t xml:space="preserve">ενέργειες σε συνεργασία με το </w:t>
      </w:r>
      <w:r w:rsidRPr="00F42B32">
        <w:rPr>
          <w:rFonts w:asciiTheme="minorHAnsi" w:hAnsiTheme="minorHAnsi" w:cstheme="minorHAnsi"/>
          <w:sz w:val="22"/>
          <w:szCs w:val="22"/>
        </w:rPr>
        <w:t>Υπουργεί</w:t>
      </w:r>
      <w:r>
        <w:rPr>
          <w:rFonts w:asciiTheme="minorHAnsi" w:hAnsiTheme="minorHAnsi" w:cstheme="minorHAnsi"/>
          <w:sz w:val="22"/>
          <w:szCs w:val="22"/>
        </w:rPr>
        <w:t xml:space="preserve">ο </w:t>
      </w:r>
      <w:r w:rsidRPr="00F42B32">
        <w:rPr>
          <w:rFonts w:asciiTheme="minorHAnsi" w:hAnsiTheme="minorHAnsi" w:cstheme="minorHAnsi"/>
          <w:sz w:val="22"/>
          <w:szCs w:val="22"/>
        </w:rPr>
        <w:t>Οικονομίας και Ανάπτυξης</w:t>
      </w:r>
      <w:r>
        <w:rPr>
          <w:rFonts w:asciiTheme="minorHAnsi" w:hAnsiTheme="minorHAnsi" w:cstheme="minorHAnsi"/>
          <w:sz w:val="22"/>
          <w:szCs w:val="22"/>
        </w:rPr>
        <w:t>, να εξευρεθεί</w:t>
      </w:r>
      <w:r>
        <w:rPr>
          <w:rFonts w:ascii="Calibri" w:hAnsi="Calibri"/>
          <w:color w:val="000000"/>
          <w:sz w:val="22"/>
          <w:szCs w:val="22"/>
          <w:lang w:eastAsia="el-GR"/>
        </w:rPr>
        <w:t xml:space="preserve"> πρόσθετη </w:t>
      </w:r>
      <w:r w:rsidRPr="00F42B32">
        <w:rPr>
          <w:rFonts w:ascii="Calibri" w:hAnsi="Calibri"/>
          <w:color w:val="000000"/>
          <w:sz w:val="22"/>
          <w:szCs w:val="22"/>
          <w:lang w:eastAsia="el-GR"/>
        </w:rPr>
        <w:t>χρηματοδότηση από εθνικούς πόρους</w:t>
      </w:r>
      <w:r w:rsidRPr="00F42B32">
        <w:rPr>
          <w:rFonts w:asciiTheme="minorHAnsi" w:hAnsiTheme="minorHAnsi" w:cs="Tahoma"/>
          <w:color w:val="000000"/>
          <w:sz w:val="22"/>
          <w:szCs w:val="22"/>
          <w:lang w:eastAsia="el-GR"/>
        </w:rPr>
        <w:t xml:space="preserve">. </w:t>
      </w:r>
    </w:p>
    <w:sectPr w:rsidR="00E7313B" w:rsidRPr="00F42B32" w:rsidSect="00793386">
      <w:headerReference w:type="default" r:id="rId9"/>
      <w:footerReference w:type="default" r:id="rId10"/>
      <w:pgSz w:w="11906" w:h="16838"/>
      <w:pgMar w:top="851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20" w:rsidRDefault="00F62820" w:rsidP="00F42B32">
      <w:r>
        <w:separator/>
      </w:r>
    </w:p>
  </w:endnote>
  <w:endnote w:type="continuationSeparator" w:id="0">
    <w:p w:rsidR="00F62820" w:rsidRDefault="00F62820" w:rsidP="00F4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B32" w:rsidRDefault="00F42B32">
    <w:pPr>
      <w:pStyle w:val="Footer"/>
    </w:pPr>
  </w:p>
  <w:p w:rsidR="00F42B32" w:rsidRDefault="00793386">
    <w:pPr>
      <w:pStyle w:val="Footer"/>
    </w:pPr>
    <w:r w:rsidRPr="00F42B32">
      <w:rPr>
        <w:noProof/>
        <w:sz w:val="28"/>
        <w:szCs w:val="28"/>
        <w:lang w:eastAsia="el-GR"/>
      </w:rPr>
      <w:drawing>
        <wp:inline distT="0" distB="0" distL="0" distR="0" wp14:anchorId="320C56A5" wp14:editId="1E64CE30">
          <wp:extent cx="6480810" cy="770890"/>
          <wp:effectExtent l="0" t="0" r="0" b="0"/>
          <wp:docPr id="4" name="Εικόνα 3" descr="C:\Users\a.lempesi\AppData\Local\Microsoft\Windows\Temporary Internet Files\Content.Outlook\000MZK6V\ΕΔΥΔΕ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lempesi\AppData\Local\Microsoft\Windows\Temporary Internet Files\Content.Outlook\000MZK6V\ΕΔΥΔΕ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20" w:rsidRDefault="00F62820" w:rsidP="00F42B32">
      <w:r>
        <w:separator/>
      </w:r>
    </w:p>
  </w:footnote>
  <w:footnote w:type="continuationSeparator" w:id="0">
    <w:p w:rsidR="00F62820" w:rsidRDefault="00F62820" w:rsidP="00F42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414" w:rsidRDefault="00E41539">
    <w:pPr>
      <w:pStyle w:val="Header"/>
    </w:pPr>
    <w:r>
      <w:rPr>
        <w:noProof/>
        <w:lang w:eastAsia="el-GR"/>
      </w:rPr>
      <w:t xml:space="preserve">         </w:t>
    </w:r>
    <w:r w:rsidR="002C1464">
      <w:rPr>
        <w:noProof/>
        <w:lang w:eastAsia="el-GR"/>
      </w:rPr>
      <w:drawing>
        <wp:inline distT="0" distB="0" distL="0" distR="0" wp14:anchorId="44890F41" wp14:editId="591B1B29">
          <wp:extent cx="1429385" cy="514985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1464">
      <w:rPr>
        <w:noProof/>
        <w:lang w:eastAsia="el-GR"/>
      </w:rPr>
      <w:t xml:space="preserve">                </w:t>
    </w:r>
    <w:r>
      <w:rPr>
        <w:noProof/>
        <w:lang w:eastAsia="el-GR"/>
      </w:rPr>
      <w:t xml:space="preserve"> </w:t>
    </w:r>
    <w:r w:rsidR="002C1464">
      <w:rPr>
        <w:noProof/>
        <w:lang w:eastAsia="el-GR"/>
      </w:rPr>
      <w:t xml:space="preserve">  </w:t>
    </w:r>
    <w:r w:rsidR="002C1464">
      <w:rPr>
        <w:noProof/>
        <w:lang w:eastAsia="el-GR"/>
      </w:rPr>
      <w:drawing>
        <wp:inline distT="0" distB="0" distL="0" distR="0" wp14:anchorId="7FEDD8F8" wp14:editId="62A9A391">
          <wp:extent cx="1478604" cy="447472"/>
          <wp:effectExtent l="0" t="0" r="7620" b="0"/>
          <wp:docPr id="1" name="Picture 1" descr="C:\Users\KASDOV~1.P\AppData\Local\Temp\eklogo_gr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KASDOV~1.P\AppData\Local\Temp\eklogo_gr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2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1464">
      <w:rPr>
        <w:noProof/>
        <w:lang w:eastAsia="el-GR"/>
      </w:rPr>
      <w:t xml:space="preserve">                  </w:t>
    </w:r>
    <w:r w:rsidR="002C1464">
      <w:rPr>
        <w:noProof/>
        <w:lang w:eastAsia="el-GR"/>
      </w:rPr>
      <w:drawing>
        <wp:inline distT="0" distB="0" distL="0" distR="0" wp14:anchorId="56FE1A88" wp14:editId="6D4CB017">
          <wp:extent cx="1266190" cy="491490"/>
          <wp:effectExtent l="0" t="0" r="0" b="3810"/>
          <wp:docPr id="2" name="Picture 2" descr="gget_logo_2x_focu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get_logo_2x_focus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7414" w:rsidRDefault="009974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6A40"/>
    <w:multiLevelType w:val="hybridMultilevel"/>
    <w:tmpl w:val="D942337E"/>
    <w:lvl w:ilvl="0" w:tplc="CC9E75E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2AC70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B2687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E61D5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A242C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58D60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D83EB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44F2B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F2593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7B6F13E4"/>
    <w:multiLevelType w:val="hybridMultilevel"/>
    <w:tmpl w:val="1C3CA554"/>
    <w:lvl w:ilvl="0" w:tplc="9828AF6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A3"/>
    <w:rsid w:val="00074A20"/>
    <w:rsid w:val="000A6B65"/>
    <w:rsid w:val="000D62A4"/>
    <w:rsid w:val="00121AE9"/>
    <w:rsid w:val="00163517"/>
    <w:rsid w:val="001906F2"/>
    <w:rsid w:val="001D6B0D"/>
    <w:rsid w:val="00240650"/>
    <w:rsid w:val="00246A1A"/>
    <w:rsid w:val="002743B0"/>
    <w:rsid w:val="002973A3"/>
    <w:rsid w:val="002C1464"/>
    <w:rsid w:val="002D0999"/>
    <w:rsid w:val="00312C89"/>
    <w:rsid w:val="003531AC"/>
    <w:rsid w:val="00397C8A"/>
    <w:rsid w:val="003C271F"/>
    <w:rsid w:val="003E1218"/>
    <w:rsid w:val="00443E2A"/>
    <w:rsid w:val="004D513C"/>
    <w:rsid w:val="004F2A4D"/>
    <w:rsid w:val="00515C86"/>
    <w:rsid w:val="005335A8"/>
    <w:rsid w:val="00584C17"/>
    <w:rsid w:val="00643F3A"/>
    <w:rsid w:val="006462B4"/>
    <w:rsid w:val="006678B3"/>
    <w:rsid w:val="00675768"/>
    <w:rsid w:val="006B4A29"/>
    <w:rsid w:val="006C4814"/>
    <w:rsid w:val="006E17E1"/>
    <w:rsid w:val="006E3C2C"/>
    <w:rsid w:val="006E50B4"/>
    <w:rsid w:val="006F0013"/>
    <w:rsid w:val="0070738C"/>
    <w:rsid w:val="00714FB6"/>
    <w:rsid w:val="0074058D"/>
    <w:rsid w:val="00765DAB"/>
    <w:rsid w:val="00771089"/>
    <w:rsid w:val="00793386"/>
    <w:rsid w:val="007D4BB6"/>
    <w:rsid w:val="00826AF5"/>
    <w:rsid w:val="008C0B6C"/>
    <w:rsid w:val="008C2CC2"/>
    <w:rsid w:val="008E2200"/>
    <w:rsid w:val="008E7EE5"/>
    <w:rsid w:val="009007A0"/>
    <w:rsid w:val="0095302C"/>
    <w:rsid w:val="009674B9"/>
    <w:rsid w:val="00997414"/>
    <w:rsid w:val="009D1EC3"/>
    <w:rsid w:val="009D4FE8"/>
    <w:rsid w:val="009D7CA5"/>
    <w:rsid w:val="009E104A"/>
    <w:rsid w:val="00A144FE"/>
    <w:rsid w:val="00A32A22"/>
    <w:rsid w:val="00A53FED"/>
    <w:rsid w:val="00A84637"/>
    <w:rsid w:val="00AA0661"/>
    <w:rsid w:val="00AA0F3F"/>
    <w:rsid w:val="00AB222B"/>
    <w:rsid w:val="00AB375F"/>
    <w:rsid w:val="00AC7FE6"/>
    <w:rsid w:val="00AD2852"/>
    <w:rsid w:val="00AE3134"/>
    <w:rsid w:val="00AF2451"/>
    <w:rsid w:val="00AF5188"/>
    <w:rsid w:val="00B56F6B"/>
    <w:rsid w:val="00B575A0"/>
    <w:rsid w:val="00B84E88"/>
    <w:rsid w:val="00C94DD7"/>
    <w:rsid w:val="00C979FE"/>
    <w:rsid w:val="00CB0AED"/>
    <w:rsid w:val="00D05BB9"/>
    <w:rsid w:val="00D07CF3"/>
    <w:rsid w:val="00D1078E"/>
    <w:rsid w:val="00D4636A"/>
    <w:rsid w:val="00D5415D"/>
    <w:rsid w:val="00D6626E"/>
    <w:rsid w:val="00D77662"/>
    <w:rsid w:val="00DA7F6C"/>
    <w:rsid w:val="00DC6651"/>
    <w:rsid w:val="00E14A1C"/>
    <w:rsid w:val="00E206CA"/>
    <w:rsid w:val="00E41539"/>
    <w:rsid w:val="00E47A13"/>
    <w:rsid w:val="00E622DC"/>
    <w:rsid w:val="00E72A5C"/>
    <w:rsid w:val="00E7313B"/>
    <w:rsid w:val="00E947AA"/>
    <w:rsid w:val="00F00EF5"/>
    <w:rsid w:val="00F07524"/>
    <w:rsid w:val="00F225EA"/>
    <w:rsid w:val="00F40C4B"/>
    <w:rsid w:val="00F42B32"/>
    <w:rsid w:val="00F62820"/>
    <w:rsid w:val="00F940B6"/>
    <w:rsid w:val="00FB507D"/>
    <w:rsid w:val="00F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3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3A3"/>
    <w:rPr>
      <w:rFonts w:ascii="Tahoma" w:eastAsia="Times New Roman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2973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3A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B575A0"/>
  </w:style>
  <w:style w:type="paragraph" w:styleId="NormalWeb">
    <w:name w:val="Normal (Web)"/>
    <w:basedOn w:val="Normal"/>
    <w:uiPriority w:val="99"/>
    <w:unhideWhenUsed/>
    <w:rsid w:val="00A32A22"/>
    <w:pPr>
      <w:suppressAutoHyphens w:val="0"/>
      <w:spacing w:before="100" w:beforeAutospacing="1" w:after="100" w:afterAutospacing="1"/>
    </w:pPr>
    <w:rPr>
      <w:lang w:eastAsia="el-GR"/>
    </w:rPr>
  </w:style>
  <w:style w:type="character" w:styleId="Hyperlink">
    <w:name w:val="Hyperlink"/>
    <w:basedOn w:val="DefaultParagraphFont"/>
    <w:uiPriority w:val="99"/>
    <w:unhideWhenUsed/>
    <w:rsid w:val="000D62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5BB9"/>
    <w:pPr>
      <w:ind w:left="720"/>
      <w:contextualSpacing/>
    </w:pPr>
  </w:style>
  <w:style w:type="table" w:styleId="TableGrid">
    <w:name w:val="Table Grid"/>
    <w:basedOn w:val="TableNormal"/>
    <w:uiPriority w:val="59"/>
    <w:rsid w:val="0035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2B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B3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3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3A3"/>
    <w:rPr>
      <w:rFonts w:ascii="Tahoma" w:eastAsia="Times New Roman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2973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3A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B575A0"/>
  </w:style>
  <w:style w:type="paragraph" w:styleId="NormalWeb">
    <w:name w:val="Normal (Web)"/>
    <w:basedOn w:val="Normal"/>
    <w:uiPriority w:val="99"/>
    <w:unhideWhenUsed/>
    <w:rsid w:val="00A32A22"/>
    <w:pPr>
      <w:suppressAutoHyphens w:val="0"/>
      <w:spacing w:before="100" w:beforeAutospacing="1" w:after="100" w:afterAutospacing="1"/>
    </w:pPr>
    <w:rPr>
      <w:lang w:eastAsia="el-GR"/>
    </w:rPr>
  </w:style>
  <w:style w:type="character" w:styleId="Hyperlink">
    <w:name w:val="Hyperlink"/>
    <w:basedOn w:val="DefaultParagraphFont"/>
    <w:uiPriority w:val="99"/>
    <w:unhideWhenUsed/>
    <w:rsid w:val="000D62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5BB9"/>
    <w:pPr>
      <w:ind w:left="720"/>
      <w:contextualSpacing/>
    </w:pPr>
  </w:style>
  <w:style w:type="table" w:styleId="TableGrid">
    <w:name w:val="Table Grid"/>
    <w:basedOn w:val="TableNormal"/>
    <w:uiPriority w:val="59"/>
    <w:rsid w:val="0035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2B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B3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11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822E4-8F56-4D14-BDA6-B4D63E3D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644</Words>
  <Characters>3478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kasdovasili.p</dc:creator>
  <cp:lastModifiedBy>Vivie Karakonstanti</cp:lastModifiedBy>
  <cp:revision>5</cp:revision>
  <cp:lastPrinted>2017-11-27T16:36:00Z</cp:lastPrinted>
  <dcterms:created xsi:type="dcterms:W3CDTF">2017-11-28T10:28:00Z</dcterms:created>
  <dcterms:modified xsi:type="dcterms:W3CDTF">2017-11-28T11:00:00Z</dcterms:modified>
</cp:coreProperties>
</file>