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9.xml" ContentType="application/vnd.openxmlformats-officedocument.themeOverride+xml"/>
  <Override PartName="/word/header8.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header17.xml" ContentType="application/vnd.openxmlformats-officedocument.wordprocessingml.header+xml"/>
  <Override PartName="/word/footer19.xml" ContentType="application/vnd.openxmlformats-officedocument.wordprocessingml.footer+xml"/>
  <Override PartName="/word/header18.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E5875" w:rsidRPr="008E5875" w:rsidRDefault="008E5875" w:rsidP="008E5875">
      <w:pPr>
        <w:jc w:val="center"/>
        <w:rPr>
          <w:b/>
          <w:sz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46"/>
        <w:gridCol w:w="2477"/>
        <w:gridCol w:w="3306"/>
      </w:tblGrid>
      <w:tr w:rsidR="004440D8" w:rsidTr="00B97C65">
        <w:tc>
          <w:tcPr>
            <w:tcW w:w="3846" w:type="dxa"/>
          </w:tcPr>
          <w:p w:rsidR="00951BF9" w:rsidRDefault="00951BF9" w:rsidP="008E5875">
            <w:pPr>
              <w:spacing w:before="0" w:line="240" w:lineRule="auto"/>
              <w:jc w:val="center"/>
              <w:rPr>
                <w:rFonts w:ascii="Arial Narrow" w:eastAsia="Times New Roman" w:hAnsi="Arial Narrow"/>
                <w:b/>
                <w:bCs/>
                <w:color w:val="404040"/>
                <w:kern w:val="24"/>
                <w:sz w:val="40"/>
                <w:szCs w:val="40"/>
                <w:lang w:val="en-US"/>
              </w:rPr>
            </w:pPr>
            <w:r>
              <w:rPr>
                <w:rFonts w:ascii="Trebuchet MS" w:hAnsi="Trebuchet MS"/>
                <w:noProof/>
                <w:color w:val="0000FF"/>
              </w:rPr>
              <w:drawing>
                <wp:inline distT="0" distB="0" distL="0" distR="0" wp14:anchorId="0E9CC1AC" wp14:editId="2EBEA3ED">
                  <wp:extent cx="2295525" cy="990600"/>
                  <wp:effectExtent l="0" t="0" r="9525" b="0"/>
                  <wp:docPr id="18" name="Picture 18" descr="λογότυπο ΓΓΕΤ">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λογότυπο ΓΓΕΤ">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95525" cy="990600"/>
                          </a:xfrm>
                          <a:prstGeom prst="rect">
                            <a:avLst/>
                          </a:prstGeom>
                          <a:noFill/>
                          <a:ln>
                            <a:noFill/>
                          </a:ln>
                        </pic:spPr>
                      </pic:pic>
                    </a:graphicData>
                  </a:graphic>
                </wp:inline>
              </w:drawing>
            </w:r>
          </w:p>
        </w:tc>
        <w:tc>
          <w:tcPr>
            <w:tcW w:w="2477" w:type="dxa"/>
          </w:tcPr>
          <w:p w:rsidR="00951BF9" w:rsidRDefault="004440D8" w:rsidP="008E5875">
            <w:pPr>
              <w:spacing w:before="0" w:line="240" w:lineRule="auto"/>
              <w:jc w:val="center"/>
              <w:rPr>
                <w:rFonts w:ascii="Arial" w:hAnsi="Arial" w:cs="Arial"/>
                <w:noProof/>
                <w:color w:val="0000FF"/>
                <w:sz w:val="27"/>
                <w:szCs w:val="27"/>
                <w:shd w:val="clear" w:color="auto" w:fill="FFFFFF"/>
              </w:rPr>
            </w:pPr>
            <w:r w:rsidRPr="004440D8">
              <w:rPr>
                <w:rFonts w:ascii="Arial" w:hAnsi="Arial" w:cs="Arial"/>
                <w:noProof/>
                <w:color w:val="0000FF"/>
                <w:sz w:val="27"/>
                <w:szCs w:val="27"/>
                <w:shd w:val="clear" w:color="auto" w:fill="FFFFFF"/>
              </w:rPr>
              <w:drawing>
                <wp:inline distT="0" distB="0" distL="0" distR="0">
                  <wp:extent cx="1399615" cy="581025"/>
                  <wp:effectExtent l="0" t="0" r="0" b="0"/>
                  <wp:docPr id="51" name="Picture 51" descr="Αποτέλεσμα εικόνας για ΣΗΜΑ επανεκ">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Αποτέλεσμα εικόνας για ΣΗΜΑ επανεκ">
                            <a:hlinkClick r:id="rId10" tgtFrame="&quot;_blank&quo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21560" cy="590135"/>
                          </a:xfrm>
                          <a:prstGeom prst="rect">
                            <a:avLst/>
                          </a:prstGeom>
                          <a:noFill/>
                          <a:ln>
                            <a:noFill/>
                          </a:ln>
                        </pic:spPr>
                      </pic:pic>
                    </a:graphicData>
                  </a:graphic>
                </wp:inline>
              </w:drawing>
            </w:r>
          </w:p>
        </w:tc>
        <w:tc>
          <w:tcPr>
            <w:tcW w:w="3306" w:type="dxa"/>
          </w:tcPr>
          <w:p w:rsidR="00951BF9" w:rsidRDefault="004440D8" w:rsidP="008E5875">
            <w:pPr>
              <w:spacing w:before="0" w:line="240" w:lineRule="auto"/>
              <w:jc w:val="center"/>
              <w:rPr>
                <w:rFonts w:ascii="Arial Narrow" w:eastAsia="Times New Roman" w:hAnsi="Arial Narrow"/>
                <w:b/>
                <w:bCs/>
                <w:color w:val="404040"/>
                <w:kern w:val="24"/>
                <w:sz w:val="40"/>
                <w:szCs w:val="40"/>
                <w:lang w:val="en-US"/>
              </w:rPr>
            </w:pPr>
            <w:r>
              <w:rPr>
                <w:rFonts w:ascii="Arial" w:hAnsi="Arial" w:cs="Arial"/>
                <w:noProof/>
                <w:color w:val="0000FF"/>
                <w:sz w:val="27"/>
                <w:szCs w:val="27"/>
              </w:rPr>
              <w:drawing>
                <wp:inline distT="0" distB="0" distL="0" distR="0" wp14:anchorId="48E95AE8" wp14:editId="3883EC74">
                  <wp:extent cx="1962150" cy="989965"/>
                  <wp:effectExtent l="0" t="0" r="0" b="635"/>
                  <wp:docPr id="52" name="Picture 52" descr="Αποτέλεσμα εικόνας για ΣΗΜΑ επανεκ">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Αποτέλεσμα εικόνας για ΣΗΜΑ επανεκ">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62150" cy="989965"/>
                          </a:xfrm>
                          <a:prstGeom prst="rect">
                            <a:avLst/>
                          </a:prstGeom>
                          <a:noFill/>
                          <a:ln>
                            <a:noFill/>
                          </a:ln>
                        </pic:spPr>
                      </pic:pic>
                    </a:graphicData>
                  </a:graphic>
                </wp:inline>
              </w:drawing>
            </w:r>
          </w:p>
        </w:tc>
      </w:tr>
    </w:tbl>
    <w:p w:rsidR="008E5875" w:rsidRPr="008E5875" w:rsidRDefault="008E5875" w:rsidP="008E5875">
      <w:pPr>
        <w:spacing w:before="0" w:line="240" w:lineRule="auto"/>
        <w:jc w:val="center"/>
        <w:rPr>
          <w:rFonts w:ascii="Arial Narrow" w:eastAsia="Times New Roman" w:hAnsi="Arial Narrow"/>
          <w:b/>
          <w:bCs/>
          <w:color w:val="404040"/>
          <w:kern w:val="24"/>
          <w:sz w:val="40"/>
          <w:szCs w:val="40"/>
          <w:lang w:val="en-US" w:eastAsia="el-GR"/>
        </w:rPr>
      </w:pPr>
    </w:p>
    <w:p w:rsidR="008E5875" w:rsidRDefault="008E5875" w:rsidP="008E5875">
      <w:pPr>
        <w:spacing w:before="0" w:line="240" w:lineRule="auto"/>
        <w:jc w:val="center"/>
        <w:rPr>
          <w:rFonts w:ascii="Arial Narrow" w:eastAsia="Times New Roman" w:hAnsi="Arial Narrow"/>
          <w:b/>
          <w:bCs/>
          <w:color w:val="404040"/>
          <w:kern w:val="24"/>
          <w:sz w:val="40"/>
          <w:szCs w:val="40"/>
          <w:lang w:val="en-US" w:eastAsia="el-GR"/>
        </w:rPr>
      </w:pPr>
    </w:p>
    <w:p w:rsidR="008E5875" w:rsidRDefault="008E5875" w:rsidP="008E5875">
      <w:pPr>
        <w:spacing w:before="0" w:line="240" w:lineRule="auto"/>
        <w:jc w:val="center"/>
        <w:rPr>
          <w:rFonts w:ascii="Arial Narrow" w:eastAsia="Times New Roman" w:hAnsi="Arial Narrow"/>
          <w:b/>
          <w:bCs/>
          <w:color w:val="404040"/>
          <w:kern w:val="24"/>
          <w:sz w:val="40"/>
          <w:szCs w:val="40"/>
          <w:lang w:val="en-US" w:eastAsia="el-GR"/>
        </w:rPr>
      </w:pPr>
    </w:p>
    <w:p w:rsidR="00246249" w:rsidRPr="0057426E" w:rsidRDefault="00246249" w:rsidP="008E5875">
      <w:pPr>
        <w:spacing w:before="0" w:line="240" w:lineRule="auto"/>
        <w:jc w:val="center"/>
        <w:rPr>
          <w:rFonts w:eastAsia="Times New Roman"/>
          <w:b/>
          <w:bCs/>
          <w:color w:val="404040"/>
          <w:kern w:val="24"/>
          <w:sz w:val="40"/>
          <w:szCs w:val="40"/>
          <w:lang w:val="en-US" w:eastAsia="el-GR"/>
        </w:rPr>
      </w:pPr>
    </w:p>
    <w:p w:rsidR="00246249" w:rsidRPr="0057426E" w:rsidRDefault="00370EED" w:rsidP="008E5875">
      <w:pPr>
        <w:spacing w:before="0" w:line="240" w:lineRule="auto"/>
        <w:jc w:val="center"/>
        <w:rPr>
          <w:rFonts w:eastAsia="Times New Roman"/>
          <w:b/>
          <w:bCs/>
          <w:color w:val="404040"/>
          <w:kern w:val="24"/>
          <w:sz w:val="32"/>
          <w:szCs w:val="32"/>
          <w:lang w:eastAsia="el-GR"/>
        </w:rPr>
      </w:pPr>
      <w:r w:rsidRPr="0057426E">
        <w:rPr>
          <w:rFonts w:eastAsia="Times New Roman"/>
          <w:b/>
          <w:bCs/>
          <w:color w:val="404040"/>
          <w:kern w:val="24"/>
          <w:sz w:val="32"/>
          <w:szCs w:val="32"/>
          <w:lang w:eastAsia="el-GR"/>
        </w:rPr>
        <w:t>ΕΡ</w:t>
      </w:r>
      <w:r w:rsidR="00C84F3C" w:rsidRPr="0057426E">
        <w:rPr>
          <w:rFonts w:eastAsia="Times New Roman"/>
          <w:b/>
          <w:bCs/>
          <w:color w:val="404040"/>
          <w:kern w:val="24"/>
          <w:sz w:val="32"/>
          <w:szCs w:val="32"/>
          <w:lang w:eastAsia="el-GR"/>
        </w:rPr>
        <w:t>ΓΟ: Παρακολούθηση της προόδου υλοποίησης της Εθνικής Στρατηγικής Έξυπνης Εξειδίκευσης (</w:t>
      </w:r>
      <w:r w:rsidR="00C84F3C" w:rsidRPr="0057426E">
        <w:rPr>
          <w:rFonts w:eastAsia="Times New Roman"/>
          <w:b/>
          <w:bCs/>
          <w:color w:val="404040"/>
          <w:kern w:val="24"/>
          <w:sz w:val="32"/>
          <w:szCs w:val="32"/>
          <w:lang w:val="en-US" w:eastAsia="el-GR"/>
        </w:rPr>
        <w:t>RIS</w:t>
      </w:r>
      <w:r w:rsidR="00C84F3C" w:rsidRPr="0057426E">
        <w:rPr>
          <w:rFonts w:eastAsia="Times New Roman"/>
          <w:b/>
          <w:bCs/>
          <w:color w:val="404040"/>
          <w:kern w:val="24"/>
          <w:sz w:val="32"/>
          <w:szCs w:val="32"/>
          <w:lang w:eastAsia="el-GR"/>
        </w:rPr>
        <w:t>3) 2014-2020</w:t>
      </w:r>
    </w:p>
    <w:p w:rsidR="00B97C65" w:rsidRPr="0057426E" w:rsidRDefault="00B97C65" w:rsidP="008E5875">
      <w:pPr>
        <w:spacing w:before="0" w:line="240" w:lineRule="auto"/>
        <w:jc w:val="center"/>
        <w:rPr>
          <w:rFonts w:eastAsia="Times New Roman"/>
          <w:b/>
          <w:bCs/>
          <w:color w:val="404040"/>
          <w:kern w:val="24"/>
          <w:sz w:val="32"/>
          <w:szCs w:val="32"/>
          <w:lang w:eastAsia="el-GR"/>
        </w:rPr>
      </w:pPr>
    </w:p>
    <w:p w:rsidR="00C84F3C" w:rsidRPr="0057426E" w:rsidRDefault="00C84F3C" w:rsidP="00C84F3C">
      <w:pPr>
        <w:spacing w:before="0" w:line="240" w:lineRule="auto"/>
        <w:jc w:val="left"/>
        <w:rPr>
          <w:rFonts w:eastAsia="Times New Roman"/>
          <w:b/>
          <w:bCs/>
          <w:color w:val="404040"/>
          <w:kern w:val="24"/>
          <w:sz w:val="32"/>
          <w:szCs w:val="32"/>
          <w:lang w:eastAsia="el-GR"/>
        </w:rPr>
      </w:pPr>
      <w:r w:rsidRPr="0057426E">
        <w:rPr>
          <w:rFonts w:eastAsia="Times New Roman"/>
          <w:b/>
          <w:bCs/>
          <w:color w:val="404040"/>
          <w:kern w:val="24"/>
          <w:sz w:val="32"/>
          <w:szCs w:val="32"/>
          <w:lang w:eastAsia="el-GR"/>
        </w:rPr>
        <w:t xml:space="preserve">ΠΑΡΑΔΟΤΕΟ: </w:t>
      </w:r>
      <w:r w:rsidR="00E37847" w:rsidRPr="0057426E">
        <w:rPr>
          <w:rFonts w:eastAsia="Times New Roman"/>
          <w:b/>
          <w:bCs/>
          <w:color w:val="404040"/>
          <w:kern w:val="24"/>
          <w:sz w:val="32"/>
          <w:szCs w:val="32"/>
          <w:lang w:eastAsia="el-GR"/>
        </w:rPr>
        <w:t>1</w:t>
      </w:r>
      <w:r w:rsidR="00E37847" w:rsidRPr="0057426E">
        <w:rPr>
          <w:rFonts w:eastAsia="Times New Roman"/>
          <w:b/>
          <w:bCs/>
          <w:color w:val="404040"/>
          <w:kern w:val="24"/>
          <w:sz w:val="32"/>
          <w:szCs w:val="32"/>
          <w:vertAlign w:val="superscript"/>
          <w:lang w:eastAsia="el-GR"/>
        </w:rPr>
        <w:t>η</w:t>
      </w:r>
      <w:r w:rsidR="00E37847" w:rsidRPr="0057426E">
        <w:rPr>
          <w:rFonts w:eastAsia="Times New Roman"/>
          <w:b/>
          <w:bCs/>
          <w:color w:val="404040"/>
          <w:kern w:val="24"/>
          <w:sz w:val="32"/>
          <w:szCs w:val="32"/>
          <w:lang w:eastAsia="el-GR"/>
        </w:rPr>
        <w:t xml:space="preserve"> Έκθεση Προόδου της Εθνικής Στρατηγικής Έξυπνης Εξειδίκευσης – Περίοδος 2014-2017</w:t>
      </w:r>
    </w:p>
    <w:p w:rsidR="008E5875" w:rsidRPr="00B97C65" w:rsidRDefault="008E5875" w:rsidP="008E5875">
      <w:pPr>
        <w:rPr>
          <w:rFonts w:ascii="Arial Narrow" w:eastAsia="Times New Roman" w:hAnsi="Arial Narrow"/>
          <w:b/>
          <w:bCs/>
          <w:color w:val="404040"/>
          <w:kern w:val="24"/>
          <w:sz w:val="40"/>
          <w:szCs w:val="40"/>
          <w:lang w:eastAsia="el-GR"/>
        </w:rPr>
      </w:pPr>
    </w:p>
    <w:p w:rsidR="00C84F3C" w:rsidRPr="00B97C65" w:rsidRDefault="00C84F3C" w:rsidP="008E5875">
      <w:pPr>
        <w:rPr>
          <w:b/>
          <w:sz w:val="22"/>
        </w:rPr>
      </w:pPr>
    </w:p>
    <w:p w:rsidR="008E5875" w:rsidRPr="00B97C65" w:rsidRDefault="008E5875" w:rsidP="008E5875">
      <w:pPr>
        <w:spacing w:before="0" w:line="240" w:lineRule="auto"/>
        <w:jc w:val="center"/>
        <w:rPr>
          <w:rFonts w:ascii="Arial Narrow" w:eastAsia="Times New Roman" w:hAnsi="Arial Narrow"/>
          <w:b/>
          <w:bCs/>
          <w:color w:val="404040"/>
          <w:kern w:val="24"/>
          <w:szCs w:val="18"/>
          <w:lang w:eastAsia="el-GR"/>
        </w:rPr>
      </w:pPr>
    </w:p>
    <w:p w:rsidR="008E5875" w:rsidRPr="00B97C65" w:rsidRDefault="008E5875" w:rsidP="008E5875">
      <w:pPr>
        <w:spacing w:before="0" w:line="240" w:lineRule="auto"/>
        <w:jc w:val="center"/>
        <w:rPr>
          <w:rFonts w:ascii="Arial Narrow" w:eastAsia="Times New Roman" w:hAnsi="Arial Narrow"/>
          <w:b/>
          <w:bCs/>
          <w:color w:val="404040"/>
          <w:kern w:val="24"/>
          <w:szCs w:val="18"/>
          <w:lang w:eastAsia="el-GR"/>
        </w:rPr>
      </w:pPr>
    </w:p>
    <w:p w:rsidR="008E5875" w:rsidRPr="00B97C65" w:rsidRDefault="008E5875" w:rsidP="008E5875">
      <w:pPr>
        <w:spacing w:before="0" w:line="240" w:lineRule="auto"/>
        <w:jc w:val="center"/>
        <w:rPr>
          <w:rFonts w:ascii="Arial Narrow" w:eastAsia="Times New Roman" w:hAnsi="Arial Narrow"/>
          <w:b/>
          <w:bCs/>
          <w:color w:val="404040"/>
          <w:kern w:val="24"/>
          <w:szCs w:val="18"/>
          <w:lang w:eastAsia="el-GR"/>
        </w:rPr>
      </w:pPr>
    </w:p>
    <w:p w:rsidR="002760D9" w:rsidRPr="0057426E" w:rsidRDefault="002760D9" w:rsidP="008E5875">
      <w:pPr>
        <w:spacing w:before="0" w:line="240" w:lineRule="auto"/>
        <w:jc w:val="center"/>
        <w:rPr>
          <w:rFonts w:eastAsia="Times New Roman"/>
          <w:b/>
          <w:bCs/>
          <w:color w:val="404040"/>
          <w:kern w:val="24"/>
          <w:szCs w:val="18"/>
          <w:lang w:eastAsia="el-GR"/>
        </w:rPr>
      </w:pPr>
    </w:p>
    <w:p w:rsidR="002760D9" w:rsidRPr="0057426E" w:rsidRDefault="002760D9" w:rsidP="008E5875">
      <w:pPr>
        <w:spacing w:before="0" w:line="240" w:lineRule="auto"/>
        <w:jc w:val="center"/>
        <w:rPr>
          <w:rFonts w:eastAsia="Times New Roman"/>
          <w:b/>
          <w:bCs/>
          <w:color w:val="404040"/>
          <w:kern w:val="24"/>
          <w:szCs w:val="18"/>
          <w:lang w:eastAsia="el-GR"/>
        </w:rPr>
      </w:pPr>
    </w:p>
    <w:p w:rsidR="002760D9" w:rsidRPr="0057426E" w:rsidRDefault="002760D9" w:rsidP="008E5875">
      <w:pPr>
        <w:spacing w:before="0" w:line="240" w:lineRule="auto"/>
        <w:jc w:val="center"/>
        <w:rPr>
          <w:rFonts w:eastAsia="Times New Roman"/>
          <w:b/>
          <w:bCs/>
          <w:color w:val="404040"/>
          <w:kern w:val="24"/>
          <w:szCs w:val="18"/>
          <w:lang w:eastAsia="el-GR"/>
        </w:rPr>
      </w:pPr>
    </w:p>
    <w:p w:rsidR="00246249" w:rsidRPr="0057426E" w:rsidRDefault="00246249" w:rsidP="00E37847">
      <w:pPr>
        <w:spacing w:before="0" w:line="240" w:lineRule="auto"/>
        <w:rPr>
          <w:rFonts w:eastAsia="Times New Roman"/>
          <w:b/>
          <w:bCs/>
          <w:color w:val="404040"/>
          <w:kern w:val="24"/>
          <w:szCs w:val="18"/>
          <w:lang w:eastAsia="el-GR"/>
        </w:rPr>
      </w:pPr>
    </w:p>
    <w:p w:rsidR="002760D9" w:rsidRPr="0057426E" w:rsidRDefault="002760D9" w:rsidP="008E5875">
      <w:pPr>
        <w:spacing w:before="0" w:line="240" w:lineRule="auto"/>
        <w:jc w:val="center"/>
        <w:rPr>
          <w:rFonts w:eastAsia="Times New Roman"/>
          <w:b/>
          <w:bCs/>
          <w:color w:val="404040"/>
          <w:kern w:val="24"/>
          <w:szCs w:val="18"/>
          <w:lang w:eastAsia="el-GR"/>
        </w:rPr>
      </w:pPr>
    </w:p>
    <w:p w:rsidR="008E5875" w:rsidRPr="0057426E" w:rsidRDefault="00E86243" w:rsidP="008E5875">
      <w:pPr>
        <w:spacing w:before="0" w:line="240" w:lineRule="auto"/>
        <w:jc w:val="center"/>
        <w:rPr>
          <w:rFonts w:eastAsia="Times New Roman"/>
          <w:b/>
          <w:bCs/>
          <w:color w:val="404040"/>
          <w:kern w:val="24"/>
          <w:sz w:val="36"/>
          <w:szCs w:val="40"/>
          <w:lang w:val="en-US" w:eastAsia="el-GR"/>
        </w:rPr>
      </w:pPr>
      <w:r w:rsidRPr="00E86243">
        <w:rPr>
          <w:rFonts w:eastAsia="Times New Roman"/>
          <w:b/>
          <w:bCs/>
          <w:color w:val="404040"/>
          <w:kern w:val="24"/>
          <w:sz w:val="36"/>
          <w:szCs w:val="40"/>
          <w:lang w:eastAsia="el-GR"/>
        </w:rPr>
        <w:t>Ιούλιος</w:t>
      </w:r>
      <w:r w:rsidR="008E5875" w:rsidRPr="00E86243">
        <w:rPr>
          <w:rFonts w:eastAsia="Times New Roman"/>
          <w:b/>
          <w:bCs/>
          <w:color w:val="404040"/>
          <w:kern w:val="24"/>
          <w:sz w:val="36"/>
          <w:szCs w:val="40"/>
          <w:lang w:val="en-US" w:eastAsia="el-GR"/>
        </w:rPr>
        <w:t xml:space="preserve"> 2019</w:t>
      </w:r>
    </w:p>
    <w:p w:rsidR="00370EED" w:rsidRDefault="00370EED" w:rsidP="008E5875">
      <w:pPr>
        <w:spacing w:before="0" w:line="240" w:lineRule="auto"/>
        <w:jc w:val="center"/>
        <w:rPr>
          <w:rFonts w:ascii="Arial Narrow" w:eastAsia="Times New Roman" w:hAnsi="Arial Narrow"/>
          <w:b/>
          <w:bCs/>
          <w:color w:val="404040"/>
          <w:kern w:val="24"/>
          <w:sz w:val="36"/>
          <w:szCs w:val="40"/>
          <w:lang w:val="en-US" w:eastAsia="el-GR"/>
        </w:rPr>
      </w:pPr>
    </w:p>
    <w:p w:rsidR="001752A7" w:rsidRDefault="001752A7" w:rsidP="008E5875">
      <w:pPr>
        <w:spacing w:before="0" w:line="240" w:lineRule="auto"/>
        <w:jc w:val="center"/>
        <w:rPr>
          <w:rFonts w:ascii="Arial Narrow" w:eastAsia="Times New Roman" w:hAnsi="Arial Narrow"/>
          <w:b/>
          <w:bCs/>
          <w:color w:val="404040"/>
          <w:kern w:val="24"/>
          <w:sz w:val="36"/>
          <w:szCs w:val="40"/>
          <w:lang w:val="en-US" w:eastAsia="el-GR"/>
        </w:rPr>
      </w:pPr>
    </w:p>
    <w:p w:rsidR="001752A7" w:rsidRPr="00951BF9" w:rsidRDefault="001752A7" w:rsidP="008E5875">
      <w:pPr>
        <w:spacing w:before="0" w:line="240" w:lineRule="auto"/>
        <w:jc w:val="center"/>
        <w:rPr>
          <w:rFonts w:ascii="Arial Narrow" w:eastAsia="Times New Roman" w:hAnsi="Arial Narrow"/>
          <w:b/>
          <w:bCs/>
          <w:color w:val="404040"/>
          <w:kern w:val="24"/>
          <w:sz w:val="36"/>
          <w:szCs w:val="40"/>
          <w:lang w:val="en-US" w:eastAsia="el-GR"/>
        </w:rPr>
      </w:pPr>
    </w:p>
    <w:p w:rsidR="00370EED" w:rsidRPr="00951BF9" w:rsidRDefault="00370EED" w:rsidP="00E37847">
      <w:pPr>
        <w:spacing w:before="0" w:line="240" w:lineRule="auto"/>
        <w:rPr>
          <w:rFonts w:ascii="Arial Narrow" w:eastAsia="Times New Roman" w:hAnsi="Arial Narrow"/>
          <w:b/>
          <w:bCs/>
          <w:color w:val="404040"/>
          <w:kern w:val="24"/>
          <w:sz w:val="36"/>
          <w:szCs w:val="40"/>
          <w:lang w:val="en-US" w:eastAsia="el-GR"/>
        </w:rPr>
      </w:pPr>
    </w:p>
    <w:p w:rsidR="00370EED" w:rsidRPr="00951BF9" w:rsidRDefault="00370EED" w:rsidP="008E5875">
      <w:pPr>
        <w:spacing w:before="0" w:line="240" w:lineRule="auto"/>
        <w:jc w:val="center"/>
        <w:rPr>
          <w:rFonts w:ascii="Arial Narrow" w:eastAsia="Times New Roman" w:hAnsi="Arial Narrow"/>
          <w:b/>
          <w:bCs/>
          <w:color w:val="404040"/>
          <w:kern w:val="24"/>
          <w:sz w:val="36"/>
          <w:szCs w:val="40"/>
          <w:lang w:val="en-US" w:eastAsia="el-GR"/>
        </w:rPr>
      </w:pPr>
      <w:r>
        <w:rPr>
          <w:noProof/>
          <w:lang w:eastAsia="el-GR"/>
        </w:rPr>
        <w:drawing>
          <wp:inline distT="0" distB="0" distL="0" distR="0" wp14:anchorId="71EB209B" wp14:editId="404143FD">
            <wp:extent cx="1786384" cy="432545"/>
            <wp:effectExtent l="0" t="0" r="4445" b="5715"/>
            <wp:docPr id="10" name="Picture 8" descr="plane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8" descr="planet_logo"/>
                    <pic:cNvPicPr>
                      <a:picLocks noChangeAspect="1" noChangeArrowheads="1"/>
                    </pic:cNvPicPr>
                  </pic:nvPicPr>
                  <pic:blipFill>
                    <a:blip r:embed="rId14" cstate="print">
                      <a:clrChange>
                        <a:clrFrom>
                          <a:srgbClr val="FFFFFF"/>
                        </a:clrFrom>
                        <a:clrTo>
                          <a:srgbClr val="FFFFFF">
                            <a:alpha val="0"/>
                          </a:srgbClr>
                        </a:clrTo>
                      </a:clrChange>
                      <a:lum bright="-32000" contrast="14000"/>
                      <a:extLst>
                        <a:ext uri="{28A0092B-C50C-407E-A947-70E740481C1C}">
                          <a14:useLocalDpi xmlns:a14="http://schemas.microsoft.com/office/drawing/2010/main" val="0"/>
                        </a:ext>
                      </a:extLst>
                    </a:blip>
                    <a:srcRect r="28642"/>
                    <a:stretch>
                      <a:fillRect/>
                    </a:stretch>
                  </pic:blipFill>
                  <pic:spPr bwMode="auto">
                    <a:xfrm>
                      <a:off x="0" y="0"/>
                      <a:ext cx="1786384" cy="432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370EED" w:rsidRPr="00951BF9" w:rsidRDefault="00370EED" w:rsidP="008E5875">
      <w:pPr>
        <w:spacing w:before="0" w:line="240" w:lineRule="auto"/>
        <w:jc w:val="center"/>
        <w:rPr>
          <w:rFonts w:ascii="Arial Narrow" w:eastAsia="Times New Roman" w:hAnsi="Arial Narrow"/>
          <w:b/>
          <w:bCs/>
          <w:color w:val="404040"/>
          <w:kern w:val="24"/>
          <w:sz w:val="36"/>
          <w:szCs w:val="40"/>
          <w:lang w:val="en-US" w:eastAsia="el-GR"/>
        </w:rPr>
      </w:pPr>
    </w:p>
    <w:p w:rsidR="008E5875" w:rsidRPr="00402D82" w:rsidRDefault="00370EED" w:rsidP="008E5875">
      <w:pPr>
        <w:rPr>
          <w:b/>
          <w:sz w:val="22"/>
          <w:lang w:val="en-US"/>
        </w:rPr>
      </w:pPr>
      <w:r w:rsidRPr="00370EED">
        <w:rPr>
          <w:noProof/>
          <w:lang w:eastAsia="el-GR"/>
        </w:rPr>
        <mc:AlternateContent>
          <mc:Choice Requires="wps">
            <w:drawing>
              <wp:anchor distT="0" distB="0" distL="114300" distR="114300" simplePos="0" relativeHeight="251658752" behindDoc="0" locked="0" layoutInCell="1" allowOverlap="1" wp14:anchorId="562C759D" wp14:editId="02A8F270">
                <wp:simplePos x="0" y="0"/>
                <wp:positionH relativeFrom="column">
                  <wp:posOffset>1288968</wp:posOffset>
                </wp:positionH>
                <wp:positionV relativeFrom="paragraph">
                  <wp:posOffset>76200</wp:posOffset>
                </wp:positionV>
                <wp:extent cx="3429000" cy="830997"/>
                <wp:effectExtent l="0" t="0" r="0" b="0"/>
                <wp:wrapNone/>
                <wp:docPr id="16" name="Rectangle 11"/>
                <wp:cNvGraphicFramePr/>
                <a:graphic xmlns:a="http://schemas.openxmlformats.org/drawingml/2006/main">
                  <a:graphicData uri="http://schemas.microsoft.com/office/word/2010/wordprocessingShape">
                    <wps:wsp>
                      <wps:cNvSpPr/>
                      <wps:spPr>
                        <a:xfrm>
                          <a:off x="0" y="0"/>
                          <a:ext cx="3429000" cy="830997"/>
                        </a:xfrm>
                        <a:prstGeom prst="rect">
                          <a:avLst/>
                        </a:prstGeom>
                      </wps:spPr>
                      <wps:txbx>
                        <w:txbxContent>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 xml:space="preserve">ΑΝΩΝΥΜΗ ΕΤΑΙΡΕΙΑ </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ΠΑΡΟΧΗΣ ΣΥΜΒΟΥΛΕΥΤΙΚΩΝ ΥΠΗΡΕΣΙΩΝ</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 xml:space="preserve">Λ. Ριανκούρ 64, </w:t>
                            </w:r>
                            <w:r w:rsidRPr="00932044">
                              <w:rPr>
                                <w:rFonts w:ascii="Century Gothic" w:hAnsi="Century Gothic" w:cstheme="minorBidi"/>
                                <w:b/>
                                <w:bCs/>
                                <w:color w:val="000000" w:themeColor="text1"/>
                                <w:kern w:val="24"/>
                                <w:sz w:val="16"/>
                                <w:szCs w:val="16"/>
                                <w:lang w:val="en-US"/>
                              </w:rPr>
                              <w:t>GR</w:t>
                            </w:r>
                            <w:r w:rsidRPr="00932044">
                              <w:rPr>
                                <w:rFonts w:ascii="Century Gothic" w:hAnsi="Century Gothic" w:cstheme="minorBidi"/>
                                <w:b/>
                                <w:bCs/>
                                <w:color w:val="000000" w:themeColor="text1"/>
                                <w:kern w:val="24"/>
                                <w:sz w:val="16"/>
                                <w:szCs w:val="16"/>
                              </w:rPr>
                              <w:t>-115 23 Αθήνα</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rPr>
                              <w:t>Τηλ</w:t>
                            </w:r>
                            <w:r w:rsidRPr="00932044">
                              <w:rPr>
                                <w:rFonts w:ascii="Century Gothic" w:hAnsi="Century Gothic" w:cstheme="minorBidi"/>
                                <w:b/>
                                <w:bCs/>
                                <w:color w:val="000000" w:themeColor="text1"/>
                                <w:kern w:val="24"/>
                                <w:sz w:val="16"/>
                                <w:szCs w:val="16"/>
                                <w:lang w:val="en-US"/>
                              </w:rPr>
                              <w:t>. +30 210 6905000</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lang w:val="en-US"/>
                              </w:rPr>
                              <w:t>Fax. +30 210 6981885</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lang w:val="en-US"/>
                              </w:rPr>
                              <w:t>E-mail: planet@planet.gr</w:t>
                            </w:r>
                          </w:p>
                        </w:txbxContent>
                      </wps:txbx>
                      <wps:bodyPr>
                        <a:spAutoFit/>
                      </wps:bodyPr>
                    </wps:wsp>
                  </a:graphicData>
                </a:graphic>
              </wp:anchor>
            </w:drawing>
          </mc:Choice>
          <mc:Fallback>
            <w:pict>
              <v:rect w14:anchorId="562C759D" id="Rectangle 11" o:spid="_x0000_s1026" style="position:absolute;left:0;text-align:left;margin-left:101.5pt;margin-top:6pt;width:270pt;height:65.4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" filled="f" stroked="f">
                <v:textbox style="mso-fit-shape-to-text:t">
                  <w:txbxContent>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 xml:space="preserve">ΑΝΩΝΥΜΗ ΕΤΑΙΡΕΙΑ </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ΠΑΡΟΧΗΣ ΣΥΜΒΟΥΛΕΥΤΙΚΩΝ ΥΠΗΡΕΣΙΩΝ</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rPr>
                      </w:pPr>
                      <w:r w:rsidRPr="00932044">
                        <w:rPr>
                          <w:rFonts w:ascii="Century Gothic" w:hAnsi="Century Gothic" w:cstheme="minorBidi"/>
                          <w:b/>
                          <w:bCs/>
                          <w:color w:val="000000" w:themeColor="text1"/>
                          <w:kern w:val="24"/>
                          <w:sz w:val="16"/>
                          <w:szCs w:val="16"/>
                        </w:rPr>
                        <w:t xml:space="preserve">Λ. Ριανκούρ 64, </w:t>
                      </w:r>
                      <w:r w:rsidRPr="00932044">
                        <w:rPr>
                          <w:rFonts w:ascii="Century Gothic" w:hAnsi="Century Gothic" w:cstheme="minorBidi"/>
                          <w:b/>
                          <w:bCs/>
                          <w:color w:val="000000" w:themeColor="text1"/>
                          <w:kern w:val="24"/>
                          <w:sz w:val="16"/>
                          <w:szCs w:val="16"/>
                          <w:lang w:val="en-US"/>
                        </w:rPr>
                        <w:t>GR</w:t>
                      </w:r>
                      <w:r w:rsidRPr="00932044">
                        <w:rPr>
                          <w:rFonts w:ascii="Century Gothic" w:hAnsi="Century Gothic" w:cstheme="minorBidi"/>
                          <w:b/>
                          <w:bCs/>
                          <w:color w:val="000000" w:themeColor="text1"/>
                          <w:kern w:val="24"/>
                          <w:sz w:val="16"/>
                          <w:szCs w:val="16"/>
                        </w:rPr>
                        <w:t>-115 23 Αθήνα</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rPr>
                        <w:t>Τηλ</w:t>
                      </w:r>
                      <w:r w:rsidRPr="00932044">
                        <w:rPr>
                          <w:rFonts w:ascii="Century Gothic" w:hAnsi="Century Gothic" w:cstheme="minorBidi"/>
                          <w:b/>
                          <w:bCs/>
                          <w:color w:val="000000" w:themeColor="text1"/>
                          <w:kern w:val="24"/>
                          <w:sz w:val="16"/>
                          <w:szCs w:val="16"/>
                          <w:lang w:val="en-US"/>
                        </w:rPr>
                        <w:t>. +30 210 6905000</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lang w:val="en-US"/>
                        </w:rPr>
                        <w:t>Fax. +30 210 6981885</w:t>
                      </w:r>
                    </w:p>
                    <w:p w:rsidR="00330D31" w:rsidRPr="00932044" w:rsidRDefault="00330D31" w:rsidP="00370EED">
                      <w:pPr>
                        <w:pStyle w:val="NormalWeb"/>
                        <w:kinsoku w:val="0"/>
                        <w:overflowPunct w:val="0"/>
                        <w:spacing w:before="0" w:beforeAutospacing="0" w:after="0" w:afterAutospacing="0"/>
                        <w:jc w:val="center"/>
                        <w:rPr>
                          <w:rFonts w:ascii="Century Gothic" w:hAnsi="Century Gothic"/>
                          <w:lang w:val="en-US"/>
                        </w:rPr>
                      </w:pPr>
                      <w:r w:rsidRPr="00932044">
                        <w:rPr>
                          <w:rFonts w:ascii="Century Gothic" w:hAnsi="Century Gothic" w:cstheme="minorBidi"/>
                          <w:b/>
                          <w:bCs/>
                          <w:color w:val="000000" w:themeColor="text1"/>
                          <w:kern w:val="24"/>
                          <w:sz w:val="16"/>
                          <w:szCs w:val="16"/>
                          <w:lang w:val="en-US"/>
                        </w:rPr>
                        <w:t>E-mail: planet@planet.gr</w:t>
                      </w:r>
                    </w:p>
                  </w:txbxContent>
                </v:textbox>
              </v:rect>
            </w:pict>
          </mc:Fallback>
        </mc:AlternateContent>
      </w:r>
    </w:p>
    <w:p w:rsidR="008E5875" w:rsidRPr="00402D82" w:rsidRDefault="008E5875" w:rsidP="008E5875">
      <w:pPr>
        <w:rPr>
          <w:b/>
          <w:sz w:val="22"/>
          <w:lang w:val="en-US"/>
        </w:rPr>
      </w:pPr>
    </w:p>
    <w:p w:rsidR="008E5875" w:rsidRPr="00402D82" w:rsidRDefault="008E5875" w:rsidP="008E5875">
      <w:pPr>
        <w:rPr>
          <w:b/>
          <w:sz w:val="22"/>
          <w:lang w:val="en-US"/>
        </w:rPr>
      </w:pPr>
      <w:r w:rsidRPr="00402D82">
        <w:rPr>
          <w:b/>
          <w:sz w:val="22"/>
          <w:lang w:val="en-US"/>
        </w:rPr>
        <w:br w:type="page"/>
      </w:r>
    </w:p>
    <w:p w:rsidR="00246249" w:rsidRPr="00951BF9" w:rsidRDefault="00246249" w:rsidP="00246249">
      <w:pPr>
        <w:rPr>
          <w:lang w:val="en-US"/>
        </w:rPr>
      </w:pPr>
    </w:p>
    <w:p w:rsidR="008E5875" w:rsidRPr="001A010E" w:rsidRDefault="002760D9" w:rsidP="001A010E">
      <w:pPr>
        <w:shd w:val="clear" w:color="auto" w:fill="800000"/>
        <w:jc w:val="center"/>
        <w:rPr>
          <w:b/>
          <w:bCs/>
          <w:sz w:val="22"/>
          <w:lang w:val="en-US"/>
        </w:rPr>
      </w:pPr>
      <w:r w:rsidRPr="001A010E">
        <w:rPr>
          <w:b/>
          <w:bCs/>
          <w:sz w:val="22"/>
        </w:rPr>
        <w:t>Περιεχόμενα</w:t>
      </w:r>
    </w:p>
    <w:p w:rsidR="008E5875" w:rsidRPr="00BD3DED" w:rsidRDefault="008E5875" w:rsidP="008E5875">
      <w:pPr>
        <w:rPr>
          <w:b/>
          <w:sz w:val="16"/>
          <w:szCs w:val="16"/>
          <w:lang w:val="en-US"/>
        </w:rPr>
      </w:pPr>
    </w:p>
    <w:p w:rsidR="00753C71" w:rsidRDefault="008E5875">
      <w:pPr>
        <w:pStyle w:val="TOC1"/>
        <w:tabs>
          <w:tab w:val="left" w:pos="540"/>
          <w:tab w:val="right" w:leader="dot" w:pos="9403"/>
        </w:tabs>
        <w:rPr>
          <w:rFonts w:asciiTheme="minorHAnsi" w:eastAsiaTheme="minorEastAsia" w:hAnsiTheme="minorHAnsi" w:cstheme="minorBidi"/>
          <w:b w:val="0"/>
          <w:noProof/>
          <w:sz w:val="22"/>
          <w:lang w:val="en-US"/>
        </w:rPr>
      </w:pPr>
      <w:r w:rsidRPr="00BD3DED">
        <w:rPr>
          <w:sz w:val="16"/>
          <w:szCs w:val="16"/>
        </w:rPr>
        <w:fldChar w:fldCharType="begin"/>
      </w:r>
      <w:r w:rsidRPr="00BD3DED">
        <w:rPr>
          <w:sz w:val="16"/>
          <w:szCs w:val="16"/>
          <w:lang w:val="en-US"/>
        </w:rPr>
        <w:instrText xml:space="preserve"> TOC \o "1-4" \h \z \u </w:instrText>
      </w:r>
      <w:r w:rsidRPr="00BD3DED">
        <w:rPr>
          <w:sz w:val="16"/>
          <w:szCs w:val="16"/>
        </w:rPr>
        <w:fldChar w:fldCharType="separate"/>
      </w:r>
      <w:hyperlink w:anchor="_Toc22645100" w:history="1">
        <w:r w:rsidR="00753C71" w:rsidRPr="007C31FA">
          <w:rPr>
            <w:rStyle w:val="Hyperlink"/>
            <w:noProof/>
          </w:rPr>
          <w:t>1.</w:t>
        </w:r>
        <w:r w:rsidR="00753C71">
          <w:rPr>
            <w:rFonts w:asciiTheme="minorHAnsi" w:eastAsiaTheme="minorEastAsia" w:hAnsiTheme="minorHAnsi" w:cstheme="minorBidi"/>
            <w:b w:val="0"/>
            <w:noProof/>
            <w:sz w:val="22"/>
            <w:lang w:val="en-US"/>
          </w:rPr>
          <w:tab/>
        </w:r>
        <w:r w:rsidR="00753C71" w:rsidRPr="007C31FA">
          <w:rPr>
            <w:rStyle w:val="Hyperlink"/>
            <w:noProof/>
          </w:rPr>
          <w:t>Εισαγωγή</w:t>
        </w:r>
        <w:r w:rsidR="00753C71">
          <w:rPr>
            <w:noProof/>
            <w:webHidden/>
          </w:rPr>
          <w:tab/>
        </w:r>
        <w:r w:rsidR="00753C71">
          <w:rPr>
            <w:noProof/>
            <w:webHidden/>
          </w:rPr>
          <w:fldChar w:fldCharType="begin"/>
        </w:r>
        <w:r w:rsidR="00753C71">
          <w:rPr>
            <w:noProof/>
            <w:webHidden/>
          </w:rPr>
          <w:instrText xml:space="preserve"> PAGEREF _Toc22645100 \h </w:instrText>
        </w:r>
        <w:r w:rsidR="00753C71">
          <w:rPr>
            <w:noProof/>
            <w:webHidden/>
          </w:rPr>
        </w:r>
        <w:r w:rsidR="00753C71">
          <w:rPr>
            <w:noProof/>
            <w:webHidden/>
          </w:rPr>
          <w:fldChar w:fldCharType="separate"/>
        </w:r>
        <w:r w:rsidR="00753C71">
          <w:rPr>
            <w:noProof/>
            <w:webHidden/>
          </w:rPr>
          <w:t>4</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01" w:history="1">
        <w:r w:rsidR="00753C71" w:rsidRPr="007C31FA">
          <w:rPr>
            <w:rStyle w:val="Hyperlink"/>
            <w:noProof/>
          </w:rPr>
          <w:t>2.</w:t>
        </w:r>
        <w:r w:rsidR="00753C71">
          <w:rPr>
            <w:rFonts w:asciiTheme="minorHAnsi" w:eastAsiaTheme="minorEastAsia" w:hAnsiTheme="minorHAnsi" w:cstheme="minorBidi"/>
            <w:b w:val="0"/>
            <w:noProof/>
            <w:sz w:val="22"/>
            <w:lang w:val="en-US"/>
          </w:rPr>
          <w:tab/>
        </w:r>
        <w:r w:rsidR="00753C71" w:rsidRPr="007C31FA">
          <w:rPr>
            <w:rStyle w:val="Hyperlink"/>
            <w:noProof/>
          </w:rPr>
          <w:t>Βασικά σημεία της Στρατηγικής RIS3</w:t>
        </w:r>
        <w:r w:rsidR="00753C71">
          <w:rPr>
            <w:noProof/>
            <w:webHidden/>
          </w:rPr>
          <w:tab/>
        </w:r>
        <w:r w:rsidR="00753C71">
          <w:rPr>
            <w:noProof/>
            <w:webHidden/>
          </w:rPr>
          <w:fldChar w:fldCharType="begin"/>
        </w:r>
        <w:r w:rsidR="00753C71">
          <w:rPr>
            <w:noProof/>
            <w:webHidden/>
          </w:rPr>
          <w:instrText xml:space="preserve"> PAGEREF _Toc22645101 \h </w:instrText>
        </w:r>
        <w:r w:rsidR="00753C71">
          <w:rPr>
            <w:noProof/>
            <w:webHidden/>
          </w:rPr>
        </w:r>
        <w:r w:rsidR="00753C71">
          <w:rPr>
            <w:noProof/>
            <w:webHidden/>
          </w:rPr>
          <w:fldChar w:fldCharType="separate"/>
        </w:r>
        <w:r w:rsidR="00753C71">
          <w:rPr>
            <w:noProof/>
            <w:webHidden/>
          </w:rPr>
          <w:t>5</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2" w:history="1">
        <w:r w:rsidR="00753C71" w:rsidRPr="007C31FA">
          <w:rPr>
            <w:rStyle w:val="Hyperlink"/>
            <w:noProof/>
          </w:rPr>
          <w:t>2.1</w:t>
        </w:r>
        <w:r w:rsidR="00753C71">
          <w:rPr>
            <w:rFonts w:asciiTheme="minorHAnsi" w:eastAsiaTheme="minorEastAsia" w:hAnsiTheme="minorHAnsi" w:cstheme="minorBidi"/>
            <w:noProof/>
            <w:sz w:val="22"/>
            <w:lang w:val="en-US"/>
          </w:rPr>
          <w:tab/>
        </w:r>
        <w:r w:rsidR="00753C71" w:rsidRPr="007C31FA">
          <w:rPr>
            <w:rStyle w:val="Hyperlink"/>
            <w:noProof/>
          </w:rPr>
          <w:t>Όραμα, σκοπός, δομή</w:t>
        </w:r>
        <w:r w:rsidR="00753C71">
          <w:rPr>
            <w:noProof/>
            <w:webHidden/>
          </w:rPr>
          <w:tab/>
        </w:r>
        <w:r w:rsidR="00753C71">
          <w:rPr>
            <w:noProof/>
            <w:webHidden/>
          </w:rPr>
          <w:fldChar w:fldCharType="begin"/>
        </w:r>
        <w:r w:rsidR="00753C71">
          <w:rPr>
            <w:noProof/>
            <w:webHidden/>
          </w:rPr>
          <w:instrText xml:space="preserve"> PAGEREF _Toc22645102 \h </w:instrText>
        </w:r>
        <w:r w:rsidR="00753C71">
          <w:rPr>
            <w:noProof/>
            <w:webHidden/>
          </w:rPr>
        </w:r>
        <w:r w:rsidR="00753C71">
          <w:rPr>
            <w:noProof/>
            <w:webHidden/>
          </w:rPr>
          <w:fldChar w:fldCharType="separate"/>
        </w:r>
        <w:r w:rsidR="00753C71">
          <w:rPr>
            <w:noProof/>
            <w:webHidden/>
          </w:rPr>
          <w:t>5</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3" w:history="1">
        <w:r w:rsidR="00753C71" w:rsidRPr="007C31FA">
          <w:rPr>
            <w:rStyle w:val="Hyperlink"/>
            <w:noProof/>
          </w:rPr>
          <w:t>2.2</w:t>
        </w:r>
        <w:r w:rsidR="00753C71">
          <w:rPr>
            <w:rFonts w:asciiTheme="minorHAnsi" w:eastAsiaTheme="minorEastAsia" w:hAnsiTheme="minorHAnsi" w:cstheme="minorBidi"/>
            <w:noProof/>
            <w:sz w:val="22"/>
            <w:lang w:val="en-US"/>
          </w:rPr>
          <w:tab/>
        </w:r>
        <w:r w:rsidR="00753C71" w:rsidRPr="007C31FA">
          <w:rPr>
            <w:rStyle w:val="Hyperlink"/>
            <w:noProof/>
          </w:rPr>
          <w:t>Σύστημα Διακυβέρνησης:</w:t>
        </w:r>
        <w:r w:rsidR="00753C71">
          <w:rPr>
            <w:noProof/>
            <w:webHidden/>
          </w:rPr>
          <w:tab/>
        </w:r>
        <w:r w:rsidR="00753C71">
          <w:rPr>
            <w:noProof/>
            <w:webHidden/>
          </w:rPr>
          <w:fldChar w:fldCharType="begin"/>
        </w:r>
        <w:r w:rsidR="00753C71">
          <w:rPr>
            <w:noProof/>
            <w:webHidden/>
          </w:rPr>
          <w:instrText xml:space="preserve"> PAGEREF _Toc22645103 \h </w:instrText>
        </w:r>
        <w:r w:rsidR="00753C71">
          <w:rPr>
            <w:noProof/>
            <w:webHidden/>
          </w:rPr>
        </w:r>
        <w:r w:rsidR="00753C71">
          <w:rPr>
            <w:noProof/>
            <w:webHidden/>
          </w:rPr>
          <w:fldChar w:fldCharType="separate"/>
        </w:r>
        <w:r w:rsidR="00753C71">
          <w:rPr>
            <w:noProof/>
            <w:webHidden/>
          </w:rPr>
          <w:t>8</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4" w:history="1">
        <w:r w:rsidR="00753C71" w:rsidRPr="007C31FA">
          <w:rPr>
            <w:rStyle w:val="Hyperlink"/>
            <w:noProof/>
          </w:rPr>
          <w:t>2.3</w:t>
        </w:r>
        <w:r w:rsidR="00753C71">
          <w:rPr>
            <w:rFonts w:asciiTheme="minorHAnsi" w:eastAsiaTheme="minorEastAsia" w:hAnsiTheme="minorHAnsi" w:cstheme="minorBidi"/>
            <w:noProof/>
            <w:sz w:val="22"/>
            <w:lang w:val="en-US"/>
          </w:rPr>
          <w:tab/>
        </w:r>
        <w:r w:rsidR="00753C71" w:rsidRPr="007C31FA">
          <w:rPr>
            <w:rStyle w:val="Hyperlink"/>
            <w:noProof/>
          </w:rPr>
          <w:t>H Ακαθάριστη Δαπάνη για Έρευνα &amp; Τεχνολογική Ανάπτυξη (ΑΕΔΕΤΑ)</w:t>
        </w:r>
        <w:r w:rsidR="00753C71">
          <w:rPr>
            <w:noProof/>
            <w:webHidden/>
          </w:rPr>
          <w:tab/>
        </w:r>
        <w:r w:rsidR="00753C71">
          <w:rPr>
            <w:noProof/>
            <w:webHidden/>
          </w:rPr>
          <w:fldChar w:fldCharType="begin"/>
        </w:r>
        <w:r w:rsidR="00753C71">
          <w:rPr>
            <w:noProof/>
            <w:webHidden/>
          </w:rPr>
          <w:instrText xml:space="preserve"> PAGEREF _Toc22645104 \h </w:instrText>
        </w:r>
        <w:r w:rsidR="00753C71">
          <w:rPr>
            <w:noProof/>
            <w:webHidden/>
          </w:rPr>
        </w:r>
        <w:r w:rsidR="00753C71">
          <w:rPr>
            <w:noProof/>
            <w:webHidden/>
          </w:rPr>
          <w:fldChar w:fldCharType="separate"/>
        </w:r>
        <w:r w:rsidR="00753C71">
          <w:rPr>
            <w:noProof/>
            <w:webHidden/>
          </w:rPr>
          <w:t>9</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5" w:history="1">
        <w:r w:rsidR="00753C71" w:rsidRPr="007C31FA">
          <w:rPr>
            <w:rStyle w:val="Hyperlink"/>
            <w:noProof/>
          </w:rPr>
          <w:t>2.4</w:t>
        </w:r>
        <w:r w:rsidR="00753C71">
          <w:rPr>
            <w:rFonts w:asciiTheme="minorHAnsi" w:eastAsiaTheme="minorEastAsia" w:hAnsiTheme="minorHAnsi" w:cstheme="minorBidi"/>
            <w:noProof/>
            <w:sz w:val="22"/>
            <w:lang w:val="en-US"/>
          </w:rPr>
          <w:tab/>
        </w:r>
        <w:r w:rsidR="00753C71" w:rsidRPr="007C31FA">
          <w:rPr>
            <w:rStyle w:val="Hyperlink"/>
            <w:noProof/>
          </w:rPr>
          <w:t>Βασικές πολιτικές και δράσεις της στρατηγικής</w:t>
        </w:r>
        <w:r w:rsidR="00753C71">
          <w:rPr>
            <w:noProof/>
            <w:webHidden/>
          </w:rPr>
          <w:tab/>
        </w:r>
        <w:r w:rsidR="00753C71">
          <w:rPr>
            <w:noProof/>
            <w:webHidden/>
          </w:rPr>
          <w:fldChar w:fldCharType="begin"/>
        </w:r>
        <w:r w:rsidR="00753C71">
          <w:rPr>
            <w:noProof/>
            <w:webHidden/>
          </w:rPr>
          <w:instrText xml:space="preserve"> PAGEREF _Toc22645105 \h </w:instrText>
        </w:r>
        <w:r w:rsidR="00753C71">
          <w:rPr>
            <w:noProof/>
            <w:webHidden/>
          </w:rPr>
        </w:r>
        <w:r w:rsidR="00753C71">
          <w:rPr>
            <w:noProof/>
            <w:webHidden/>
          </w:rPr>
          <w:fldChar w:fldCharType="separate"/>
        </w:r>
        <w:r w:rsidR="00753C71">
          <w:rPr>
            <w:noProof/>
            <w:webHidden/>
          </w:rPr>
          <w:t>11</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06" w:history="1">
        <w:r w:rsidR="00753C71" w:rsidRPr="007C31FA">
          <w:rPr>
            <w:rStyle w:val="Hyperlink"/>
            <w:noProof/>
          </w:rPr>
          <w:t>3.</w:t>
        </w:r>
        <w:r w:rsidR="00753C71">
          <w:rPr>
            <w:rFonts w:asciiTheme="minorHAnsi" w:eastAsiaTheme="minorEastAsia" w:hAnsiTheme="minorHAnsi" w:cstheme="minorBidi"/>
            <w:b w:val="0"/>
            <w:noProof/>
            <w:sz w:val="22"/>
            <w:lang w:val="en-US"/>
          </w:rPr>
          <w:tab/>
        </w:r>
        <w:r w:rsidR="00753C71" w:rsidRPr="007C31FA">
          <w:rPr>
            <w:rStyle w:val="Hyperlink"/>
            <w:noProof/>
          </w:rPr>
          <w:t>Επισκόπηση υλοποίησης της Στρατηγικής στο διάστημα αναφοράς - ΕΠΑνΕΚ</w:t>
        </w:r>
        <w:r w:rsidR="00753C71">
          <w:rPr>
            <w:noProof/>
            <w:webHidden/>
          </w:rPr>
          <w:tab/>
        </w:r>
        <w:r w:rsidR="00753C71">
          <w:rPr>
            <w:noProof/>
            <w:webHidden/>
          </w:rPr>
          <w:fldChar w:fldCharType="begin"/>
        </w:r>
        <w:r w:rsidR="00753C71">
          <w:rPr>
            <w:noProof/>
            <w:webHidden/>
          </w:rPr>
          <w:instrText xml:space="preserve"> PAGEREF _Toc22645106 \h </w:instrText>
        </w:r>
        <w:r w:rsidR="00753C71">
          <w:rPr>
            <w:noProof/>
            <w:webHidden/>
          </w:rPr>
        </w:r>
        <w:r w:rsidR="00753C71">
          <w:rPr>
            <w:noProof/>
            <w:webHidden/>
          </w:rPr>
          <w:fldChar w:fldCharType="separate"/>
        </w:r>
        <w:r w:rsidR="00753C71">
          <w:rPr>
            <w:noProof/>
            <w:webHidden/>
          </w:rPr>
          <w:t>13</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7" w:history="1">
        <w:r w:rsidR="00753C71" w:rsidRPr="007C31FA">
          <w:rPr>
            <w:rStyle w:val="Hyperlink"/>
            <w:noProof/>
          </w:rPr>
          <w:t>3.1</w:t>
        </w:r>
        <w:r w:rsidR="00753C71">
          <w:rPr>
            <w:rFonts w:asciiTheme="minorHAnsi" w:eastAsiaTheme="minorEastAsia" w:hAnsiTheme="minorHAnsi" w:cstheme="minorBidi"/>
            <w:noProof/>
            <w:sz w:val="22"/>
            <w:lang w:val="en-US"/>
          </w:rPr>
          <w:tab/>
        </w:r>
        <w:r w:rsidR="00753C71" w:rsidRPr="007C31FA">
          <w:rPr>
            <w:rStyle w:val="Hyperlink"/>
            <w:noProof/>
          </w:rPr>
          <w:t>Εισαγωγή</w:t>
        </w:r>
        <w:r w:rsidR="00753C71">
          <w:rPr>
            <w:noProof/>
            <w:webHidden/>
          </w:rPr>
          <w:tab/>
        </w:r>
        <w:r w:rsidR="00753C71">
          <w:rPr>
            <w:noProof/>
            <w:webHidden/>
          </w:rPr>
          <w:fldChar w:fldCharType="begin"/>
        </w:r>
        <w:r w:rsidR="00753C71">
          <w:rPr>
            <w:noProof/>
            <w:webHidden/>
          </w:rPr>
          <w:instrText xml:space="preserve"> PAGEREF _Toc22645107 \h </w:instrText>
        </w:r>
        <w:r w:rsidR="00753C71">
          <w:rPr>
            <w:noProof/>
            <w:webHidden/>
          </w:rPr>
        </w:r>
        <w:r w:rsidR="00753C71">
          <w:rPr>
            <w:noProof/>
            <w:webHidden/>
          </w:rPr>
          <w:fldChar w:fldCharType="separate"/>
        </w:r>
        <w:r w:rsidR="00753C71">
          <w:rPr>
            <w:noProof/>
            <w:webHidden/>
          </w:rPr>
          <w:t>13</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08" w:history="1">
        <w:r w:rsidR="00753C71" w:rsidRPr="007C31FA">
          <w:rPr>
            <w:rStyle w:val="Hyperlink"/>
            <w:noProof/>
          </w:rPr>
          <w:t>3.2</w:t>
        </w:r>
        <w:r w:rsidR="00753C71">
          <w:rPr>
            <w:rFonts w:asciiTheme="minorHAnsi" w:eastAsiaTheme="minorEastAsia" w:hAnsiTheme="minorHAnsi" w:cstheme="minorBidi"/>
            <w:noProof/>
            <w:sz w:val="22"/>
            <w:lang w:val="en-US"/>
          </w:rPr>
          <w:tab/>
        </w:r>
        <w:r w:rsidR="00753C71" w:rsidRPr="007C31FA">
          <w:rPr>
            <w:rStyle w:val="Hyperlink"/>
            <w:noProof/>
          </w:rPr>
          <w:t>Εξέταση δράσεων ΕΠΑνΕΚ</w:t>
        </w:r>
        <w:r w:rsidR="00753C71">
          <w:rPr>
            <w:noProof/>
            <w:webHidden/>
          </w:rPr>
          <w:tab/>
        </w:r>
        <w:r w:rsidR="00753C71">
          <w:rPr>
            <w:noProof/>
            <w:webHidden/>
          </w:rPr>
          <w:fldChar w:fldCharType="begin"/>
        </w:r>
        <w:r w:rsidR="00753C71">
          <w:rPr>
            <w:noProof/>
            <w:webHidden/>
          </w:rPr>
          <w:instrText xml:space="preserve"> PAGEREF _Toc22645108 \h </w:instrText>
        </w:r>
        <w:r w:rsidR="00753C71">
          <w:rPr>
            <w:noProof/>
            <w:webHidden/>
          </w:rPr>
        </w:r>
        <w:r w:rsidR="00753C71">
          <w:rPr>
            <w:noProof/>
            <w:webHidden/>
          </w:rPr>
          <w:fldChar w:fldCharType="separate"/>
        </w:r>
        <w:r w:rsidR="00753C71">
          <w:rPr>
            <w:noProof/>
            <w:webHidden/>
          </w:rPr>
          <w:t>14</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09" w:history="1">
        <w:r w:rsidR="00753C71" w:rsidRPr="007C31FA">
          <w:rPr>
            <w:rStyle w:val="Hyperlink"/>
            <w:noProof/>
          </w:rPr>
          <w:t>3.2.1</w:t>
        </w:r>
        <w:r w:rsidR="00753C71">
          <w:rPr>
            <w:rFonts w:asciiTheme="minorHAnsi" w:eastAsiaTheme="minorEastAsia" w:hAnsiTheme="minorHAnsi" w:cstheme="minorBidi"/>
            <w:noProof/>
            <w:sz w:val="22"/>
            <w:lang w:val="en-US"/>
          </w:rPr>
          <w:tab/>
        </w:r>
        <w:r w:rsidR="00753C71" w:rsidRPr="007C31FA">
          <w:rPr>
            <w:rStyle w:val="Hyperlink"/>
            <w:noProof/>
          </w:rPr>
          <w:t>Δράσεις ΕΠΑνΕΚ στο πλαίσιο της Επενδυτικής Προτεραιότητας 1</w:t>
        </w:r>
        <w:r w:rsidR="00753C71" w:rsidRPr="007C31FA">
          <w:rPr>
            <w:rStyle w:val="Hyperlink"/>
            <w:noProof/>
            <w:lang w:val="en-US"/>
          </w:rPr>
          <w:t>b</w:t>
        </w:r>
        <w:r w:rsidR="00753C71">
          <w:rPr>
            <w:noProof/>
            <w:webHidden/>
          </w:rPr>
          <w:tab/>
        </w:r>
        <w:r w:rsidR="00753C71">
          <w:rPr>
            <w:noProof/>
            <w:webHidden/>
          </w:rPr>
          <w:fldChar w:fldCharType="begin"/>
        </w:r>
        <w:r w:rsidR="00753C71">
          <w:rPr>
            <w:noProof/>
            <w:webHidden/>
          </w:rPr>
          <w:instrText xml:space="preserve"> PAGEREF _Toc22645109 \h </w:instrText>
        </w:r>
        <w:r w:rsidR="00753C71">
          <w:rPr>
            <w:noProof/>
            <w:webHidden/>
          </w:rPr>
        </w:r>
        <w:r w:rsidR="00753C71">
          <w:rPr>
            <w:noProof/>
            <w:webHidden/>
          </w:rPr>
          <w:fldChar w:fldCharType="separate"/>
        </w:r>
        <w:r w:rsidR="00753C71">
          <w:rPr>
            <w:noProof/>
            <w:webHidden/>
          </w:rPr>
          <w:t>14</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10" w:history="1">
        <w:r w:rsidR="00753C71" w:rsidRPr="007C31FA">
          <w:rPr>
            <w:rStyle w:val="Hyperlink"/>
            <w:noProof/>
          </w:rPr>
          <w:t>3.2.1.1</w:t>
        </w:r>
        <w:r w:rsidR="00753C71">
          <w:rPr>
            <w:rFonts w:asciiTheme="minorHAnsi" w:eastAsiaTheme="minorEastAsia" w:hAnsiTheme="minorHAnsi" w:cstheme="minorBidi"/>
            <w:noProof/>
            <w:sz w:val="22"/>
            <w:lang w:val="en-US"/>
          </w:rPr>
          <w:tab/>
        </w:r>
        <w:r w:rsidR="00753C71" w:rsidRPr="007C31FA">
          <w:rPr>
            <w:rStyle w:val="Hyperlink"/>
            <w:noProof/>
          </w:rPr>
          <w:t>«Ερευνώ – Δημιουργώ – Καινοτομώ» (Α΄ κύκλος)</w:t>
        </w:r>
        <w:r w:rsidR="00753C71">
          <w:rPr>
            <w:noProof/>
            <w:webHidden/>
          </w:rPr>
          <w:tab/>
        </w:r>
        <w:r w:rsidR="00753C71">
          <w:rPr>
            <w:noProof/>
            <w:webHidden/>
          </w:rPr>
          <w:fldChar w:fldCharType="begin"/>
        </w:r>
        <w:r w:rsidR="00753C71">
          <w:rPr>
            <w:noProof/>
            <w:webHidden/>
          </w:rPr>
          <w:instrText xml:space="preserve"> PAGEREF _Toc22645110 \h </w:instrText>
        </w:r>
        <w:r w:rsidR="00753C71">
          <w:rPr>
            <w:noProof/>
            <w:webHidden/>
          </w:rPr>
        </w:r>
        <w:r w:rsidR="00753C71">
          <w:rPr>
            <w:noProof/>
            <w:webHidden/>
          </w:rPr>
          <w:fldChar w:fldCharType="separate"/>
        </w:r>
        <w:r w:rsidR="00753C71">
          <w:rPr>
            <w:noProof/>
            <w:webHidden/>
          </w:rPr>
          <w:t>19</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11" w:history="1">
        <w:r w:rsidR="00753C71" w:rsidRPr="007C31FA">
          <w:rPr>
            <w:rStyle w:val="Hyperlink"/>
            <w:noProof/>
          </w:rPr>
          <w:t>3.2.1.2</w:t>
        </w:r>
        <w:r w:rsidR="00753C71">
          <w:rPr>
            <w:rFonts w:asciiTheme="minorHAnsi" w:eastAsiaTheme="minorEastAsia" w:hAnsiTheme="minorHAnsi" w:cstheme="minorBidi"/>
            <w:noProof/>
            <w:sz w:val="22"/>
            <w:lang w:val="en-US"/>
          </w:rPr>
          <w:tab/>
        </w:r>
        <w:r w:rsidR="00753C71" w:rsidRPr="007C31FA">
          <w:rPr>
            <w:rStyle w:val="Hyperlink"/>
            <w:noProof/>
          </w:rPr>
          <w:t>Ειδικές Δράσεις «Υδατοκαλλιέργειες» - «Βιομηχανικά Υλικά» και «Ανοιχτή καινοτομία στον Πολιτισμό»</w:t>
        </w:r>
        <w:r w:rsidR="00753C71">
          <w:rPr>
            <w:noProof/>
            <w:webHidden/>
          </w:rPr>
          <w:tab/>
        </w:r>
        <w:r w:rsidR="00753C71">
          <w:rPr>
            <w:noProof/>
            <w:webHidden/>
          </w:rPr>
          <w:fldChar w:fldCharType="begin"/>
        </w:r>
        <w:r w:rsidR="00753C71">
          <w:rPr>
            <w:noProof/>
            <w:webHidden/>
          </w:rPr>
          <w:instrText xml:space="preserve"> PAGEREF _Toc22645111 \h </w:instrText>
        </w:r>
        <w:r w:rsidR="00753C71">
          <w:rPr>
            <w:noProof/>
            <w:webHidden/>
          </w:rPr>
        </w:r>
        <w:r w:rsidR="00753C71">
          <w:rPr>
            <w:noProof/>
            <w:webHidden/>
          </w:rPr>
          <w:fldChar w:fldCharType="separate"/>
        </w:r>
        <w:r w:rsidR="00753C71">
          <w:rPr>
            <w:noProof/>
            <w:webHidden/>
          </w:rPr>
          <w:t>30</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12" w:history="1">
        <w:r w:rsidR="00753C71" w:rsidRPr="007C31FA">
          <w:rPr>
            <w:rStyle w:val="Hyperlink"/>
            <w:noProof/>
          </w:rPr>
          <w:t>3.2.1.3</w:t>
        </w:r>
        <w:r w:rsidR="00753C71">
          <w:rPr>
            <w:rFonts w:asciiTheme="minorHAnsi" w:eastAsiaTheme="minorEastAsia" w:hAnsiTheme="minorHAnsi" w:cstheme="minorBidi"/>
            <w:noProof/>
            <w:sz w:val="22"/>
            <w:lang w:val="en-US"/>
          </w:rPr>
          <w:tab/>
        </w:r>
        <w:r w:rsidR="00753C71" w:rsidRPr="007C31FA">
          <w:rPr>
            <w:rStyle w:val="Hyperlink"/>
            <w:noProof/>
          </w:rPr>
          <w:t>Ευρωπαϊκά Δίκτυα ERA NETS</w:t>
        </w:r>
        <w:r w:rsidR="00753C71">
          <w:rPr>
            <w:noProof/>
            <w:webHidden/>
          </w:rPr>
          <w:tab/>
        </w:r>
        <w:r w:rsidR="00753C71">
          <w:rPr>
            <w:noProof/>
            <w:webHidden/>
          </w:rPr>
          <w:fldChar w:fldCharType="begin"/>
        </w:r>
        <w:r w:rsidR="00753C71">
          <w:rPr>
            <w:noProof/>
            <w:webHidden/>
          </w:rPr>
          <w:instrText xml:space="preserve"> PAGEREF _Toc22645112 \h </w:instrText>
        </w:r>
        <w:r w:rsidR="00753C71">
          <w:rPr>
            <w:noProof/>
            <w:webHidden/>
          </w:rPr>
        </w:r>
        <w:r w:rsidR="00753C71">
          <w:rPr>
            <w:noProof/>
            <w:webHidden/>
          </w:rPr>
          <w:fldChar w:fldCharType="separate"/>
        </w:r>
        <w:r w:rsidR="00753C71">
          <w:rPr>
            <w:noProof/>
            <w:webHidden/>
          </w:rPr>
          <w:t>31</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13" w:history="1">
        <w:r w:rsidR="00753C71" w:rsidRPr="007C31FA">
          <w:rPr>
            <w:rStyle w:val="Hyperlink"/>
            <w:noProof/>
          </w:rPr>
          <w:t>3.2.1.4</w:t>
        </w:r>
        <w:r w:rsidR="00753C71">
          <w:rPr>
            <w:rFonts w:asciiTheme="minorHAnsi" w:eastAsiaTheme="minorEastAsia" w:hAnsiTheme="minorHAnsi" w:cstheme="minorBidi"/>
            <w:noProof/>
            <w:sz w:val="22"/>
            <w:lang w:val="en-US"/>
          </w:rPr>
          <w:tab/>
        </w:r>
        <w:r w:rsidR="00753C71" w:rsidRPr="007C31FA">
          <w:rPr>
            <w:rStyle w:val="Hyperlink"/>
            <w:noProof/>
          </w:rPr>
          <w:t>Διμερείς και Πολυμερείς Ε&amp;Τ Συνεργασίες</w:t>
        </w:r>
        <w:r w:rsidR="00753C71">
          <w:rPr>
            <w:noProof/>
            <w:webHidden/>
          </w:rPr>
          <w:tab/>
        </w:r>
        <w:r w:rsidR="00753C71">
          <w:rPr>
            <w:noProof/>
            <w:webHidden/>
          </w:rPr>
          <w:fldChar w:fldCharType="begin"/>
        </w:r>
        <w:r w:rsidR="00753C71">
          <w:rPr>
            <w:noProof/>
            <w:webHidden/>
          </w:rPr>
          <w:instrText xml:space="preserve"> PAGEREF _Toc22645113 \h </w:instrText>
        </w:r>
        <w:r w:rsidR="00753C71">
          <w:rPr>
            <w:noProof/>
            <w:webHidden/>
          </w:rPr>
        </w:r>
        <w:r w:rsidR="00753C71">
          <w:rPr>
            <w:noProof/>
            <w:webHidden/>
          </w:rPr>
          <w:fldChar w:fldCharType="separate"/>
        </w:r>
        <w:r w:rsidR="00753C71">
          <w:rPr>
            <w:noProof/>
            <w:webHidden/>
          </w:rPr>
          <w:t>35</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14" w:history="1">
        <w:r w:rsidR="00753C71" w:rsidRPr="007C31FA">
          <w:rPr>
            <w:rStyle w:val="Hyperlink"/>
            <w:noProof/>
          </w:rPr>
          <w:t>3.2.2</w:t>
        </w:r>
        <w:r w:rsidR="00753C71">
          <w:rPr>
            <w:rFonts w:asciiTheme="minorHAnsi" w:eastAsiaTheme="minorEastAsia" w:hAnsiTheme="minorHAnsi" w:cstheme="minorBidi"/>
            <w:noProof/>
            <w:sz w:val="22"/>
            <w:lang w:val="en-US"/>
          </w:rPr>
          <w:tab/>
        </w:r>
        <w:r w:rsidR="00753C71" w:rsidRPr="007C31FA">
          <w:rPr>
            <w:rStyle w:val="Hyperlink"/>
            <w:noProof/>
          </w:rPr>
          <w:t>Δράσεις ΕΠΑνΕΚ στο πλαίσιο της Επενδυτικής Προτεραιότητας 1</w:t>
        </w:r>
        <w:r w:rsidR="00753C71" w:rsidRPr="007C31FA">
          <w:rPr>
            <w:rStyle w:val="Hyperlink"/>
            <w:noProof/>
            <w:lang w:val="en-US"/>
          </w:rPr>
          <w:t>a</w:t>
        </w:r>
        <w:r w:rsidR="00753C71">
          <w:rPr>
            <w:noProof/>
            <w:webHidden/>
          </w:rPr>
          <w:tab/>
        </w:r>
        <w:r w:rsidR="00753C71">
          <w:rPr>
            <w:noProof/>
            <w:webHidden/>
          </w:rPr>
          <w:fldChar w:fldCharType="begin"/>
        </w:r>
        <w:r w:rsidR="00753C71">
          <w:rPr>
            <w:noProof/>
            <w:webHidden/>
          </w:rPr>
          <w:instrText xml:space="preserve"> PAGEREF _Toc22645114 \h </w:instrText>
        </w:r>
        <w:r w:rsidR="00753C71">
          <w:rPr>
            <w:noProof/>
            <w:webHidden/>
          </w:rPr>
        </w:r>
        <w:r w:rsidR="00753C71">
          <w:rPr>
            <w:noProof/>
            <w:webHidden/>
          </w:rPr>
          <w:fldChar w:fldCharType="separate"/>
        </w:r>
        <w:r w:rsidR="00753C71">
          <w:rPr>
            <w:noProof/>
            <w:webHidden/>
          </w:rPr>
          <w:t>39</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15" w:history="1">
        <w:r w:rsidR="00753C71" w:rsidRPr="007C31FA">
          <w:rPr>
            <w:rStyle w:val="Hyperlink"/>
            <w:noProof/>
          </w:rPr>
          <w:t>3.3</w:t>
        </w:r>
        <w:r w:rsidR="00753C71">
          <w:rPr>
            <w:rFonts w:asciiTheme="minorHAnsi" w:eastAsiaTheme="minorEastAsia" w:hAnsiTheme="minorHAnsi" w:cstheme="minorBidi"/>
            <w:noProof/>
            <w:sz w:val="22"/>
            <w:lang w:val="en-US"/>
          </w:rPr>
          <w:tab/>
        </w:r>
        <w:r w:rsidR="00753C71" w:rsidRPr="007C31FA">
          <w:rPr>
            <w:rStyle w:val="Hyperlink"/>
            <w:noProof/>
          </w:rPr>
          <w:t>Εμβληματικές πρωτοβουλίες και Δράσεις ΕΛΙΔΕΚ</w:t>
        </w:r>
        <w:r w:rsidR="00753C71">
          <w:rPr>
            <w:noProof/>
            <w:webHidden/>
          </w:rPr>
          <w:tab/>
        </w:r>
        <w:r w:rsidR="00753C71">
          <w:rPr>
            <w:noProof/>
            <w:webHidden/>
          </w:rPr>
          <w:fldChar w:fldCharType="begin"/>
        </w:r>
        <w:r w:rsidR="00753C71">
          <w:rPr>
            <w:noProof/>
            <w:webHidden/>
          </w:rPr>
          <w:instrText xml:space="preserve"> PAGEREF _Toc22645115 \h </w:instrText>
        </w:r>
        <w:r w:rsidR="00753C71">
          <w:rPr>
            <w:noProof/>
            <w:webHidden/>
          </w:rPr>
        </w:r>
        <w:r w:rsidR="00753C71">
          <w:rPr>
            <w:noProof/>
            <w:webHidden/>
          </w:rPr>
          <w:fldChar w:fldCharType="separate"/>
        </w:r>
        <w:r w:rsidR="00753C71">
          <w:rPr>
            <w:noProof/>
            <w:webHidden/>
          </w:rPr>
          <w:t>41</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16" w:history="1">
        <w:r w:rsidR="00753C71" w:rsidRPr="007C31FA">
          <w:rPr>
            <w:rStyle w:val="Hyperlink"/>
            <w:noProof/>
          </w:rPr>
          <w:t>3.3.1</w:t>
        </w:r>
        <w:r w:rsidR="00753C71">
          <w:rPr>
            <w:rFonts w:asciiTheme="minorHAnsi" w:eastAsiaTheme="minorEastAsia" w:hAnsiTheme="minorHAnsi" w:cstheme="minorBidi"/>
            <w:noProof/>
            <w:sz w:val="22"/>
            <w:lang w:val="en-US"/>
          </w:rPr>
          <w:tab/>
        </w:r>
        <w:r w:rsidR="00753C71" w:rsidRPr="007C31FA">
          <w:rPr>
            <w:rStyle w:val="Hyperlink"/>
            <w:noProof/>
          </w:rPr>
          <w:t>Εμβληματικές πρωτοβουλίες</w:t>
        </w:r>
        <w:r w:rsidR="00753C71">
          <w:rPr>
            <w:noProof/>
            <w:webHidden/>
          </w:rPr>
          <w:tab/>
        </w:r>
        <w:r w:rsidR="00753C71">
          <w:rPr>
            <w:noProof/>
            <w:webHidden/>
          </w:rPr>
          <w:fldChar w:fldCharType="begin"/>
        </w:r>
        <w:r w:rsidR="00753C71">
          <w:rPr>
            <w:noProof/>
            <w:webHidden/>
          </w:rPr>
          <w:instrText xml:space="preserve"> PAGEREF _Toc22645116 \h </w:instrText>
        </w:r>
        <w:r w:rsidR="00753C71">
          <w:rPr>
            <w:noProof/>
            <w:webHidden/>
          </w:rPr>
        </w:r>
        <w:r w:rsidR="00753C71">
          <w:rPr>
            <w:noProof/>
            <w:webHidden/>
          </w:rPr>
          <w:fldChar w:fldCharType="separate"/>
        </w:r>
        <w:r w:rsidR="00753C71">
          <w:rPr>
            <w:noProof/>
            <w:webHidden/>
          </w:rPr>
          <w:t>41</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17" w:history="1">
        <w:r w:rsidR="00753C71" w:rsidRPr="007C31FA">
          <w:rPr>
            <w:rStyle w:val="Hyperlink"/>
            <w:noProof/>
          </w:rPr>
          <w:t>3.3.2</w:t>
        </w:r>
        <w:r w:rsidR="00753C71">
          <w:rPr>
            <w:rFonts w:asciiTheme="minorHAnsi" w:eastAsiaTheme="minorEastAsia" w:hAnsiTheme="minorHAnsi" w:cstheme="minorBidi"/>
            <w:noProof/>
            <w:sz w:val="22"/>
            <w:lang w:val="en-US"/>
          </w:rPr>
          <w:tab/>
        </w:r>
        <w:r w:rsidR="00753C71" w:rsidRPr="007C31FA">
          <w:rPr>
            <w:rStyle w:val="Hyperlink"/>
            <w:noProof/>
          </w:rPr>
          <w:t>Δράσεις ΕΛΙΔΕΚ</w:t>
        </w:r>
        <w:r w:rsidR="00753C71">
          <w:rPr>
            <w:noProof/>
            <w:webHidden/>
          </w:rPr>
          <w:tab/>
        </w:r>
        <w:r w:rsidR="00753C71">
          <w:rPr>
            <w:noProof/>
            <w:webHidden/>
          </w:rPr>
          <w:fldChar w:fldCharType="begin"/>
        </w:r>
        <w:r w:rsidR="00753C71">
          <w:rPr>
            <w:noProof/>
            <w:webHidden/>
          </w:rPr>
          <w:instrText xml:space="preserve"> PAGEREF _Toc22645117 \h </w:instrText>
        </w:r>
        <w:r w:rsidR="00753C71">
          <w:rPr>
            <w:noProof/>
            <w:webHidden/>
          </w:rPr>
        </w:r>
        <w:r w:rsidR="00753C71">
          <w:rPr>
            <w:noProof/>
            <w:webHidden/>
          </w:rPr>
          <w:fldChar w:fldCharType="separate"/>
        </w:r>
        <w:r w:rsidR="00753C71">
          <w:rPr>
            <w:noProof/>
            <w:webHidden/>
          </w:rPr>
          <w:t>42</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18" w:history="1">
        <w:r w:rsidR="00753C71" w:rsidRPr="007C31FA">
          <w:rPr>
            <w:rStyle w:val="Hyperlink"/>
            <w:noProof/>
          </w:rPr>
          <w:t>4.</w:t>
        </w:r>
        <w:r w:rsidR="00753C71">
          <w:rPr>
            <w:rFonts w:asciiTheme="minorHAnsi" w:eastAsiaTheme="minorEastAsia" w:hAnsiTheme="minorHAnsi" w:cstheme="minorBidi"/>
            <w:b w:val="0"/>
            <w:noProof/>
            <w:sz w:val="22"/>
            <w:lang w:val="en-US"/>
          </w:rPr>
          <w:tab/>
        </w:r>
        <w:r w:rsidR="00753C71" w:rsidRPr="007C31FA">
          <w:rPr>
            <w:rStyle w:val="Hyperlink"/>
            <w:noProof/>
          </w:rPr>
          <w:t>Λοιπές  πηγές χρηματοδότησης της στρατηγικής</w:t>
        </w:r>
        <w:r w:rsidR="00753C71">
          <w:rPr>
            <w:noProof/>
            <w:webHidden/>
          </w:rPr>
          <w:tab/>
        </w:r>
        <w:r w:rsidR="00753C71">
          <w:rPr>
            <w:noProof/>
            <w:webHidden/>
          </w:rPr>
          <w:fldChar w:fldCharType="begin"/>
        </w:r>
        <w:r w:rsidR="00753C71">
          <w:rPr>
            <w:noProof/>
            <w:webHidden/>
          </w:rPr>
          <w:instrText xml:space="preserve"> PAGEREF _Toc22645118 \h </w:instrText>
        </w:r>
        <w:r w:rsidR="00753C71">
          <w:rPr>
            <w:noProof/>
            <w:webHidden/>
          </w:rPr>
        </w:r>
        <w:r w:rsidR="00753C71">
          <w:rPr>
            <w:noProof/>
            <w:webHidden/>
          </w:rPr>
          <w:fldChar w:fldCharType="separate"/>
        </w:r>
        <w:r w:rsidR="00753C71">
          <w:rPr>
            <w:noProof/>
            <w:webHidden/>
          </w:rPr>
          <w:t>44</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19" w:history="1">
        <w:r w:rsidR="00753C71" w:rsidRPr="007C31FA">
          <w:rPr>
            <w:rStyle w:val="Hyperlink"/>
            <w:noProof/>
          </w:rPr>
          <w:t>4.1</w:t>
        </w:r>
        <w:r w:rsidR="00753C71">
          <w:rPr>
            <w:rFonts w:asciiTheme="minorHAnsi" w:eastAsiaTheme="minorEastAsia" w:hAnsiTheme="minorHAnsi" w:cstheme="minorBidi"/>
            <w:noProof/>
            <w:sz w:val="22"/>
            <w:lang w:val="en-US"/>
          </w:rPr>
          <w:tab/>
        </w:r>
        <w:r w:rsidR="00753C71" w:rsidRPr="007C31FA">
          <w:rPr>
            <w:rStyle w:val="Hyperlink"/>
            <w:noProof/>
          </w:rPr>
          <w:t>Το πρόγραμμα Horizon 2020</w:t>
        </w:r>
        <w:r w:rsidR="00753C71">
          <w:rPr>
            <w:noProof/>
            <w:webHidden/>
          </w:rPr>
          <w:tab/>
        </w:r>
        <w:r w:rsidR="00753C71">
          <w:rPr>
            <w:noProof/>
            <w:webHidden/>
          </w:rPr>
          <w:fldChar w:fldCharType="begin"/>
        </w:r>
        <w:r w:rsidR="00753C71">
          <w:rPr>
            <w:noProof/>
            <w:webHidden/>
          </w:rPr>
          <w:instrText xml:space="preserve"> PAGEREF _Toc22645119 \h </w:instrText>
        </w:r>
        <w:r w:rsidR="00753C71">
          <w:rPr>
            <w:noProof/>
            <w:webHidden/>
          </w:rPr>
        </w:r>
        <w:r w:rsidR="00753C71">
          <w:rPr>
            <w:noProof/>
            <w:webHidden/>
          </w:rPr>
          <w:fldChar w:fldCharType="separate"/>
        </w:r>
        <w:r w:rsidR="00753C71">
          <w:rPr>
            <w:noProof/>
            <w:webHidden/>
          </w:rPr>
          <w:t>44</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20" w:history="1">
        <w:r w:rsidR="00753C71" w:rsidRPr="007C31FA">
          <w:rPr>
            <w:rStyle w:val="Hyperlink"/>
            <w:noProof/>
          </w:rPr>
          <w:t>4.2</w:t>
        </w:r>
        <w:r w:rsidR="00753C71">
          <w:rPr>
            <w:rFonts w:asciiTheme="minorHAnsi" w:eastAsiaTheme="minorEastAsia" w:hAnsiTheme="minorHAnsi" w:cstheme="minorBidi"/>
            <w:noProof/>
            <w:sz w:val="22"/>
            <w:lang w:val="en-US"/>
          </w:rPr>
          <w:tab/>
        </w:r>
        <w:r w:rsidR="00753C71" w:rsidRPr="007C31FA">
          <w:rPr>
            <w:rStyle w:val="Hyperlink"/>
            <w:noProof/>
          </w:rPr>
          <w:t>Το Επιχειρησιακό Πρόγραμμα «Ανάπτυξη Ανθρώπινου Δυναμικού Εκπαίδευση και Δια Βίου Μάθηση» (ΕΠ ΑΝΑΔ ΕΔΒΜ)</w:t>
        </w:r>
        <w:r w:rsidR="00753C71">
          <w:rPr>
            <w:noProof/>
            <w:webHidden/>
          </w:rPr>
          <w:tab/>
        </w:r>
        <w:r w:rsidR="00753C71">
          <w:rPr>
            <w:noProof/>
            <w:webHidden/>
          </w:rPr>
          <w:fldChar w:fldCharType="begin"/>
        </w:r>
        <w:r w:rsidR="00753C71">
          <w:rPr>
            <w:noProof/>
            <w:webHidden/>
          </w:rPr>
          <w:instrText xml:space="preserve"> PAGEREF _Toc22645120 \h </w:instrText>
        </w:r>
        <w:r w:rsidR="00753C71">
          <w:rPr>
            <w:noProof/>
            <w:webHidden/>
          </w:rPr>
        </w:r>
        <w:r w:rsidR="00753C71">
          <w:rPr>
            <w:noProof/>
            <w:webHidden/>
          </w:rPr>
          <w:fldChar w:fldCharType="separate"/>
        </w:r>
        <w:r w:rsidR="00753C71">
          <w:rPr>
            <w:noProof/>
            <w:webHidden/>
          </w:rPr>
          <w:t>48</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21" w:history="1">
        <w:r w:rsidR="00753C71" w:rsidRPr="007C31FA">
          <w:rPr>
            <w:rStyle w:val="Hyperlink"/>
            <w:noProof/>
          </w:rPr>
          <w:t>4.2.1</w:t>
        </w:r>
        <w:r w:rsidR="00753C71">
          <w:rPr>
            <w:rFonts w:asciiTheme="minorHAnsi" w:eastAsiaTheme="minorEastAsia" w:hAnsiTheme="minorHAnsi" w:cstheme="minorBidi"/>
            <w:noProof/>
            <w:sz w:val="22"/>
            <w:lang w:val="en-US"/>
          </w:rPr>
          <w:tab/>
        </w:r>
        <w:r w:rsidR="00753C71" w:rsidRPr="007C31FA">
          <w:rPr>
            <w:rStyle w:val="Hyperlink"/>
            <w:noProof/>
          </w:rPr>
          <w:t>Ενίσχυση του ανθρώπινου ερευνητικού δυναμικού μέσω της υλοποίησης διδακτορικής έρευνας</w:t>
        </w:r>
        <w:r w:rsidR="00753C71">
          <w:rPr>
            <w:noProof/>
            <w:webHidden/>
          </w:rPr>
          <w:tab/>
        </w:r>
        <w:r w:rsidR="00753C71">
          <w:rPr>
            <w:noProof/>
            <w:webHidden/>
          </w:rPr>
          <w:fldChar w:fldCharType="begin"/>
        </w:r>
        <w:r w:rsidR="00753C71">
          <w:rPr>
            <w:noProof/>
            <w:webHidden/>
          </w:rPr>
          <w:instrText xml:space="preserve"> PAGEREF _Toc22645121 \h </w:instrText>
        </w:r>
        <w:r w:rsidR="00753C71">
          <w:rPr>
            <w:noProof/>
            <w:webHidden/>
          </w:rPr>
        </w:r>
        <w:r w:rsidR="00753C71">
          <w:rPr>
            <w:noProof/>
            <w:webHidden/>
          </w:rPr>
          <w:fldChar w:fldCharType="separate"/>
        </w:r>
        <w:r w:rsidR="00753C71">
          <w:rPr>
            <w:noProof/>
            <w:webHidden/>
          </w:rPr>
          <w:t>48</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22" w:history="1">
        <w:r w:rsidR="00753C71" w:rsidRPr="007C31FA">
          <w:rPr>
            <w:rStyle w:val="Hyperlink"/>
            <w:noProof/>
          </w:rPr>
          <w:t>4.2.1.1</w:t>
        </w:r>
        <w:r w:rsidR="00753C71">
          <w:rPr>
            <w:rFonts w:asciiTheme="minorHAnsi" w:eastAsiaTheme="minorEastAsia" w:hAnsiTheme="minorHAnsi" w:cstheme="minorBidi"/>
            <w:noProof/>
            <w:sz w:val="22"/>
            <w:lang w:val="en-US"/>
          </w:rPr>
          <w:tab/>
        </w:r>
        <w:r w:rsidR="00753C71" w:rsidRPr="007C31FA">
          <w:rPr>
            <w:rStyle w:val="Hyperlink"/>
            <w:noProof/>
          </w:rPr>
          <w:t>Ενίσχυση του ανθρώπινου ερευνητικού δυναμικού μέσω της υλοποίησης διδακτορικής έρευνας 1ος Κύκλος</w:t>
        </w:r>
        <w:r w:rsidR="00753C71">
          <w:rPr>
            <w:noProof/>
            <w:webHidden/>
          </w:rPr>
          <w:tab/>
        </w:r>
        <w:r w:rsidR="00753C71">
          <w:rPr>
            <w:noProof/>
            <w:webHidden/>
          </w:rPr>
          <w:fldChar w:fldCharType="begin"/>
        </w:r>
        <w:r w:rsidR="00753C71">
          <w:rPr>
            <w:noProof/>
            <w:webHidden/>
          </w:rPr>
          <w:instrText xml:space="preserve"> PAGEREF _Toc22645122 \h </w:instrText>
        </w:r>
        <w:r w:rsidR="00753C71">
          <w:rPr>
            <w:noProof/>
            <w:webHidden/>
          </w:rPr>
        </w:r>
        <w:r w:rsidR="00753C71">
          <w:rPr>
            <w:noProof/>
            <w:webHidden/>
          </w:rPr>
          <w:fldChar w:fldCharType="separate"/>
        </w:r>
        <w:r w:rsidR="00753C71">
          <w:rPr>
            <w:noProof/>
            <w:webHidden/>
          </w:rPr>
          <w:t>48</w:t>
        </w:r>
        <w:r w:rsidR="00753C71">
          <w:rPr>
            <w:noProof/>
            <w:webHidden/>
          </w:rPr>
          <w:fldChar w:fldCharType="end"/>
        </w:r>
      </w:hyperlink>
    </w:p>
    <w:p w:rsidR="00753C71" w:rsidRDefault="003616DA">
      <w:pPr>
        <w:pStyle w:val="TOC4"/>
        <w:tabs>
          <w:tab w:val="left" w:pos="1320"/>
          <w:tab w:val="right" w:leader="dot" w:pos="9403"/>
        </w:tabs>
        <w:rPr>
          <w:rFonts w:asciiTheme="minorHAnsi" w:eastAsiaTheme="minorEastAsia" w:hAnsiTheme="minorHAnsi" w:cstheme="minorBidi"/>
          <w:noProof/>
          <w:sz w:val="22"/>
          <w:lang w:val="en-US"/>
        </w:rPr>
      </w:pPr>
      <w:hyperlink w:anchor="_Toc22645123" w:history="1">
        <w:r w:rsidR="00753C71" w:rsidRPr="007C31FA">
          <w:rPr>
            <w:rStyle w:val="Hyperlink"/>
            <w:noProof/>
          </w:rPr>
          <w:t>4.2.1.2</w:t>
        </w:r>
        <w:r w:rsidR="00753C71">
          <w:rPr>
            <w:rFonts w:asciiTheme="minorHAnsi" w:eastAsiaTheme="minorEastAsia" w:hAnsiTheme="minorHAnsi" w:cstheme="minorBidi"/>
            <w:noProof/>
            <w:sz w:val="22"/>
            <w:lang w:val="en-US"/>
          </w:rPr>
          <w:tab/>
        </w:r>
        <w:r w:rsidR="00753C71" w:rsidRPr="007C31FA">
          <w:rPr>
            <w:rStyle w:val="Hyperlink"/>
            <w:noProof/>
          </w:rPr>
          <w:t>Πρόγραμμα Χορήγησης Υποτροφιών για Μεταπτυχιακές Σπουδές Δεύτερου Κύκλου Σπουδών, 18-36 Μήνες</w:t>
        </w:r>
        <w:r w:rsidR="00753C71">
          <w:rPr>
            <w:noProof/>
            <w:webHidden/>
          </w:rPr>
          <w:tab/>
        </w:r>
        <w:r w:rsidR="00753C71">
          <w:rPr>
            <w:noProof/>
            <w:webHidden/>
          </w:rPr>
          <w:fldChar w:fldCharType="begin"/>
        </w:r>
        <w:r w:rsidR="00753C71">
          <w:rPr>
            <w:noProof/>
            <w:webHidden/>
          </w:rPr>
          <w:instrText xml:space="preserve"> PAGEREF _Toc22645123 \h </w:instrText>
        </w:r>
        <w:r w:rsidR="00753C71">
          <w:rPr>
            <w:noProof/>
            <w:webHidden/>
          </w:rPr>
        </w:r>
        <w:r w:rsidR="00753C71">
          <w:rPr>
            <w:noProof/>
            <w:webHidden/>
          </w:rPr>
          <w:fldChar w:fldCharType="separate"/>
        </w:r>
        <w:r w:rsidR="00753C71">
          <w:rPr>
            <w:noProof/>
            <w:webHidden/>
          </w:rPr>
          <w:t>50</w:t>
        </w:r>
        <w:r w:rsidR="00753C71">
          <w:rPr>
            <w:noProof/>
            <w:webHidden/>
          </w:rPr>
          <w:fldChar w:fldCharType="end"/>
        </w:r>
      </w:hyperlink>
    </w:p>
    <w:p w:rsidR="00753C71" w:rsidRDefault="003616DA">
      <w:pPr>
        <w:pStyle w:val="TOC3"/>
        <w:tabs>
          <w:tab w:val="left" w:pos="1100"/>
          <w:tab w:val="right" w:leader="dot" w:pos="9403"/>
        </w:tabs>
        <w:rPr>
          <w:rFonts w:asciiTheme="minorHAnsi" w:eastAsiaTheme="minorEastAsia" w:hAnsiTheme="minorHAnsi" w:cstheme="minorBidi"/>
          <w:noProof/>
          <w:sz w:val="22"/>
          <w:lang w:val="en-US"/>
        </w:rPr>
      </w:pPr>
      <w:hyperlink w:anchor="_Toc22645124" w:history="1">
        <w:r w:rsidR="00753C71" w:rsidRPr="007C31FA">
          <w:rPr>
            <w:rStyle w:val="Hyperlink"/>
            <w:noProof/>
          </w:rPr>
          <w:t>4.2.2</w:t>
        </w:r>
        <w:r w:rsidR="00753C71">
          <w:rPr>
            <w:rFonts w:asciiTheme="minorHAnsi" w:eastAsiaTheme="minorEastAsia" w:hAnsiTheme="minorHAnsi" w:cstheme="minorBidi"/>
            <w:noProof/>
            <w:sz w:val="22"/>
            <w:lang w:val="en-US"/>
          </w:rPr>
          <w:tab/>
        </w:r>
        <w:r w:rsidR="00753C71" w:rsidRPr="007C31FA">
          <w:rPr>
            <w:rStyle w:val="Hyperlink"/>
            <w:noProof/>
          </w:rPr>
          <w:t>Ενίσχυση μεταδιδακτόρων ερευνητών/τριών</w:t>
        </w:r>
        <w:r w:rsidR="00753C71">
          <w:rPr>
            <w:noProof/>
            <w:webHidden/>
          </w:rPr>
          <w:tab/>
        </w:r>
        <w:r w:rsidR="00753C71">
          <w:rPr>
            <w:noProof/>
            <w:webHidden/>
          </w:rPr>
          <w:fldChar w:fldCharType="begin"/>
        </w:r>
        <w:r w:rsidR="00753C71">
          <w:rPr>
            <w:noProof/>
            <w:webHidden/>
          </w:rPr>
          <w:instrText xml:space="preserve"> PAGEREF _Toc22645124 \h </w:instrText>
        </w:r>
        <w:r w:rsidR="00753C71">
          <w:rPr>
            <w:noProof/>
            <w:webHidden/>
          </w:rPr>
        </w:r>
        <w:r w:rsidR="00753C71">
          <w:rPr>
            <w:noProof/>
            <w:webHidden/>
          </w:rPr>
          <w:fldChar w:fldCharType="separate"/>
        </w:r>
        <w:r w:rsidR="00753C71">
          <w:rPr>
            <w:noProof/>
            <w:webHidden/>
          </w:rPr>
          <w:t>51</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25" w:history="1">
        <w:r w:rsidR="00753C71" w:rsidRPr="007C31FA">
          <w:rPr>
            <w:rStyle w:val="Hyperlink"/>
            <w:noProof/>
          </w:rPr>
          <w:t>4.3</w:t>
        </w:r>
        <w:r w:rsidR="00753C71">
          <w:rPr>
            <w:rFonts w:asciiTheme="minorHAnsi" w:eastAsiaTheme="minorEastAsia" w:hAnsiTheme="minorHAnsi" w:cstheme="minorBidi"/>
            <w:noProof/>
            <w:sz w:val="22"/>
            <w:lang w:val="en-US"/>
          </w:rPr>
          <w:tab/>
        </w:r>
        <w:r w:rsidR="00753C71" w:rsidRPr="007C31FA">
          <w:rPr>
            <w:rStyle w:val="Hyperlink"/>
            <w:noProof/>
          </w:rPr>
          <w:t>Το πρόγραμμα LIFE</w:t>
        </w:r>
        <w:r w:rsidR="00753C71">
          <w:rPr>
            <w:noProof/>
            <w:webHidden/>
          </w:rPr>
          <w:tab/>
        </w:r>
        <w:r w:rsidR="00753C71">
          <w:rPr>
            <w:noProof/>
            <w:webHidden/>
          </w:rPr>
          <w:fldChar w:fldCharType="begin"/>
        </w:r>
        <w:r w:rsidR="00753C71">
          <w:rPr>
            <w:noProof/>
            <w:webHidden/>
          </w:rPr>
          <w:instrText xml:space="preserve"> PAGEREF _Toc22645125 \h </w:instrText>
        </w:r>
        <w:r w:rsidR="00753C71">
          <w:rPr>
            <w:noProof/>
            <w:webHidden/>
          </w:rPr>
        </w:r>
        <w:r w:rsidR="00753C71">
          <w:rPr>
            <w:noProof/>
            <w:webHidden/>
          </w:rPr>
          <w:fldChar w:fldCharType="separate"/>
        </w:r>
        <w:r w:rsidR="00753C71">
          <w:rPr>
            <w:noProof/>
            <w:webHidden/>
          </w:rPr>
          <w:t>53</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26" w:history="1">
        <w:r w:rsidR="00753C71" w:rsidRPr="007C31FA">
          <w:rPr>
            <w:rStyle w:val="Hyperlink"/>
            <w:noProof/>
          </w:rPr>
          <w:t>4.4</w:t>
        </w:r>
        <w:r w:rsidR="00753C71">
          <w:rPr>
            <w:rFonts w:asciiTheme="minorHAnsi" w:eastAsiaTheme="minorEastAsia" w:hAnsiTheme="minorHAnsi" w:cstheme="minorBidi"/>
            <w:noProof/>
            <w:sz w:val="22"/>
            <w:lang w:val="en-US"/>
          </w:rPr>
          <w:tab/>
        </w:r>
        <w:r w:rsidR="00753C71" w:rsidRPr="007C31FA">
          <w:rPr>
            <w:rStyle w:val="Hyperlink"/>
            <w:noProof/>
          </w:rPr>
          <w:t>Το πρόγραμμα URBACT</w:t>
        </w:r>
        <w:r w:rsidR="00753C71">
          <w:rPr>
            <w:noProof/>
            <w:webHidden/>
          </w:rPr>
          <w:tab/>
        </w:r>
        <w:r w:rsidR="00753C71">
          <w:rPr>
            <w:noProof/>
            <w:webHidden/>
          </w:rPr>
          <w:fldChar w:fldCharType="begin"/>
        </w:r>
        <w:r w:rsidR="00753C71">
          <w:rPr>
            <w:noProof/>
            <w:webHidden/>
          </w:rPr>
          <w:instrText xml:space="preserve"> PAGEREF _Toc22645126 \h </w:instrText>
        </w:r>
        <w:r w:rsidR="00753C71">
          <w:rPr>
            <w:noProof/>
            <w:webHidden/>
          </w:rPr>
        </w:r>
        <w:r w:rsidR="00753C71">
          <w:rPr>
            <w:noProof/>
            <w:webHidden/>
          </w:rPr>
          <w:fldChar w:fldCharType="separate"/>
        </w:r>
        <w:r w:rsidR="00753C71">
          <w:rPr>
            <w:noProof/>
            <w:webHidden/>
          </w:rPr>
          <w:t>54</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27" w:history="1">
        <w:r w:rsidR="00753C71" w:rsidRPr="007C31FA">
          <w:rPr>
            <w:rStyle w:val="Hyperlink"/>
            <w:noProof/>
          </w:rPr>
          <w:t>5.</w:t>
        </w:r>
        <w:r w:rsidR="00753C71">
          <w:rPr>
            <w:rFonts w:asciiTheme="minorHAnsi" w:eastAsiaTheme="minorEastAsia" w:hAnsiTheme="minorHAnsi" w:cstheme="minorBidi"/>
            <w:b w:val="0"/>
            <w:noProof/>
            <w:sz w:val="22"/>
            <w:lang w:val="en-US"/>
          </w:rPr>
          <w:tab/>
        </w:r>
        <w:r w:rsidR="00753C71" w:rsidRPr="007C31FA">
          <w:rPr>
            <w:rStyle w:val="Hyperlink"/>
            <w:noProof/>
          </w:rPr>
          <w:t>Δείκτες Εκροής Στρατηγικής</w:t>
        </w:r>
        <w:r w:rsidR="00753C71">
          <w:rPr>
            <w:noProof/>
            <w:webHidden/>
          </w:rPr>
          <w:tab/>
        </w:r>
        <w:r w:rsidR="00753C71">
          <w:rPr>
            <w:noProof/>
            <w:webHidden/>
          </w:rPr>
          <w:fldChar w:fldCharType="begin"/>
        </w:r>
        <w:r w:rsidR="00753C71">
          <w:rPr>
            <w:noProof/>
            <w:webHidden/>
          </w:rPr>
          <w:instrText xml:space="preserve"> PAGEREF _Toc22645127 \h </w:instrText>
        </w:r>
        <w:r w:rsidR="00753C71">
          <w:rPr>
            <w:noProof/>
            <w:webHidden/>
          </w:rPr>
        </w:r>
        <w:r w:rsidR="00753C71">
          <w:rPr>
            <w:noProof/>
            <w:webHidden/>
          </w:rPr>
          <w:fldChar w:fldCharType="separate"/>
        </w:r>
        <w:r w:rsidR="00753C71">
          <w:rPr>
            <w:noProof/>
            <w:webHidden/>
          </w:rPr>
          <w:t>55</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28" w:history="1">
        <w:r w:rsidR="00753C71" w:rsidRPr="007C31FA">
          <w:rPr>
            <w:rStyle w:val="Hyperlink"/>
            <w:noProof/>
          </w:rPr>
          <w:t>5.1</w:t>
        </w:r>
        <w:r w:rsidR="00753C71">
          <w:rPr>
            <w:rFonts w:asciiTheme="minorHAnsi" w:eastAsiaTheme="minorEastAsia" w:hAnsiTheme="minorHAnsi" w:cstheme="minorBidi"/>
            <w:noProof/>
            <w:sz w:val="22"/>
            <w:lang w:val="en-US"/>
          </w:rPr>
          <w:tab/>
        </w:r>
        <w:r w:rsidR="00753C71" w:rsidRPr="007C31FA">
          <w:rPr>
            <w:rStyle w:val="Hyperlink"/>
            <w:noProof/>
          </w:rPr>
          <w:t>Γενικές Παρατηρήσεις</w:t>
        </w:r>
        <w:r w:rsidR="00753C71">
          <w:rPr>
            <w:noProof/>
            <w:webHidden/>
          </w:rPr>
          <w:tab/>
        </w:r>
        <w:r w:rsidR="00753C71">
          <w:rPr>
            <w:noProof/>
            <w:webHidden/>
          </w:rPr>
          <w:fldChar w:fldCharType="begin"/>
        </w:r>
        <w:r w:rsidR="00753C71">
          <w:rPr>
            <w:noProof/>
            <w:webHidden/>
          </w:rPr>
          <w:instrText xml:space="preserve"> PAGEREF _Toc22645128 \h </w:instrText>
        </w:r>
        <w:r w:rsidR="00753C71">
          <w:rPr>
            <w:noProof/>
            <w:webHidden/>
          </w:rPr>
        </w:r>
        <w:r w:rsidR="00753C71">
          <w:rPr>
            <w:noProof/>
            <w:webHidden/>
          </w:rPr>
          <w:fldChar w:fldCharType="separate"/>
        </w:r>
        <w:r w:rsidR="00753C71">
          <w:rPr>
            <w:noProof/>
            <w:webHidden/>
          </w:rPr>
          <w:t>55</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29" w:history="1">
        <w:r w:rsidR="00753C71" w:rsidRPr="007C31FA">
          <w:rPr>
            <w:rStyle w:val="Hyperlink"/>
            <w:noProof/>
          </w:rPr>
          <w:t>5.2</w:t>
        </w:r>
        <w:r w:rsidR="00753C71">
          <w:rPr>
            <w:rFonts w:asciiTheme="minorHAnsi" w:eastAsiaTheme="minorEastAsia" w:hAnsiTheme="minorHAnsi" w:cstheme="minorBidi"/>
            <w:noProof/>
            <w:sz w:val="22"/>
            <w:lang w:val="en-US"/>
          </w:rPr>
          <w:tab/>
        </w:r>
        <w:r w:rsidR="00753C71" w:rsidRPr="007C31FA">
          <w:rPr>
            <w:rStyle w:val="Hyperlink"/>
            <w:noProof/>
          </w:rPr>
          <w:t>Τιμές στόχοι δεικτών</w:t>
        </w:r>
        <w:r w:rsidR="00753C71">
          <w:rPr>
            <w:noProof/>
            <w:webHidden/>
          </w:rPr>
          <w:tab/>
        </w:r>
        <w:r w:rsidR="00753C71">
          <w:rPr>
            <w:noProof/>
            <w:webHidden/>
          </w:rPr>
          <w:fldChar w:fldCharType="begin"/>
        </w:r>
        <w:r w:rsidR="00753C71">
          <w:rPr>
            <w:noProof/>
            <w:webHidden/>
          </w:rPr>
          <w:instrText xml:space="preserve"> PAGEREF _Toc22645129 \h </w:instrText>
        </w:r>
        <w:r w:rsidR="00753C71">
          <w:rPr>
            <w:noProof/>
            <w:webHidden/>
          </w:rPr>
        </w:r>
        <w:r w:rsidR="00753C71">
          <w:rPr>
            <w:noProof/>
            <w:webHidden/>
          </w:rPr>
          <w:fldChar w:fldCharType="separate"/>
        </w:r>
        <w:r w:rsidR="00753C71">
          <w:rPr>
            <w:noProof/>
            <w:webHidden/>
          </w:rPr>
          <w:t>57</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30" w:history="1">
        <w:r w:rsidR="00753C71" w:rsidRPr="007C31FA">
          <w:rPr>
            <w:rStyle w:val="Hyperlink"/>
            <w:noProof/>
          </w:rPr>
          <w:t>5.3</w:t>
        </w:r>
        <w:r w:rsidR="00753C71">
          <w:rPr>
            <w:rFonts w:asciiTheme="minorHAnsi" w:eastAsiaTheme="minorEastAsia" w:hAnsiTheme="minorHAnsi" w:cstheme="minorBidi"/>
            <w:noProof/>
            <w:sz w:val="22"/>
            <w:lang w:val="en-US"/>
          </w:rPr>
          <w:tab/>
        </w:r>
        <w:r w:rsidR="00753C71" w:rsidRPr="007C31FA">
          <w:rPr>
            <w:rStyle w:val="Hyperlink"/>
            <w:noProof/>
          </w:rPr>
          <w:t>Βαθμός κάλυψης δεικτών</w:t>
        </w:r>
        <w:r w:rsidR="00753C71">
          <w:rPr>
            <w:noProof/>
            <w:webHidden/>
          </w:rPr>
          <w:tab/>
        </w:r>
        <w:r w:rsidR="00753C71">
          <w:rPr>
            <w:noProof/>
            <w:webHidden/>
          </w:rPr>
          <w:fldChar w:fldCharType="begin"/>
        </w:r>
        <w:r w:rsidR="00753C71">
          <w:rPr>
            <w:noProof/>
            <w:webHidden/>
          </w:rPr>
          <w:instrText xml:space="preserve"> PAGEREF _Toc22645130 \h </w:instrText>
        </w:r>
        <w:r w:rsidR="00753C71">
          <w:rPr>
            <w:noProof/>
            <w:webHidden/>
          </w:rPr>
        </w:r>
        <w:r w:rsidR="00753C71">
          <w:rPr>
            <w:noProof/>
            <w:webHidden/>
          </w:rPr>
          <w:fldChar w:fldCharType="separate"/>
        </w:r>
        <w:r w:rsidR="00753C71">
          <w:rPr>
            <w:noProof/>
            <w:webHidden/>
          </w:rPr>
          <w:t>63</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31" w:history="1">
        <w:r w:rsidR="00753C71" w:rsidRPr="007C31FA">
          <w:rPr>
            <w:rStyle w:val="Hyperlink"/>
            <w:noProof/>
          </w:rPr>
          <w:t>6.</w:t>
        </w:r>
        <w:r w:rsidR="00753C71">
          <w:rPr>
            <w:rFonts w:asciiTheme="minorHAnsi" w:eastAsiaTheme="minorEastAsia" w:hAnsiTheme="minorHAnsi" w:cstheme="minorBidi"/>
            <w:b w:val="0"/>
            <w:noProof/>
            <w:sz w:val="22"/>
            <w:lang w:val="en-US"/>
          </w:rPr>
          <w:tab/>
        </w:r>
        <w:r w:rsidR="00753C71" w:rsidRPr="007C31FA">
          <w:rPr>
            <w:rStyle w:val="Hyperlink"/>
            <w:noProof/>
          </w:rPr>
          <w:t>Δείκτες αποτελέσματος Στρατηγικής</w:t>
        </w:r>
        <w:r w:rsidR="00753C71">
          <w:rPr>
            <w:noProof/>
            <w:webHidden/>
          </w:rPr>
          <w:tab/>
        </w:r>
        <w:r w:rsidR="00753C71">
          <w:rPr>
            <w:noProof/>
            <w:webHidden/>
          </w:rPr>
          <w:fldChar w:fldCharType="begin"/>
        </w:r>
        <w:r w:rsidR="00753C71">
          <w:rPr>
            <w:noProof/>
            <w:webHidden/>
          </w:rPr>
          <w:instrText xml:space="preserve"> PAGEREF _Toc22645131 \h </w:instrText>
        </w:r>
        <w:r w:rsidR="00753C71">
          <w:rPr>
            <w:noProof/>
            <w:webHidden/>
          </w:rPr>
        </w:r>
        <w:r w:rsidR="00753C71">
          <w:rPr>
            <w:noProof/>
            <w:webHidden/>
          </w:rPr>
          <w:fldChar w:fldCharType="separate"/>
        </w:r>
        <w:r w:rsidR="00753C71">
          <w:rPr>
            <w:noProof/>
            <w:webHidden/>
          </w:rPr>
          <w:t>65</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32" w:history="1">
        <w:r w:rsidR="00753C71" w:rsidRPr="007C31FA">
          <w:rPr>
            <w:rStyle w:val="Hyperlink"/>
            <w:noProof/>
          </w:rPr>
          <w:t>7.</w:t>
        </w:r>
        <w:r w:rsidR="00753C71">
          <w:rPr>
            <w:rFonts w:asciiTheme="minorHAnsi" w:eastAsiaTheme="minorEastAsia" w:hAnsiTheme="minorHAnsi" w:cstheme="minorBidi"/>
            <w:b w:val="0"/>
            <w:noProof/>
            <w:sz w:val="22"/>
            <w:lang w:val="en-US"/>
          </w:rPr>
          <w:tab/>
        </w:r>
        <w:r w:rsidR="00753C71" w:rsidRPr="007C31FA">
          <w:rPr>
            <w:rStyle w:val="Hyperlink"/>
            <w:noProof/>
          </w:rPr>
          <w:t xml:space="preserve">Δείκτες </w:t>
        </w:r>
        <w:r w:rsidR="00753C71" w:rsidRPr="007C31FA">
          <w:rPr>
            <w:rStyle w:val="Hyperlink"/>
            <w:noProof/>
            <w:lang w:val="en-US"/>
          </w:rPr>
          <w:t xml:space="preserve">IUS </w:t>
        </w:r>
        <w:r w:rsidR="00753C71" w:rsidRPr="007C31FA">
          <w:rPr>
            <w:rStyle w:val="Hyperlink"/>
            <w:noProof/>
          </w:rPr>
          <w:t>Στρατηγικής</w:t>
        </w:r>
        <w:r w:rsidR="00753C71">
          <w:rPr>
            <w:noProof/>
            <w:webHidden/>
          </w:rPr>
          <w:tab/>
        </w:r>
        <w:r w:rsidR="00753C71">
          <w:rPr>
            <w:noProof/>
            <w:webHidden/>
          </w:rPr>
          <w:fldChar w:fldCharType="begin"/>
        </w:r>
        <w:r w:rsidR="00753C71">
          <w:rPr>
            <w:noProof/>
            <w:webHidden/>
          </w:rPr>
          <w:instrText xml:space="preserve"> PAGEREF _Toc22645132 \h </w:instrText>
        </w:r>
        <w:r w:rsidR="00753C71">
          <w:rPr>
            <w:noProof/>
            <w:webHidden/>
          </w:rPr>
        </w:r>
        <w:r w:rsidR="00753C71">
          <w:rPr>
            <w:noProof/>
            <w:webHidden/>
          </w:rPr>
          <w:fldChar w:fldCharType="separate"/>
        </w:r>
        <w:r w:rsidR="00753C71">
          <w:rPr>
            <w:noProof/>
            <w:webHidden/>
          </w:rPr>
          <w:t>68</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33" w:history="1">
        <w:r w:rsidR="00753C71" w:rsidRPr="007C31FA">
          <w:rPr>
            <w:rStyle w:val="Hyperlink"/>
            <w:noProof/>
          </w:rPr>
          <w:t>8.</w:t>
        </w:r>
        <w:r w:rsidR="00753C71">
          <w:rPr>
            <w:rFonts w:asciiTheme="minorHAnsi" w:eastAsiaTheme="minorEastAsia" w:hAnsiTheme="minorHAnsi" w:cstheme="minorBidi"/>
            <w:b w:val="0"/>
            <w:noProof/>
            <w:sz w:val="22"/>
            <w:lang w:val="en-US"/>
          </w:rPr>
          <w:tab/>
        </w:r>
        <w:r w:rsidR="00753C71" w:rsidRPr="007C31FA">
          <w:rPr>
            <w:rStyle w:val="Hyperlink"/>
            <w:noProof/>
          </w:rPr>
          <w:t>Διαδικασία επιχειρηματικής ανακάλυψης</w:t>
        </w:r>
        <w:r w:rsidR="00753C71">
          <w:rPr>
            <w:noProof/>
            <w:webHidden/>
          </w:rPr>
          <w:tab/>
        </w:r>
        <w:r w:rsidR="00753C71">
          <w:rPr>
            <w:noProof/>
            <w:webHidden/>
          </w:rPr>
          <w:fldChar w:fldCharType="begin"/>
        </w:r>
        <w:r w:rsidR="00753C71">
          <w:rPr>
            <w:noProof/>
            <w:webHidden/>
          </w:rPr>
          <w:instrText xml:space="preserve"> PAGEREF _Toc22645133 \h </w:instrText>
        </w:r>
        <w:r w:rsidR="00753C71">
          <w:rPr>
            <w:noProof/>
            <w:webHidden/>
          </w:rPr>
        </w:r>
        <w:r w:rsidR="00753C71">
          <w:rPr>
            <w:noProof/>
            <w:webHidden/>
          </w:rPr>
          <w:fldChar w:fldCharType="separate"/>
        </w:r>
        <w:r w:rsidR="00753C71">
          <w:rPr>
            <w:noProof/>
            <w:webHidden/>
          </w:rPr>
          <w:t>72</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34" w:history="1">
        <w:r w:rsidR="00753C71" w:rsidRPr="007C31FA">
          <w:rPr>
            <w:rStyle w:val="Hyperlink"/>
            <w:noProof/>
          </w:rPr>
          <w:t>8.1</w:t>
        </w:r>
        <w:r w:rsidR="00753C71">
          <w:rPr>
            <w:rFonts w:asciiTheme="minorHAnsi" w:eastAsiaTheme="minorEastAsia" w:hAnsiTheme="minorHAnsi" w:cstheme="minorBidi"/>
            <w:noProof/>
            <w:sz w:val="22"/>
            <w:lang w:val="en-US"/>
          </w:rPr>
          <w:tab/>
        </w:r>
        <w:r w:rsidR="00753C71" w:rsidRPr="007C31FA">
          <w:rPr>
            <w:rStyle w:val="Hyperlink"/>
            <w:noProof/>
          </w:rPr>
          <w:t>Τα βήματα της διαδικασίας</w:t>
        </w:r>
        <w:r w:rsidR="00753C71">
          <w:rPr>
            <w:noProof/>
            <w:webHidden/>
          </w:rPr>
          <w:tab/>
        </w:r>
        <w:r w:rsidR="00753C71">
          <w:rPr>
            <w:noProof/>
            <w:webHidden/>
          </w:rPr>
          <w:fldChar w:fldCharType="begin"/>
        </w:r>
        <w:r w:rsidR="00753C71">
          <w:rPr>
            <w:noProof/>
            <w:webHidden/>
          </w:rPr>
          <w:instrText xml:space="preserve"> PAGEREF _Toc22645134 \h </w:instrText>
        </w:r>
        <w:r w:rsidR="00753C71">
          <w:rPr>
            <w:noProof/>
            <w:webHidden/>
          </w:rPr>
        </w:r>
        <w:r w:rsidR="00753C71">
          <w:rPr>
            <w:noProof/>
            <w:webHidden/>
          </w:rPr>
          <w:fldChar w:fldCharType="separate"/>
        </w:r>
        <w:r w:rsidR="00753C71">
          <w:rPr>
            <w:noProof/>
            <w:webHidden/>
          </w:rPr>
          <w:t>73</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35" w:history="1">
        <w:r w:rsidR="00753C71" w:rsidRPr="007C31FA">
          <w:rPr>
            <w:rStyle w:val="Hyperlink"/>
            <w:noProof/>
          </w:rPr>
          <w:t>8.2</w:t>
        </w:r>
        <w:r w:rsidR="00753C71">
          <w:rPr>
            <w:rFonts w:asciiTheme="minorHAnsi" w:eastAsiaTheme="minorEastAsia" w:hAnsiTheme="minorHAnsi" w:cstheme="minorBidi"/>
            <w:noProof/>
            <w:sz w:val="22"/>
            <w:lang w:val="en-US"/>
          </w:rPr>
          <w:tab/>
        </w:r>
        <w:r w:rsidR="00753C71" w:rsidRPr="007C31FA">
          <w:rPr>
            <w:rStyle w:val="Hyperlink"/>
            <w:noProof/>
          </w:rPr>
          <w:t>Οι περίοδοι εφαρμογής</w:t>
        </w:r>
        <w:r w:rsidR="00753C71">
          <w:rPr>
            <w:noProof/>
            <w:webHidden/>
          </w:rPr>
          <w:tab/>
        </w:r>
        <w:r w:rsidR="00753C71">
          <w:rPr>
            <w:noProof/>
            <w:webHidden/>
          </w:rPr>
          <w:fldChar w:fldCharType="begin"/>
        </w:r>
        <w:r w:rsidR="00753C71">
          <w:rPr>
            <w:noProof/>
            <w:webHidden/>
          </w:rPr>
          <w:instrText xml:space="preserve"> PAGEREF _Toc22645135 \h </w:instrText>
        </w:r>
        <w:r w:rsidR="00753C71">
          <w:rPr>
            <w:noProof/>
            <w:webHidden/>
          </w:rPr>
        </w:r>
        <w:r w:rsidR="00753C71">
          <w:rPr>
            <w:noProof/>
            <w:webHidden/>
          </w:rPr>
          <w:fldChar w:fldCharType="separate"/>
        </w:r>
        <w:r w:rsidR="00753C71">
          <w:rPr>
            <w:noProof/>
            <w:webHidden/>
          </w:rPr>
          <w:t>75</w:t>
        </w:r>
        <w:r w:rsidR="00753C71">
          <w:rPr>
            <w:noProof/>
            <w:webHidden/>
          </w:rPr>
          <w:fldChar w:fldCharType="end"/>
        </w:r>
      </w:hyperlink>
    </w:p>
    <w:p w:rsidR="00753C71" w:rsidRDefault="003616DA">
      <w:pPr>
        <w:pStyle w:val="TOC2"/>
        <w:rPr>
          <w:rFonts w:asciiTheme="minorHAnsi" w:eastAsiaTheme="minorEastAsia" w:hAnsiTheme="minorHAnsi" w:cstheme="minorBidi"/>
          <w:noProof/>
          <w:sz w:val="22"/>
          <w:lang w:val="en-US"/>
        </w:rPr>
      </w:pPr>
      <w:hyperlink w:anchor="_Toc22645136" w:history="1">
        <w:r w:rsidR="00753C71" w:rsidRPr="007C31FA">
          <w:rPr>
            <w:rStyle w:val="Hyperlink"/>
            <w:noProof/>
          </w:rPr>
          <w:t>8.3</w:t>
        </w:r>
        <w:r w:rsidR="00753C71">
          <w:rPr>
            <w:rFonts w:asciiTheme="minorHAnsi" w:eastAsiaTheme="minorEastAsia" w:hAnsiTheme="minorHAnsi" w:cstheme="minorBidi"/>
            <w:noProof/>
            <w:sz w:val="22"/>
            <w:lang w:val="en-US"/>
          </w:rPr>
          <w:tab/>
        </w:r>
        <w:r w:rsidR="00753C71" w:rsidRPr="007C31FA">
          <w:rPr>
            <w:rStyle w:val="Hyperlink"/>
            <w:noProof/>
          </w:rPr>
          <w:t>Ενέργειες ανά πλατφόρμα καινοτομίας</w:t>
        </w:r>
        <w:r w:rsidR="00753C71">
          <w:rPr>
            <w:noProof/>
            <w:webHidden/>
          </w:rPr>
          <w:tab/>
        </w:r>
        <w:r w:rsidR="00753C71">
          <w:rPr>
            <w:noProof/>
            <w:webHidden/>
          </w:rPr>
          <w:fldChar w:fldCharType="begin"/>
        </w:r>
        <w:r w:rsidR="00753C71">
          <w:rPr>
            <w:noProof/>
            <w:webHidden/>
          </w:rPr>
          <w:instrText xml:space="preserve"> PAGEREF _Toc22645136 \h </w:instrText>
        </w:r>
        <w:r w:rsidR="00753C71">
          <w:rPr>
            <w:noProof/>
            <w:webHidden/>
          </w:rPr>
        </w:r>
        <w:r w:rsidR="00753C71">
          <w:rPr>
            <w:noProof/>
            <w:webHidden/>
          </w:rPr>
          <w:fldChar w:fldCharType="separate"/>
        </w:r>
        <w:r w:rsidR="00753C71">
          <w:rPr>
            <w:noProof/>
            <w:webHidden/>
          </w:rPr>
          <w:t>78</w:t>
        </w:r>
        <w:r w:rsidR="00753C71">
          <w:rPr>
            <w:noProof/>
            <w:webHidden/>
          </w:rPr>
          <w:fldChar w:fldCharType="end"/>
        </w:r>
      </w:hyperlink>
    </w:p>
    <w:p w:rsidR="00753C71" w:rsidRDefault="003616DA">
      <w:pPr>
        <w:pStyle w:val="TOC1"/>
        <w:tabs>
          <w:tab w:val="left" w:pos="540"/>
          <w:tab w:val="right" w:leader="dot" w:pos="9403"/>
        </w:tabs>
        <w:rPr>
          <w:rFonts w:asciiTheme="minorHAnsi" w:eastAsiaTheme="minorEastAsia" w:hAnsiTheme="minorHAnsi" w:cstheme="minorBidi"/>
          <w:b w:val="0"/>
          <w:noProof/>
          <w:sz w:val="22"/>
          <w:lang w:val="en-US"/>
        </w:rPr>
      </w:pPr>
      <w:hyperlink w:anchor="_Toc22645137" w:history="1">
        <w:r w:rsidR="00753C71" w:rsidRPr="007C31FA">
          <w:rPr>
            <w:rStyle w:val="Hyperlink"/>
            <w:noProof/>
          </w:rPr>
          <w:t>9.</w:t>
        </w:r>
        <w:r w:rsidR="00753C71">
          <w:rPr>
            <w:rFonts w:asciiTheme="minorHAnsi" w:eastAsiaTheme="minorEastAsia" w:hAnsiTheme="minorHAnsi" w:cstheme="minorBidi"/>
            <w:b w:val="0"/>
            <w:noProof/>
            <w:sz w:val="22"/>
            <w:lang w:val="en-US"/>
          </w:rPr>
          <w:tab/>
        </w:r>
        <w:r w:rsidR="00753C71" w:rsidRPr="007C31FA">
          <w:rPr>
            <w:rStyle w:val="Hyperlink"/>
            <w:noProof/>
          </w:rPr>
          <w:t>Κύριες προκλήσεις και τρόποι αντιμετώπισης</w:t>
        </w:r>
        <w:r w:rsidR="00753C71">
          <w:rPr>
            <w:noProof/>
            <w:webHidden/>
          </w:rPr>
          <w:tab/>
        </w:r>
        <w:r w:rsidR="00753C71">
          <w:rPr>
            <w:noProof/>
            <w:webHidden/>
          </w:rPr>
          <w:fldChar w:fldCharType="begin"/>
        </w:r>
        <w:r w:rsidR="00753C71">
          <w:rPr>
            <w:noProof/>
            <w:webHidden/>
          </w:rPr>
          <w:instrText xml:space="preserve"> PAGEREF _Toc22645137 \h </w:instrText>
        </w:r>
        <w:r w:rsidR="00753C71">
          <w:rPr>
            <w:noProof/>
            <w:webHidden/>
          </w:rPr>
        </w:r>
        <w:r w:rsidR="00753C71">
          <w:rPr>
            <w:noProof/>
            <w:webHidden/>
          </w:rPr>
          <w:fldChar w:fldCharType="separate"/>
        </w:r>
        <w:r w:rsidR="00753C71">
          <w:rPr>
            <w:noProof/>
            <w:webHidden/>
          </w:rPr>
          <w:t>87</w:t>
        </w:r>
        <w:r w:rsidR="00753C71">
          <w:rPr>
            <w:noProof/>
            <w:webHidden/>
          </w:rPr>
          <w:fldChar w:fldCharType="end"/>
        </w:r>
      </w:hyperlink>
    </w:p>
    <w:p w:rsidR="008E5875" w:rsidRPr="00246249" w:rsidRDefault="008E5875" w:rsidP="008E5875">
      <w:pPr>
        <w:rPr>
          <w:b/>
          <w:sz w:val="22"/>
        </w:rPr>
      </w:pPr>
      <w:r w:rsidRPr="00BD3DED">
        <w:rPr>
          <w:sz w:val="16"/>
          <w:szCs w:val="16"/>
        </w:rPr>
        <w:fldChar w:fldCharType="end"/>
      </w:r>
      <w:r w:rsidRPr="00855482">
        <w:rPr>
          <w:b/>
          <w:sz w:val="22"/>
          <w:lang w:val="en-US"/>
        </w:rPr>
        <w:br w:type="page"/>
      </w:r>
    </w:p>
    <w:p w:rsidR="00370EED" w:rsidRDefault="00727101" w:rsidP="00561137">
      <w:pPr>
        <w:pStyle w:val="Heading1"/>
      </w:pPr>
      <w:bookmarkStart w:id="0" w:name="_Toc22645100"/>
      <w:r>
        <w:lastRenderedPageBreak/>
        <w:t>Εισαγωγή</w:t>
      </w:r>
      <w:bookmarkEnd w:id="0"/>
      <w:r>
        <w:t xml:space="preserve"> </w:t>
      </w:r>
    </w:p>
    <w:p w:rsidR="00191F77" w:rsidRPr="00191F77" w:rsidRDefault="00B97C65" w:rsidP="00191F77">
      <w:pPr>
        <w:pStyle w:val="BodyText"/>
        <w:spacing w:before="20" w:line="256" w:lineRule="auto"/>
        <w:ind w:left="130" w:right="130" w:hanging="9"/>
        <w:rPr>
          <w:color w:val="4F4F4F"/>
        </w:rPr>
      </w:pPr>
      <w:r w:rsidRPr="00191F77">
        <w:rPr>
          <w:color w:val="4F4F4F"/>
        </w:rPr>
        <w:t xml:space="preserve">Το </w:t>
      </w:r>
      <w:r w:rsidR="009B0C90" w:rsidRPr="00191F77">
        <w:rPr>
          <w:color w:val="4F4F4F"/>
        </w:rPr>
        <w:t xml:space="preserve">παρόν </w:t>
      </w:r>
      <w:r w:rsidRPr="00191F77">
        <w:rPr>
          <w:color w:val="4F4F4F"/>
        </w:rPr>
        <w:t>Παραδοτέο «</w:t>
      </w:r>
      <w:r w:rsidRPr="00191F77">
        <w:rPr>
          <w:b/>
          <w:color w:val="4F4F4F"/>
        </w:rPr>
        <w:t>1η ΕΚΘΕΣΗ ΠΡΟΟΔΟΥ ΤΗΣ ΕΘΝΙΚΗΣ ΣΤΡΑΤΗΓΙΚΗΣ ΕΞΥΠΝΗΣ ΕΞΕΙΔΙΚΕΥΣΗΣ - ΠΕΡΙΟΔΟΣ 2014-2017»</w:t>
      </w:r>
      <w:r w:rsidRPr="00191F77">
        <w:rPr>
          <w:color w:val="4F4F4F"/>
        </w:rPr>
        <w:t xml:space="preserve"> συνιστά συμβατική υποχρέωση της εταιρείας PLANET AE ως αναδόχου του έργου «Παρακολούθηση της προόδου υλοποίησης της Εθνικής Στρατηγικής Έξυπνης Εξειδίκευσης (RIS3) 2014-2020» </w:t>
      </w:r>
      <w:r w:rsidR="00957A04" w:rsidRPr="00191F77">
        <w:rPr>
          <w:color w:val="4F4F4F"/>
        </w:rPr>
        <w:t>όπως προκύπτει από την 7/6/2019</w:t>
      </w:r>
      <w:r w:rsidR="00191F77" w:rsidRPr="00191F77">
        <w:rPr>
          <w:color w:val="4F4F4F"/>
        </w:rPr>
        <w:t xml:space="preserve"> σχετική Σύμβαση με τη Γενική Γραμματεία Έρευνας και Τεχνολογίας. </w:t>
      </w:r>
    </w:p>
    <w:p w:rsidR="00191F77" w:rsidRDefault="00191F77" w:rsidP="00191F77">
      <w:pPr>
        <w:pStyle w:val="BodyText"/>
        <w:spacing w:before="20" w:line="256" w:lineRule="auto"/>
        <w:ind w:left="130" w:right="130" w:hanging="9"/>
      </w:pPr>
      <w:r>
        <w:rPr>
          <w:color w:val="4F4F4F"/>
        </w:rPr>
        <w:t>Σύμφωνα με τη σχετική Σύμβαση, ο ανάδοχος καλείται να μελετήσει σε βάθος την Εθνική Στρατηγική Έξυπνης Εξειδίκευσης (RIS3) που έχει καταρτίσει η ΓΓΕΤ και να αναδείξει την πρόοδο της υλοποίησής της.</w:t>
      </w:r>
    </w:p>
    <w:p w:rsidR="00191F77" w:rsidRDefault="00E86243" w:rsidP="009E19DB">
      <w:pPr>
        <w:pStyle w:val="BodyText"/>
        <w:spacing w:line="254" w:lineRule="auto"/>
        <w:ind w:left="117" w:right="122" w:firstLine="13"/>
      </w:pPr>
      <w:r>
        <w:rPr>
          <w:color w:val="4F4F4F"/>
        </w:rPr>
        <w:t xml:space="preserve">Για κάθε έτος υλοποίησης συντάσσεται </w:t>
      </w:r>
      <w:r w:rsidR="00191F77">
        <w:rPr>
          <w:color w:val="4F4F4F"/>
        </w:rPr>
        <w:t>αντίστοιχη Ετήσια Έκθεση Προόδου της RIS3. Η Έκθεση θα περιλαμβάνει τις βασικές πληροφορίες για την υλοποίηση της Στρατηγικής RIS3 και πιο συγκεκριμένα:</w:t>
      </w:r>
    </w:p>
    <w:p w:rsidR="00191F77" w:rsidRDefault="00191F77" w:rsidP="009E19DB">
      <w:pPr>
        <w:pStyle w:val="BodyText"/>
        <w:spacing w:before="3" w:line="254" w:lineRule="auto"/>
        <w:ind w:left="458" w:right="123" w:hanging="343"/>
      </w:pPr>
      <w:r>
        <w:rPr>
          <w:color w:val="4F4F4F"/>
        </w:rPr>
        <w:t xml:space="preserve">α) Την συνολική πρόοδο που έχει συντελεστεί κατά την εξεταζόμενη χρονική περίοδο όσον αφορά </w:t>
      </w:r>
      <w:r w:rsidR="009E19DB">
        <w:rPr>
          <w:color w:val="4F4F4F"/>
        </w:rPr>
        <w:t>σ</w:t>
      </w:r>
      <w:r>
        <w:rPr>
          <w:color w:val="4F4F4F"/>
        </w:rPr>
        <w:t xml:space="preserve">την υλοποίηση της Εθνικής RIS3 σε συσχετισμό και με τον σχεδιασμό που είχε εκπονηθεί. </w:t>
      </w:r>
      <w:r w:rsidR="00E86243">
        <w:rPr>
          <w:color w:val="4F4F4F"/>
        </w:rPr>
        <w:t>Παρουσιάζεται η</w:t>
      </w:r>
      <w:r>
        <w:rPr>
          <w:color w:val="4F4F4F"/>
        </w:rPr>
        <w:t xml:space="preserve"> ανάλυση ανά δράση και τομέα καθώς και τα σημαντικότερα αποτελέσματα που έχουν επιτευχθεί μέχρι την εξεταζόμενη χρονιά. </w:t>
      </w:r>
      <w:r w:rsidR="00E86243">
        <w:rPr>
          <w:color w:val="4F4F4F"/>
        </w:rPr>
        <w:t>Επισημαίνονται</w:t>
      </w:r>
      <w:r>
        <w:rPr>
          <w:color w:val="4F4F4F"/>
        </w:rPr>
        <w:t xml:space="preserve"> τυχόν αστοχίες, δυσκολίες και προβλήματα που ανέκυψαν κατά την υλοποίηση και προτάσεις για την υπέρβασή</w:t>
      </w:r>
      <w:r>
        <w:rPr>
          <w:color w:val="4F4F4F"/>
          <w:spacing w:val="-28"/>
        </w:rPr>
        <w:t xml:space="preserve"> </w:t>
      </w:r>
      <w:r>
        <w:rPr>
          <w:color w:val="4F4F4F"/>
        </w:rPr>
        <w:t>τους.</w:t>
      </w:r>
    </w:p>
    <w:p w:rsidR="00191F77" w:rsidRPr="009E19DB" w:rsidRDefault="00191F77" w:rsidP="009E19DB">
      <w:pPr>
        <w:pStyle w:val="BodyText"/>
        <w:spacing w:before="3" w:line="254" w:lineRule="auto"/>
        <w:ind w:left="458" w:right="123" w:hanging="343"/>
        <w:rPr>
          <w:color w:val="4F4F4F"/>
        </w:rPr>
      </w:pPr>
      <w:r>
        <w:rPr>
          <w:color w:val="4F4F4F"/>
        </w:rPr>
        <w:t>β) Τις αλληλεπιδράσεις της Εθνικής RIS3 με άλλες πολιτικές Εθνικές, Περιφερειακές, Ευρωπαϊκές κλπ.</w:t>
      </w:r>
    </w:p>
    <w:p w:rsidR="00191F77" w:rsidRPr="009E19DB" w:rsidRDefault="00191F77" w:rsidP="009E19DB">
      <w:pPr>
        <w:pStyle w:val="BodyText"/>
        <w:spacing w:before="3" w:line="254" w:lineRule="auto"/>
        <w:ind w:left="360" w:right="123" w:hanging="245"/>
        <w:rPr>
          <w:color w:val="4F4F4F"/>
        </w:rPr>
      </w:pPr>
      <w:r w:rsidRPr="009E19DB">
        <w:rPr>
          <w:color w:val="4F4F4F"/>
        </w:rPr>
        <w:t>γ)</w:t>
      </w:r>
      <w:r w:rsidR="009E19DB">
        <w:rPr>
          <w:color w:val="4F4F4F"/>
        </w:rPr>
        <w:t xml:space="preserve"> </w:t>
      </w:r>
      <w:r w:rsidRPr="009E19DB">
        <w:rPr>
          <w:color w:val="4F4F4F"/>
        </w:rPr>
        <w:t xml:space="preserve">Την πρόοδο που έχει σημειωθεί όσον αφορά </w:t>
      </w:r>
      <w:r w:rsidR="009E19DB" w:rsidRPr="009E19DB">
        <w:rPr>
          <w:color w:val="4F4F4F"/>
        </w:rPr>
        <w:t>σ</w:t>
      </w:r>
      <w:r w:rsidRPr="009E19DB">
        <w:rPr>
          <w:color w:val="4F4F4F"/>
        </w:rPr>
        <w:t>την επίτευξη των στόχων και των Δεικτών παρακολούθησης της RIS3.</w:t>
      </w:r>
    </w:p>
    <w:p w:rsidR="00191F77" w:rsidRPr="009E19DB" w:rsidRDefault="00E86243" w:rsidP="009E19DB">
      <w:pPr>
        <w:pStyle w:val="BodyText"/>
        <w:spacing w:before="3" w:line="254" w:lineRule="auto"/>
        <w:ind w:left="360" w:right="123" w:hanging="245"/>
        <w:rPr>
          <w:color w:val="4F4F4F"/>
        </w:rPr>
      </w:pPr>
      <w:r>
        <w:rPr>
          <w:color w:val="4F4F4F"/>
        </w:rPr>
        <w:t>δ) Π</w:t>
      </w:r>
      <w:r w:rsidR="00191F77">
        <w:rPr>
          <w:color w:val="4F4F4F"/>
        </w:rPr>
        <w:t>ροτάσεις για ενδεχόμενες διορθωτικές κινήσεις και επιτάχυνση της υλοποίησης</w:t>
      </w:r>
      <w:r w:rsidR="009E19DB">
        <w:rPr>
          <w:color w:val="4F4F4F"/>
        </w:rPr>
        <w:t>,</w:t>
      </w:r>
      <w:r w:rsidR="00191F77">
        <w:rPr>
          <w:color w:val="4F4F4F"/>
        </w:rPr>
        <w:t xml:space="preserve"> καθώς και συστάσεις σχετικά με την α</w:t>
      </w:r>
      <w:r>
        <w:rPr>
          <w:color w:val="4F4F4F"/>
        </w:rPr>
        <w:t>ναθεώρηση της στρατηγικής RIS3.</w:t>
      </w:r>
    </w:p>
    <w:p w:rsidR="00370EED" w:rsidRPr="00B97C65" w:rsidRDefault="00370EED" w:rsidP="00370EED"/>
    <w:p w:rsidR="00370EED" w:rsidRDefault="00370EED" w:rsidP="00370EED"/>
    <w:p w:rsidR="00370EED" w:rsidRPr="00370EED" w:rsidRDefault="00370EED" w:rsidP="00370EED"/>
    <w:p w:rsidR="00370EED" w:rsidRDefault="00370EED">
      <w:pPr>
        <w:spacing w:before="0" w:after="160" w:line="259" w:lineRule="auto"/>
        <w:jc w:val="left"/>
        <w:rPr>
          <w:rFonts w:eastAsia="Times New Roman"/>
          <w:b/>
          <w:kern w:val="28"/>
          <w:sz w:val="28"/>
          <w:szCs w:val="44"/>
        </w:rPr>
      </w:pPr>
      <w:r>
        <w:br w:type="page"/>
      </w:r>
    </w:p>
    <w:p w:rsidR="00561137" w:rsidRDefault="00957A04" w:rsidP="00561137">
      <w:pPr>
        <w:pStyle w:val="Heading1"/>
      </w:pPr>
      <w:bookmarkStart w:id="1" w:name="_Toc22645101"/>
      <w:r>
        <w:lastRenderedPageBreak/>
        <w:t>Β</w:t>
      </w:r>
      <w:r w:rsidR="00561137" w:rsidRPr="00561137">
        <w:t>ασικά σημεία της Στρατηγικής RIS3</w:t>
      </w:r>
      <w:bookmarkEnd w:id="1"/>
    </w:p>
    <w:p w:rsidR="00C762EE" w:rsidRPr="000C3521" w:rsidRDefault="00D21C6A" w:rsidP="00D21C6A">
      <w:pPr>
        <w:pStyle w:val="Heading2"/>
      </w:pPr>
      <w:bookmarkStart w:id="2" w:name="_Toc22645102"/>
      <w:r w:rsidRPr="000C3521">
        <w:t>Όραμα, σκοπός, δομή</w:t>
      </w:r>
      <w:bookmarkEnd w:id="2"/>
    </w:p>
    <w:p w:rsidR="00664766" w:rsidRDefault="00664766" w:rsidP="00664766">
      <w:r>
        <w:t>Η Στρατηγική Έρευνας και Τεχνολογίας για την Έξυπνη Εξειδίκευση (Research and Innovation Strategies for Smart Specialisation - RIS3) είναι μια ολοκληρωμένη ατζέντα οικονομικού μετασχηματισμού, προσαρμοσμένη στις ιδιαιτερότητες κάθε περιοχής, η οποία:</w:t>
      </w:r>
    </w:p>
    <w:p w:rsidR="00664766" w:rsidRDefault="00664766" w:rsidP="002B247F">
      <w:pPr>
        <w:pStyle w:val="ListParagraph"/>
        <w:numPr>
          <w:ilvl w:val="0"/>
          <w:numId w:val="32"/>
        </w:numPr>
      </w:pPr>
      <w:r>
        <w:t>επικεντρώνει την πολιτική υποστήριξη και τις επενδύσεις σε εθνικές/περιφερειακές προτεραιότητες – κλειδιά, προκλήσεις και ανάγκες για μια ανάπτυξη βασισμένη στη γνώση,</w:t>
      </w:r>
    </w:p>
    <w:p w:rsidR="00664766" w:rsidRDefault="00664766" w:rsidP="002B247F">
      <w:pPr>
        <w:pStyle w:val="ListParagraph"/>
        <w:numPr>
          <w:ilvl w:val="0"/>
          <w:numId w:val="32"/>
        </w:numPr>
      </w:pPr>
      <w:r>
        <w:t>οικοδομεί πάνω στα δυνατά σημεία και συγκριτικά πλεονεκτήματα της χώρας/περιφέρειας και το δυναμικό για αριστεία,</w:t>
      </w:r>
    </w:p>
    <w:p w:rsidR="00664766" w:rsidRDefault="00664766" w:rsidP="002B247F">
      <w:pPr>
        <w:pStyle w:val="ListParagraph"/>
        <w:numPr>
          <w:ilvl w:val="0"/>
          <w:numId w:val="32"/>
        </w:numPr>
      </w:pPr>
      <w:r>
        <w:t>υποστηρίζει την τεχνολογική καινοτομία και την καινοτομία τη βασισμένη στη πράξη και στοχεύει στην τόνωση των ιδιωτικών επενδύσεων,</w:t>
      </w:r>
    </w:p>
    <w:p w:rsidR="00664766" w:rsidRDefault="00664766" w:rsidP="002B247F">
      <w:pPr>
        <w:pStyle w:val="ListParagraph"/>
        <w:numPr>
          <w:ilvl w:val="0"/>
          <w:numId w:val="32"/>
        </w:numPr>
      </w:pPr>
      <w:r>
        <w:t>διασφαλίζει την πλήρη συμμετοχή των εταίρων (stakeholders) και ενθαρρύνει την καινοτομία και τον πειραματισμό,</w:t>
      </w:r>
    </w:p>
    <w:p w:rsidR="00664766" w:rsidRDefault="00664766" w:rsidP="002B247F">
      <w:pPr>
        <w:pStyle w:val="ListParagraph"/>
        <w:numPr>
          <w:ilvl w:val="0"/>
          <w:numId w:val="32"/>
        </w:numPr>
      </w:pPr>
      <w:r>
        <w:t>βασίζεται σε τεκμήρια και περιλαμβάνει ένα στέρεο σύστημα παρακολούθησης και αξιολόγησης.</w:t>
      </w:r>
    </w:p>
    <w:p w:rsidR="00664766" w:rsidRDefault="00664766" w:rsidP="00664766">
      <w:r>
        <w:t>Διαδικασία–κλειδί για τον προσδιορισμό προτεραιοτήτων μιας στρατηγικής έρευνας και καινοτομίας για την έξυπνη εξειδίκευση και επομένως ουσιώδες στοιχείο για τον επιτυχή σχεδιασμό της, είναι η διαδικασία επιχειρηματικής ανακάλυψης (entrepreneurial discovery process).</w:t>
      </w:r>
    </w:p>
    <w:p w:rsidR="00664766" w:rsidRDefault="00664766" w:rsidP="00664766">
      <w:r>
        <w:t>Η διαδικασία επιχειρηματικής ανακάλυψης χρησιμοποιεί την επιχειρηματική γνώση που υπάρχει στη χώρα υιοθετώντας μια επιχειρηματική προσέγγιση με την έννοια της έμφασης στις ευκαιρίες της αγοράς, της διαφοροποίησης από άλλες χώρες/περιφέρειες, της ανάληψης (και διαχείρισης) ρίσκου και της αναζήτησης συμμαχιών για τη βελτιστοποίηση της πρόσβασης σε πόρους και της χρήσης αυτών (φυσικοί πόροι, χρηματοοικονομικοί, πνευματικοί πόροι, γνώση της αγοράς κλπ.). Αυτό σημαίνει ότι οι φορείς χάραξης πολιτικής θα πρέπει να εμπλέξουν όλους τους τύπους παραγόντων στο χώρο της καινοτομίας (επιχειρήσεις, κέντρα τεχνολογίας και ικανότητας (competence centres), Πανεπιστήμια και δημόσιους φορείς, επιστημονικά και τεχνολογικά πάρκα, επιχειρηματικούς αγγέλους και φορείς επιχειρηματικών κεφαλαίων (venture capitalists), την κοινωνία των πολιτών κλπ. σε μια επιχειρηματική διαδικασία για το σχεδιασμό της στρατηγικής έξυπνης εξειδίκευσης</w:t>
      </w:r>
    </w:p>
    <w:p w:rsidR="004E26E5" w:rsidRPr="004E26E5" w:rsidRDefault="00B97C14" w:rsidP="004E26E5">
      <w:r>
        <w:t>Στην Ελλάδα, η</w:t>
      </w:r>
      <w:r w:rsidR="004E26E5" w:rsidRPr="004E26E5">
        <w:t xml:space="preserve"> </w:t>
      </w:r>
      <w:r>
        <w:t>RIS3</w:t>
      </w:r>
      <w:r w:rsidR="00B51735" w:rsidRPr="004E26E5">
        <w:t xml:space="preserve"> </w:t>
      </w:r>
      <w:r w:rsidR="004E26E5" w:rsidRPr="004E26E5">
        <w:t xml:space="preserve">εμπνέεται από </w:t>
      </w:r>
      <w:r>
        <w:t>ένα</w:t>
      </w:r>
      <w:r w:rsidR="004E26E5" w:rsidRPr="004E26E5">
        <w:t xml:space="preserve"> όραμα </w:t>
      </w:r>
      <w:r>
        <w:t>που δίνει</w:t>
      </w:r>
      <w:r w:rsidR="004E26E5" w:rsidRPr="004E26E5">
        <w:t xml:space="preserve"> προτεραιότητα στον άνθρωπο και στην κοινωνία, με υψηλό επίπεδο ποιότητας ζωής και χαμηλό περιβαλλοντικό αποτύπωμα, με σεβασμό στην πολιτιστική κληρονομιά και την πολιτισμική δημιουργία. </w:t>
      </w:r>
    </w:p>
    <w:p w:rsidR="004E26E5" w:rsidRPr="004E26E5" w:rsidRDefault="004E26E5" w:rsidP="004E26E5">
      <w:r w:rsidRPr="004E26E5">
        <w:t>Σκοπός της στρατηγικής έξυπνης εξειδίκευσης είναι η εστιασμένη παραγωγική ανασυγκρότηση της χώρας με βασικό πυλώνα την έρευνα, την τεχνολογική ανάπτυξη και την καινοτομία για την άμβλυνση των περιφερειακών ανισοτήτων και τη δημιουργία βιώσιμης απασχόλησης με σεβασμό στον άνθρωπο και στην κοινωνία, στο περιβάλλον και στον πολιτισμό. Επίσης, η στρατηγική της έξυπνης εξειδίκευσης αναμένεται να συμβάλλει στη δημιουργία σταθερών σχέσεων εργασίας και γενικότερα στην διαμόρφωση των κατάλληλων συνθηκών για την αποτελεσματική αξιοποίηση του ανθρώπινου δυναμικού της χώρας.</w:t>
      </w:r>
    </w:p>
    <w:p w:rsidR="004E26E5" w:rsidRPr="004E26E5" w:rsidRDefault="004E26E5" w:rsidP="004E26E5">
      <w:r w:rsidRPr="004E26E5">
        <w:t xml:space="preserve">Η ύπαρξη αξιόλογου δυναμικού στον τομέα της έρευνας, τεχνολογικής ανάπτυξης και καινοτομίας παρέχει τις προϋποθέσεις για την πλήρη υποστήριξη του παραγωγικού δυναμικού στη μετάβασή του σε ένα νέο υπόδειγμα με κύρια χαρακτηριστικά την υψηλή εγχώρια προστιθέμενη αξία, την εξωστρέφεια, την αξιοποίηση συνεργειών και την ενίσχυση των παραγωγικών δραστηριοτήτων έντασης γνώσης. Η </w:t>
      </w:r>
      <w:r w:rsidR="009919E8">
        <w:t xml:space="preserve">χώρα μας </w:t>
      </w:r>
      <w:r w:rsidRPr="004E26E5">
        <w:t xml:space="preserve">διαθέτει ικανό επιστημονικό δυναμικό, υψηλού επιπέδου ερευνητικές δομές και δραστηριότητες, κρίσιμη γεωπολιτική θέση και προϋποθέσεις για υψηλή ποιότητα ζωής. </w:t>
      </w:r>
      <w:r w:rsidRPr="004E26E5">
        <w:rPr>
          <w:lang w:val="en-US"/>
        </w:rPr>
        <w:t>T</w:t>
      </w:r>
      <w:r w:rsidRPr="004E26E5">
        <w:t xml:space="preserve">ο </w:t>
      </w:r>
      <w:r w:rsidR="009919E8">
        <w:t>σημαντικό</w:t>
      </w:r>
      <w:r w:rsidRPr="004E26E5">
        <w:t xml:space="preserve"> κεφάλαιο που διαθέτει η </w:t>
      </w:r>
      <w:r w:rsidR="002B3D16" w:rsidRPr="004E26E5">
        <w:t>χώρα είναι</w:t>
      </w:r>
      <w:r w:rsidRPr="004E26E5">
        <w:t xml:space="preserve"> οι άνθρωποι, το επιστημονικό δυναμικό και ιδιαίτερα οι νέοι επιστήμονες οι οποίοι διαπρέπουν διεθνώς όπως δείχνουν όλοι οι δείκτες αποτίμηση</w:t>
      </w:r>
      <w:r w:rsidR="009919E8">
        <w:t>ς της επιστημονικής ποιότητας. Στο πλαίσιο αυτό, κ</w:t>
      </w:r>
      <w:r w:rsidRPr="004E26E5">
        <w:t xml:space="preserve">αθίσταται κρίσιμη η αναστροφή του κλίματος φυγής νέων επιστημόνων στο εξωτερικό,  που παρατηρείται τα τελευταία χρόνια και είναι το αποτέλεσμα ατελέσφορων πολιτικών. Επενδύοντας στην αξιοποίηση του νέου επιστημονικού δυναμικού επιδιώκεται η ενίσχυση της ερευνητικής και καινοτομικής προσπάθειας, με αναβαθμισμένη την </w:t>
      </w:r>
      <w:r w:rsidRPr="004E26E5">
        <w:lastRenderedPageBreak/>
        <w:t>αντίστοιχη επένδυση του ιδιωτικού τομέα (που μέχρι σήμερα ήταν ένας εξαιρετικά αδύναμος κρίκος) που μπορεί δυνητικά να λειτουργήσει ως «ατμομηχανή της ανάπτυξης».</w:t>
      </w:r>
    </w:p>
    <w:p w:rsidR="004E26E5" w:rsidRPr="00561137" w:rsidRDefault="004E26E5" w:rsidP="004E26E5">
      <w:r w:rsidRPr="00561137">
        <w:t>Για την υλοποίηση του οράματος, η χώρα έχει θέσει ως στόχο, στο πλαίσιο του Μεσοπρόθεσμου Πλαισίου Δημοσιονομικής Στρατηγικής</w:t>
      </w:r>
      <w:r w:rsidR="009919E8">
        <w:rPr>
          <w:rStyle w:val="FootnoteReference"/>
        </w:rPr>
        <w:footnoteReference w:id="1"/>
      </w:r>
      <w:r w:rsidRPr="00561137">
        <w:t xml:space="preserve"> και του Εθνικού Προγράμματος Μεταρρυθμίσεων, οι επενδύσεις σε έρευνα να φθάσουν από το 0,80% του ΑΕΠ το 2013 στο 1,2% το 2020. Αντίστοιχα, η επένδυση στην έρευνα από την πλευρά των επιχειρήσεων προσδοκάται να ανέλθει από 0,27% του ΑΕΠ το 2013 σε περίπου 0,38% του ΑΕΠ το 2020. </w:t>
      </w:r>
    </w:p>
    <w:p w:rsidR="004E26E5" w:rsidRPr="00561137" w:rsidRDefault="004E26E5" w:rsidP="004E26E5">
      <w:r w:rsidRPr="00561137">
        <w:t xml:space="preserve">Εκτός από τις οριζόντιες συνιστώσες της (ανάπτυξη καινοτόμων προϊόντων και υπηρεσιών, δημιουργία υποδομών έρευνας και καινοτομίας, αξιοποίηση των ευκαιριών που προσφέρουν αναδυόμενοι τεχνολογικοί τομείς, αριστεία στην έρευνα, ανάπτυξη ανθρώπινου ερευνητικού δυναμικού, διασύνδεση της επιστήμης με την κοινωνία, παραγωγή νέας γνώσης, διεθνής συνεργασία), η </w:t>
      </w:r>
      <w:r w:rsidRPr="00561137">
        <w:rPr>
          <w:lang w:val="en-US"/>
        </w:rPr>
        <w:t>RIS</w:t>
      </w:r>
      <w:r w:rsidRPr="00561137">
        <w:t xml:space="preserve">3 έχει συγκεκριμένη τομεακή διάσταση, η οποία προέκυψε μέσα από την εφαρμογή της επιχειρηματικής ανακάλυψης. Οι τομείς προτεραιότητας είναι: </w:t>
      </w:r>
    </w:p>
    <w:p w:rsidR="004E26E5" w:rsidRDefault="004E26E5" w:rsidP="00137C5D">
      <w:pPr>
        <w:numPr>
          <w:ilvl w:val="0"/>
          <w:numId w:val="18"/>
        </w:numPr>
      </w:pPr>
      <w:r w:rsidRPr="00561137">
        <w:t xml:space="preserve">Αγρο-διατροφή </w:t>
      </w:r>
    </w:p>
    <w:p w:rsidR="004E26E5" w:rsidRPr="00561137" w:rsidRDefault="004E26E5" w:rsidP="00137C5D">
      <w:pPr>
        <w:numPr>
          <w:ilvl w:val="0"/>
          <w:numId w:val="18"/>
        </w:numPr>
      </w:pPr>
      <w:r w:rsidRPr="00561137">
        <w:t xml:space="preserve">Βιοεπιστήμες &amp; Υγεία - Φάρμακα </w:t>
      </w:r>
    </w:p>
    <w:p w:rsidR="004E26E5" w:rsidRPr="00561137" w:rsidRDefault="004E26E5" w:rsidP="00137C5D">
      <w:pPr>
        <w:numPr>
          <w:ilvl w:val="0"/>
          <w:numId w:val="18"/>
        </w:numPr>
      </w:pPr>
      <w:r w:rsidRPr="00561137">
        <w:t xml:space="preserve">Τεχνολογίες Πληροφορικής και Επικοινωνιών </w:t>
      </w:r>
    </w:p>
    <w:p w:rsidR="004E26E5" w:rsidRPr="00561137" w:rsidRDefault="004E26E5" w:rsidP="00137C5D">
      <w:pPr>
        <w:numPr>
          <w:ilvl w:val="0"/>
          <w:numId w:val="18"/>
        </w:numPr>
      </w:pPr>
      <w:r w:rsidRPr="00561137">
        <w:t xml:space="preserve">Ενέργεια </w:t>
      </w:r>
    </w:p>
    <w:p w:rsidR="004E26E5" w:rsidRPr="00561137" w:rsidRDefault="004E26E5" w:rsidP="00137C5D">
      <w:pPr>
        <w:numPr>
          <w:ilvl w:val="0"/>
          <w:numId w:val="18"/>
        </w:numPr>
      </w:pPr>
      <w:r w:rsidRPr="00561137">
        <w:t xml:space="preserve">Περιβάλλον και βιώσιμη ανάπτυξη </w:t>
      </w:r>
    </w:p>
    <w:p w:rsidR="004E26E5" w:rsidRPr="00561137" w:rsidRDefault="004E26E5" w:rsidP="00137C5D">
      <w:pPr>
        <w:numPr>
          <w:ilvl w:val="0"/>
          <w:numId w:val="18"/>
        </w:numPr>
      </w:pPr>
      <w:r w:rsidRPr="00561137">
        <w:t xml:space="preserve">Μεταφορές και εφοδιαστική αλυσίδα </w:t>
      </w:r>
    </w:p>
    <w:p w:rsidR="004E26E5" w:rsidRPr="00561137" w:rsidRDefault="004E26E5" w:rsidP="00137C5D">
      <w:pPr>
        <w:numPr>
          <w:ilvl w:val="0"/>
          <w:numId w:val="18"/>
        </w:numPr>
      </w:pPr>
      <w:r w:rsidRPr="00561137">
        <w:t xml:space="preserve">Υλικά – Κατασκευές </w:t>
      </w:r>
    </w:p>
    <w:p w:rsidR="004E26E5" w:rsidRPr="00561137" w:rsidRDefault="004E26E5" w:rsidP="00137C5D">
      <w:pPr>
        <w:numPr>
          <w:ilvl w:val="0"/>
          <w:numId w:val="18"/>
        </w:numPr>
      </w:pPr>
      <w:r w:rsidRPr="00561137">
        <w:t xml:space="preserve">Πολιτισμός – Τουρισμός – Πολιτιστικές &amp; Δημιουργικές Βιομηχανίες (ΠΔΒ) </w:t>
      </w:r>
    </w:p>
    <w:p w:rsidR="00D21C6A" w:rsidRDefault="00D21C6A" w:rsidP="004E26E5">
      <w:r>
        <w:t xml:space="preserve">Από την άλλη, η Εθνική </w:t>
      </w:r>
      <w:r>
        <w:rPr>
          <w:lang w:val="en-US"/>
        </w:rPr>
        <w:t>RIS</w:t>
      </w:r>
      <w:r w:rsidRPr="00D21C6A">
        <w:t xml:space="preserve">3 </w:t>
      </w:r>
      <w:r>
        <w:t>έχει δομηθεί σε στρατηγικές επιλογές, Άξονες Παρέμβασης και Κατηγορίες Παρέμβασης, ως ακολούθως:</w:t>
      </w:r>
    </w:p>
    <w:p w:rsidR="00D21C6A" w:rsidRPr="00D21C6A" w:rsidRDefault="00D21C6A" w:rsidP="004E26E5"/>
    <w:p w:rsidR="004E26E5" w:rsidRPr="00BD4534" w:rsidRDefault="00BD4534" w:rsidP="00BD4534">
      <w:pPr>
        <w:pStyle w:val="Caption"/>
      </w:pPr>
      <w:r w:rsidRPr="00BD4534">
        <w:t xml:space="preserve">Πίνακας </w:t>
      </w:r>
      <w:r w:rsidR="00833098">
        <w:rPr>
          <w:noProof/>
        </w:rPr>
        <w:fldChar w:fldCharType="begin"/>
      </w:r>
      <w:r w:rsidR="00833098">
        <w:rPr>
          <w:noProof/>
        </w:rPr>
        <w:instrText xml:space="preserve"> STYLEREF 1 \s </w:instrText>
      </w:r>
      <w:r w:rsidR="00833098">
        <w:rPr>
          <w:noProof/>
        </w:rPr>
        <w:fldChar w:fldCharType="separate"/>
      </w:r>
      <w:r w:rsidR="00332E24">
        <w:rPr>
          <w:noProof/>
        </w:rPr>
        <w:t>2</w:t>
      </w:r>
      <w:r w:rsidR="00833098">
        <w:rPr>
          <w:noProof/>
        </w:rPr>
        <w:fldChar w:fldCharType="end"/>
      </w:r>
      <w:r w:rsidR="009C23C4">
        <w:noBreakHyphen/>
      </w:r>
      <w:r w:rsidR="00833098">
        <w:rPr>
          <w:noProof/>
        </w:rPr>
        <w:fldChar w:fldCharType="begin"/>
      </w:r>
      <w:r w:rsidR="00833098">
        <w:rPr>
          <w:noProof/>
        </w:rPr>
        <w:instrText xml:space="preserve"> SEQ Πίνακας \* ARABIC \s 1 </w:instrText>
      </w:r>
      <w:r w:rsidR="00833098">
        <w:rPr>
          <w:noProof/>
        </w:rPr>
        <w:fldChar w:fldCharType="separate"/>
      </w:r>
      <w:r w:rsidR="00332E24">
        <w:rPr>
          <w:noProof/>
        </w:rPr>
        <w:t>1</w:t>
      </w:r>
      <w:r w:rsidR="00833098">
        <w:rPr>
          <w:noProof/>
        </w:rPr>
        <w:fldChar w:fldCharType="end"/>
      </w:r>
      <w:r w:rsidRPr="00BD4534">
        <w:t>:</w:t>
      </w:r>
      <w:r w:rsidR="00D21C6A" w:rsidRPr="00BD4534">
        <w:t xml:space="preserve"> Δομή της Εθνικής RIS3 ανά Στρατηγικής Επιλογή, Άξονα και κατηγορίες παρέμβασης</w:t>
      </w:r>
    </w:p>
    <w:tbl>
      <w:tblPr>
        <w:tblW w:w="5000" w:type="pct"/>
        <w:jc w:val="center"/>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600" w:firstRow="0" w:lastRow="0" w:firstColumn="0" w:lastColumn="0" w:noHBand="1" w:noVBand="1"/>
      </w:tblPr>
      <w:tblGrid>
        <w:gridCol w:w="1525"/>
        <w:gridCol w:w="2624"/>
        <w:gridCol w:w="2766"/>
        <w:gridCol w:w="2578"/>
      </w:tblGrid>
      <w:tr w:rsidR="004E26E5" w:rsidRPr="007F6EB5" w:rsidTr="00246249">
        <w:trPr>
          <w:trHeight w:val="904"/>
          <w:tblHeader/>
          <w:jc w:val="center"/>
        </w:trPr>
        <w:tc>
          <w:tcPr>
            <w:tcW w:w="803" w:type="pct"/>
            <w:shd w:val="clear" w:color="auto" w:fill="800000"/>
            <w:tcMar>
              <w:top w:w="40" w:type="dxa"/>
              <w:left w:w="40" w:type="dxa"/>
              <w:bottom w:w="40" w:type="dxa"/>
              <w:right w:w="40" w:type="dxa"/>
            </w:tcMar>
            <w:vAlign w:val="center"/>
            <w:hideMark/>
          </w:tcPr>
          <w:p w:rsidR="004E26E5" w:rsidRPr="007F6EB5" w:rsidRDefault="004E26E5" w:rsidP="00D21C6A">
            <w:pPr>
              <w:jc w:val="center"/>
              <w:rPr>
                <w:sz w:val="16"/>
                <w:szCs w:val="16"/>
              </w:rPr>
            </w:pPr>
            <w:r w:rsidRPr="007F6EB5">
              <w:rPr>
                <w:b/>
                <w:sz w:val="16"/>
                <w:szCs w:val="16"/>
              </w:rPr>
              <w:t>Στρατηγικές Επιλογές</w:t>
            </w:r>
          </w:p>
        </w:tc>
        <w:tc>
          <w:tcPr>
            <w:tcW w:w="1382" w:type="pct"/>
            <w:shd w:val="clear" w:color="auto" w:fill="800000"/>
            <w:tcMar>
              <w:top w:w="40" w:type="dxa"/>
              <w:left w:w="40" w:type="dxa"/>
              <w:bottom w:w="40" w:type="dxa"/>
              <w:right w:w="40" w:type="dxa"/>
            </w:tcMar>
            <w:vAlign w:val="center"/>
            <w:hideMark/>
          </w:tcPr>
          <w:p w:rsidR="004E26E5" w:rsidRPr="007F6EB5" w:rsidRDefault="004E26E5" w:rsidP="00D21C6A">
            <w:pPr>
              <w:jc w:val="center"/>
              <w:rPr>
                <w:sz w:val="16"/>
                <w:szCs w:val="16"/>
              </w:rPr>
            </w:pPr>
            <w:r w:rsidRPr="007F6EB5">
              <w:rPr>
                <w:b/>
                <w:sz w:val="16"/>
                <w:szCs w:val="16"/>
              </w:rPr>
              <w:t>Επένδυση στη δημιουργία και διάχυση της Νέας Γνώσης</w:t>
            </w:r>
          </w:p>
        </w:tc>
        <w:tc>
          <w:tcPr>
            <w:tcW w:w="1457" w:type="pct"/>
            <w:shd w:val="clear" w:color="auto" w:fill="800000"/>
            <w:tcMar>
              <w:top w:w="40" w:type="dxa"/>
              <w:left w:w="40" w:type="dxa"/>
              <w:bottom w:w="40" w:type="dxa"/>
              <w:right w:w="40" w:type="dxa"/>
            </w:tcMar>
            <w:vAlign w:val="center"/>
            <w:hideMark/>
          </w:tcPr>
          <w:p w:rsidR="004E26E5" w:rsidRPr="007F6EB5" w:rsidRDefault="004E26E5" w:rsidP="00D21C6A">
            <w:pPr>
              <w:jc w:val="center"/>
              <w:rPr>
                <w:sz w:val="16"/>
                <w:szCs w:val="16"/>
              </w:rPr>
            </w:pPr>
            <w:r w:rsidRPr="007F6EB5">
              <w:rPr>
                <w:b/>
                <w:sz w:val="16"/>
                <w:szCs w:val="16"/>
              </w:rPr>
              <w:t>Επένδυση στην Έρευνα και Καινοτομία</w:t>
            </w:r>
          </w:p>
        </w:tc>
        <w:tc>
          <w:tcPr>
            <w:tcW w:w="1358" w:type="pct"/>
            <w:shd w:val="clear" w:color="auto" w:fill="800000"/>
            <w:tcMar>
              <w:top w:w="40" w:type="dxa"/>
              <w:left w:w="40" w:type="dxa"/>
              <w:bottom w:w="40" w:type="dxa"/>
              <w:right w:w="40" w:type="dxa"/>
            </w:tcMar>
            <w:vAlign w:val="center"/>
          </w:tcPr>
          <w:p w:rsidR="004E26E5" w:rsidRPr="007F6EB5" w:rsidRDefault="004E26E5" w:rsidP="00246249">
            <w:pPr>
              <w:jc w:val="center"/>
              <w:rPr>
                <w:sz w:val="16"/>
                <w:szCs w:val="16"/>
              </w:rPr>
            </w:pPr>
            <w:r w:rsidRPr="007F6EB5">
              <w:rPr>
                <w:b/>
                <w:sz w:val="16"/>
                <w:szCs w:val="16"/>
              </w:rPr>
              <w:t>Ανάπτυξη καινοτομικής νοοτροπίας και θεσμών και διασυνδέσεων Ε.ΤΑ.Κ με την κοινωνία</w:t>
            </w:r>
          </w:p>
        </w:tc>
      </w:tr>
      <w:tr w:rsidR="004E26E5" w:rsidRPr="007F6EB5" w:rsidTr="00246249">
        <w:trPr>
          <w:trHeight w:val="360"/>
          <w:jc w:val="center"/>
        </w:trPr>
        <w:tc>
          <w:tcPr>
            <w:tcW w:w="803" w:type="pct"/>
            <w:shd w:val="clear" w:color="auto" w:fill="EBF1DD"/>
            <w:tcMar>
              <w:top w:w="40" w:type="dxa"/>
              <w:left w:w="40" w:type="dxa"/>
              <w:bottom w:w="40" w:type="dxa"/>
              <w:right w:w="40" w:type="dxa"/>
            </w:tcMar>
            <w:vAlign w:val="bottom"/>
            <w:hideMark/>
          </w:tcPr>
          <w:p w:rsidR="004E26E5" w:rsidRPr="00D21C6A" w:rsidRDefault="004E26E5" w:rsidP="004E26E5">
            <w:pPr>
              <w:rPr>
                <w:b/>
                <w:sz w:val="16"/>
                <w:szCs w:val="16"/>
              </w:rPr>
            </w:pPr>
            <w:r w:rsidRPr="00D21C6A">
              <w:rPr>
                <w:b/>
                <w:sz w:val="16"/>
                <w:szCs w:val="16"/>
              </w:rPr>
              <w:t>Άξονες Παρέμβασης</w:t>
            </w:r>
          </w:p>
        </w:tc>
        <w:tc>
          <w:tcPr>
            <w:tcW w:w="4197" w:type="pct"/>
            <w:gridSpan w:val="3"/>
            <w:tcMar>
              <w:top w:w="40" w:type="dxa"/>
              <w:left w:w="40" w:type="dxa"/>
              <w:bottom w:w="40" w:type="dxa"/>
              <w:right w:w="40" w:type="dxa"/>
            </w:tcMar>
            <w:vAlign w:val="center"/>
            <w:hideMark/>
          </w:tcPr>
          <w:p w:rsidR="004E26E5" w:rsidRPr="00D21C6A" w:rsidRDefault="004E26E5" w:rsidP="007F6EB5">
            <w:pPr>
              <w:jc w:val="center"/>
              <w:rPr>
                <w:b/>
                <w:sz w:val="16"/>
                <w:szCs w:val="16"/>
              </w:rPr>
            </w:pPr>
            <w:r w:rsidRPr="00D21C6A">
              <w:rPr>
                <w:b/>
                <w:sz w:val="16"/>
                <w:szCs w:val="16"/>
              </w:rPr>
              <w:t>Κατηγορίες παρέμβασης</w:t>
            </w:r>
          </w:p>
        </w:tc>
      </w:tr>
      <w:tr w:rsidR="004E26E5" w:rsidRPr="007F6EB5" w:rsidTr="00246249">
        <w:trPr>
          <w:jc w:val="center"/>
        </w:trPr>
        <w:tc>
          <w:tcPr>
            <w:tcW w:w="803" w:type="pct"/>
            <w:shd w:val="clear" w:color="auto" w:fill="EBF1DD"/>
            <w:tcMar>
              <w:top w:w="40" w:type="dxa"/>
              <w:left w:w="40" w:type="dxa"/>
              <w:bottom w:w="40" w:type="dxa"/>
              <w:right w:w="40" w:type="dxa"/>
            </w:tcMar>
            <w:vAlign w:val="center"/>
            <w:hideMark/>
          </w:tcPr>
          <w:p w:rsidR="004E26E5" w:rsidRPr="007F6EB5" w:rsidRDefault="004E26E5" w:rsidP="00246249">
            <w:pPr>
              <w:jc w:val="left"/>
              <w:rPr>
                <w:sz w:val="16"/>
                <w:szCs w:val="16"/>
              </w:rPr>
            </w:pPr>
            <w:r w:rsidRPr="007F6EB5">
              <w:rPr>
                <w:sz w:val="16"/>
                <w:szCs w:val="16"/>
              </w:rPr>
              <w:t>α. Ανάπτυξη δυναμικού (capacity building)</w:t>
            </w:r>
          </w:p>
        </w:tc>
        <w:tc>
          <w:tcPr>
            <w:tcW w:w="1382"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1.α. Ανάπτυξη δυναμικού ΕΤΑΚ στους τομείς εξειδίκευσης</w:t>
            </w:r>
          </w:p>
          <w:p w:rsidR="004E26E5" w:rsidRPr="007F6EB5" w:rsidRDefault="004E26E5" w:rsidP="007F6EB5">
            <w:pPr>
              <w:rPr>
                <w:sz w:val="16"/>
                <w:szCs w:val="16"/>
              </w:rPr>
            </w:pPr>
            <w:r w:rsidRPr="007F6EB5">
              <w:rPr>
                <w:sz w:val="16"/>
                <w:szCs w:val="16"/>
              </w:rPr>
              <w:t>1.α.1  Ενίσχυση ερευνητικών υποδομών σύμφωνα με τον Εθνικό Οδικό Χάρτη Ερευνητικών Υποδομών</w:t>
            </w:r>
          </w:p>
          <w:p w:rsidR="004E26E5" w:rsidRPr="007F6EB5" w:rsidRDefault="004E26E5" w:rsidP="007F6EB5">
            <w:pPr>
              <w:rPr>
                <w:sz w:val="16"/>
                <w:szCs w:val="16"/>
              </w:rPr>
            </w:pPr>
            <w:r w:rsidRPr="007F6EB5">
              <w:rPr>
                <w:sz w:val="16"/>
                <w:szCs w:val="16"/>
              </w:rPr>
              <w:t>1.α.2 Εξειδικευμένα δίκτυα κέντρων ικανότητας (competence centers)</w:t>
            </w:r>
          </w:p>
          <w:p w:rsidR="004E26E5" w:rsidRPr="007F6EB5" w:rsidRDefault="004E26E5" w:rsidP="007F6EB5">
            <w:pPr>
              <w:rPr>
                <w:sz w:val="16"/>
                <w:szCs w:val="16"/>
              </w:rPr>
            </w:pPr>
            <w:r w:rsidRPr="007F6EB5">
              <w:rPr>
                <w:sz w:val="16"/>
                <w:szCs w:val="16"/>
              </w:rPr>
              <w:t xml:space="preserve">1.α.3 Ανάπτυξη επαγγελματικών </w:t>
            </w:r>
            <w:r w:rsidRPr="007F6EB5">
              <w:rPr>
                <w:sz w:val="16"/>
                <w:szCs w:val="16"/>
              </w:rPr>
              <w:lastRenderedPageBreak/>
              <w:t>γνώσεων και δεξιοτήτων σε θέματα πνευματικής ιδιοκτησίας, διαχείρισης καινοτομίας και τεχνολογίας, εξαγωγών κοκ</w:t>
            </w:r>
          </w:p>
        </w:tc>
        <w:tc>
          <w:tcPr>
            <w:tcW w:w="1457"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lastRenderedPageBreak/>
              <w:t>2.α. Εκκόλαψη νέων επιχειρηματικών παικτών</w:t>
            </w:r>
          </w:p>
          <w:p w:rsidR="004E26E5" w:rsidRPr="007F6EB5" w:rsidRDefault="004E26E5" w:rsidP="007F6EB5">
            <w:pPr>
              <w:rPr>
                <w:sz w:val="16"/>
                <w:szCs w:val="16"/>
              </w:rPr>
            </w:pPr>
            <w:r w:rsidRPr="007F6EB5">
              <w:rPr>
                <w:sz w:val="16"/>
                <w:szCs w:val="16"/>
              </w:rPr>
              <w:t>2.α.1 Ενίσχυση επιχειρηματικών ομάδων στο στάδιο εκκόλαψης</w:t>
            </w:r>
          </w:p>
          <w:p w:rsidR="004E26E5" w:rsidRPr="007F6EB5" w:rsidRDefault="004E26E5" w:rsidP="007F6EB5">
            <w:pPr>
              <w:rPr>
                <w:sz w:val="16"/>
                <w:szCs w:val="16"/>
              </w:rPr>
            </w:pPr>
            <w:r w:rsidRPr="007F6EB5">
              <w:rPr>
                <w:sz w:val="16"/>
                <w:szCs w:val="16"/>
              </w:rPr>
              <w:t>2.α.2 Ενίσχυση της ίδρυσης και ανάπτυξης νεοφυών επιχειρήσεων</w:t>
            </w:r>
          </w:p>
          <w:p w:rsidR="004E26E5" w:rsidRPr="007F6EB5" w:rsidRDefault="004E26E5" w:rsidP="007F6EB5">
            <w:pPr>
              <w:rPr>
                <w:sz w:val="16"/>
                <w:szCs w:val="16"/>
              </w:rPr>
            </w:pPr>
            <w:r w:rsidRPr="007F6EB5">
              <w:rPr>
                <w:sz w:val="16"/>
                <w:szCs w:val="16"/>
              </w:rPr>
              <w:t>2.α.3 Αξιοποίηση ερευνητικών αποτελεσμάτων (proof-of- concept)</w:t>
            </w:r>
          </w:p>
          <w:p w:rsidR="004E26E5" w:rsidRPr="007F6EB5" w:rsidRDefault="004E26E5" w:rsidP="007F6EB5">
            <w:pPr>
              <w:rPr>
                <w:sz w:val="16"/>
                <w:szCs w:val="16"/>
              </w:rPr>
            </w:pPr>
            <w:r w:rsidRPr="007F6EB5">
              <w:rPr>
                <w:sz w:val="16"/>
                <w:szCs w:val="16"/>
              </w:rPr>
              <w:lastRenderedPageBreak/>
              <w:t>2.α.4 Ανάπτυξη τεχνοβλαστών (Spin off/out)</w:t>
            </w:r>
          </w:p>
          <w:p w:rsidR="004E26E5" w:rsidRPr="007F6EB5" w:rsidRDefault="004E26E5" w:rsidP="007F6EB5">
            <w:pPr>
              <w:rPr>
                <w:sz w:val="16"/>
                <w:szCs w:val="16"/>
              </w:rPr>
            </w:pPr>
            <w:r w:rsidRPr="007F6EB5">
              <w:rPr>
                <w:sz w:val="16"/>
                <w:szCs w:val="16"/>
              </w:rPr>
              <w:t xml:space="preserve">2.α.5 Ενίσχυση υφιστάμενων και ίδρυση καινοτομικών συνεργατικών σχηματισμών </w:t>
            </w:r>
          </w:p>
        </w:tc>
        <w:tc>
          <w:tcPr>
            <w:tcW w:w="1358"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lastRenderedPageBreak/>
              <w:t>3.α. Ενίσχυση μηχανισμών και θεσμικού πλαισίου</w:t>
            </w:r>
          </w:p>
          <w:p w:rsidR="004E26E5" w:rsidRPr="007F6EB5" w:rsidRDefault="004E26E5" w:rsidP="007F6EB5">
            <w:pPr>
              <w:rPr>
                <w:sz w:val="16"/>
                <w:szCs w:val="16"/>
              </w:rPr>
            </w:pPr>
            <w:r w:rsidRPr="007F6EB5">
              <w:rPr>
                <w:sz w:val="16"/>
                <w:szCs w:val="16"/>
              </w:rPr>
              <w:t>3.α.1  Ίδρυση και ενίσχυση νέων χρηματοδοτικών εργαλείων</w:t>
            </w:r>
          </w:p>
          <w:p w:rsidR="004E26E5" w:rsidRPr="007F6EB5" w:rsidRDefault="004E26E5" w:rsidP="007F6EB5">
            <w:pPr>
              <w:rPr>
                <w:sz w:val="16"/>
                <w:szCs w:val="16"/>
              </w:rPr>
            </w:pPr>
            <w:r w:rsidRPr="007F6EB5">
              <w:rPr>
                <w:sz w:val="16"/>
                <w:szCs w:val="16"/>
              </w:rPr>
              <w:t>3.α.2 Ταμείο Αξιοποίησης Διανοητικής Ιδιοκτησίας (Patent Pool Fund)</w:t>
            </w:r>
          </w:p>
          <w:p w:rsidR="004E26E5" w:rsidRPr="007F6EB5" w:rsidRDefault="004E26E5" w:rsidP="007F6EB5">
            <w:pPr>
              <w:rPr>
                <w:sz w:val="16"/>
                <w:szCs w:val="16"/>
              </w:rPr>
            </w:pPr>
            <w:r w:rsidRPr="007F6EB5">
              <w:rPr>
                <w:sz w:val="16"/>
                <w:szCs w:val="16"/>
              </w:rPr>
              <w:t xml:space="preserve">3.α.3 Μητρώο συμβούλων σε ζητήματα διαχείρισης πνευματικής και βιομηχανικής </w:t>
            </w:r>
            <w:r w:rsidRPr="007F6EB5">
              <w:rPr>
                <w:sz w:val="16"/>
                <w:szCs w:val="16"/>
              </w:rPr>
              <w:lastRenderedPageBreak/>
              <w:t>ιδιοκτησίας</w:t>
            </w:r>
          </w:p>
        </w:tc>
      </w:tr>
      <w:tr w:rsidR="004E26E5" w:rsidRPr="007F6EB5" w:rsidTr="00246249">
        <w:trPr>
          <w:jc w:val="center"/>
        </w:trPr>
        <w:tc>
          <w:tcPr>
            <w:tcW w:w="803" w:type="pct"/>
            <w:shd w:val="clear" w:color="auto" w:fill="EBF1DD"/>
            <w:tcMar>
              <w:top w:w="40" w:type="dxa"/>
              <w:left w:w="40" w:type="dxa"/>
              <w:bottom w:w="40" w:type="dxa"/>
              <w:right w:w="40" w:type="dxa"/>
            </w:tcMar>
            <w:vAlign w:val="center"/>
            <w:hideMark/>
          </w:tcPr>
          <w:p w:rsidR="004E26E5" w:rsidRPr="007F6EB5" w:rsidRDefault="004E26E5" w:rsidP="00246249">
            <w:pPr>
              <w:jc w:val="left"/>
              <w:rPr>
                <w:sz w:val="16"/>
                <w:szCs w:val="16"/>
              </w:rPr>
            </w:pPr>
            <w:r w:rsidRPr="007F6EB5">
              <w:rPr>
                <w:sz w:val="16"/>
                <w:szCs w:val="16"/>
              </w:rPr>
              <w:lastRenderedPageBreak/>
              <w:t>β. Ενίσχυση δραστηριοτήτων ΕΤΑΚ</w:t>
            </w:r>
          </w:p>
        </w:tc>
        <w:tc>
          <w:tcPr>
            <w:tcW w:w="1382"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1.β. Ενίσχυση δραστηριοτήτων ΕΤΑΚ και νησίδων αριστείας</w:t>
            </w:r>
          </w:p>
          <w:p w:rsidR="004E26E5" w:rsidRPr="007F6EB5" w:rsidRDefault="004E26E5" w:rsidP="007F6EB5">
            <w:pPr>
              <w:rPr>
                <w:sz w:val="16"/>
                <w:szCs w:val="16"/>
              </w:rPr>
            </w:pPr>
            <w:r w:rsidRPr="007F6EB5">
              <w:rPr>
                <w:sz w:val="16"/>
                <w:szCs w:val="16"/>
              </w:rPr>
              <w:t>1.β.1. Ενίσχυση του ανθρώπινου ερευνητικού δυναμικού μέσω της υλοποίησης διδακτορικής έρευνας)</w:t>
            </w:r>
          </w:p>
          <w:p w:rsidR="004E26E5" w:rsidRPr="007F6EB5" w:rsidRDefault="004E26E5" w:rsidP="007F6EB5">
            <w:pPr>
              <w:rPr>
                <w:sz w:val="16"/>
                <w:szCs w:val="16"/>
              </w:rPr>
            </w:pPr>
            <w:r w:rsidRPr="007F6EB5">
              <w:rPr>
                <w:sz w:val="16"/>
                <w:szCs w:val="16"/>
              </w:rPr>
              <w:t>1.β.2 Υποστήριξη της ερευνητικής διάστασης της τριτοβάθμιας εκπαίδευσης</w:t>
            </w:r>
          </w:p>
          <w:p w:rsidR="004E26E5" w:rsidRPr="007F6EB5" w:rsidRDefault="004E26E5" w:rsidP="007F6EB5">
            <w:pPr>
              <w:rPr>
                <w:sz w:val="16"/>
                <w:szCs w:val="16"/>
              </w:rPr>
            </w:pPr>
            <w:r w:rsidRPr="007F6EB5">
              <w:rPr>
                <w:sz w:val="16"/>
                <w:szCs w:val="16"/>
              </w:rPr>
              <w:t>1.β.3 Ενίσχυση μεταδιδακτόρων ερευνητών/τριών</w:t>
            </w:r>
          </w:p>
          <w:p w:rsidR="004E26E5" w:rsidRPr="007F6EB5" w:rsidRDefault="004E26E5" w:rsidP="007F6EB5">
            <w:pPr>
              <w:rPr>
                <w:sz w:val="16"/>
                <w:szCs w:val="16"/>
              </w:rPr>
            </w:pPr>
            <w:r w:rsidRPr="007F6EB5">
              <w:rPr>
                <w:sz w:val="16"/>
                <w:szCs w:val="16"/>
              </w:rPr>
              <w:t>1.β.4 Χρηματοδότηση προτάσεων που αξιολογήθηκαν θετικά στα ERC Grant Schemes, αλλά δεν χρηματοδοτήθηκαν</w:t>
            </w:r>
          </w:p>
          <w:p w:rsidR="004E26E5" w:rsidRPr="007F6EB5" w:rsidRDefault="004E26E5" w:rsidP="007F6EB5">
            <w:pPr>
              <w:rPr>
                <w:sz w:val="16"/>
                <w:szCs w:val="16"/>
              </w:rPr>
            </w:pPr>
            <w:r w:rsidRPr="007F6EB5">
              <w:rPr>
                <w:sz w:val="16"/>
                <w:szCs w:val="16"/>
              </w:rPr>
              <w:t>1.β.5 Συνεργατικές πρωτοβουλίες ΕΤΑΚ</w:t>
            </w:r>
          </w:p>
          <w:p w:rsidR="004E26E5" w:rsidRPr="007F6EB5" w:rsidRDefault="004E26E5" w:rsidP="007F6EB5">
            <w:pPr>
              <w:rPr>
                <w:sz w:val="16"/>
                <w:szCs w:val="16"/>
              </w:rPr>
            </w:pPr>
            <w:r w:rsidRPr="007F6EB5">
              <w:rPr>
                <w:sz w:val="16"/>
                <w:szCs w:val="16"/>
              </w:rPr>
              <w:t>1.β.6 Ανάπτυξη καινοτόμων προϊόντων/υπηρεσιών που προτείνονται από επιχειρήσεις, κλπ. (customer- driven)</w:t>
            </w:r>
          </w:p>
          <w:p w:rsidR="004E26E5" w:rsidRPr="007F6EB5" w:rsidRDefault="004E26E5" w:rsidP="007F6EB5">
            <w:pPr>
              <w:rPr>
                <w:sz w:val="16"/>
                <w:szCs w:val="16"/>
              </w:rPr>
            </w:pPr>
            <w:r w:rsidRPr="007F6EB5">
              <w:rPr>
                <w:sz w:val="16"/>
                <w:szCs w:val="16"/>
              </w:rPr>
              <w:t>1.β.7 Ενίσχυση για την πραγματοποίηση δοκιμών προϊόντων και υπηρεσιών</w:t>
            </w:r>
          </w:p>
          <w:p w:rsidR="004E26E5" w:rsidRPr="007F6EB5" w:rsidRDefault="004E26E5" w:rsidP="007F6EB5">
            <w:pPr>
              <w:rPr>
                <w:sz w:val="16"/>
                <w:szCs w:val="16"/>
              </w:rPr>
            </w:pPr>
            <w:r w:rsidRPr="007F6EB5">
              <w:rPr>
                <w:sz w:val="16"/>
                <w:szCs w:val="16"/>
              </w:rPr>
              <w:t>1.β.8 Στρατηγικά Σχέδια Ερευνητικών Φορέων</w:t>
            </w:r>
          </w:p>
          <w:p w:rsidR="004E26E5" w:rsidRPr="007F6EB5" w:rsidRDefault="004E26E5" w:rsidP="007F6EB5">
            <w:pPr>
              <w:rPr>
                <w:sz w:val="16"/>
                <w:szCs w:val="16"/>
              </w:rPr>
            </w:pPr>
            <w:r w:rsidRPr="007F6EB5">
              <w:rPr>
                <w:sz w:val="16"/>
                <w:szCs w:val="16"/>
              </w:rPr>
              <w:t>1.β.9 Ολοκληρωμένες Στρατηγικές Έρευνας ΑΕΙ</w:t>
            </w:r>
          </w:p>
        </w:tc>
        <w:tc>
          <w:tcPr>
            <w:tcW w:w="1457"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 xml:space="preserve">2.β. Ενίσχυση της ενδογενούς έρευνας και καινοτομίας στις επιχειρήσεις </w:t>
            </w:r>
          </w:p>
          <w:p w:rsidR="004E26E5" w:rsidRPr="007F6EB5" w:rsidRDefault="004E26E5" w:rsidP="007F6EB5">
            <w:pPr>
              <w:rPr>
                <w:sz w:val="16"/>
                <w:szCs w:val="16"/>
              </w:rPr>
            </w:pPr>
            <w:r w:rsidRPr="007F6EB5">
              <w:rPr>
                <w:sz w:val="16"/>
                <w:szCs w:val="16"/>
              </w:rPr>
              <w:t>2.β.1 Ενιαία δράση κρατικών ενισχύσεων ΕΤΑΚ: ΕΡΕΥΝΩ – ΚΑΙΝΟΤΟΜΩ – ΔΗΜΙΟΥΡΓΩ</w:t>
            </w:r>
          </w:p>
          <w:p w:rsidR="004E26E5" w:rsidRPr="007F6EB5" w:rsidRDefault="004E26E5" w:rsidP="007F6EB5">
            <w:pPr>
              <w:rPr>
                <w:sz w:val="16"/>
                <w:szCs w:val="16"/>
              </w:rPr>
            </w:pPr>
            <w:r w:rsidRPr="007F6EB5">
              <w:rPr>
                <w:sz w:val="16"/>
                <w:szCs w:val="16"/>
              </w:rPr>
              <w:t>i. Πρωτοεμφανιζόμενες στην έρευνα επιχειρήσεις</w:t>
            </w:r>
          </w:p>
          <w:p w:rsidR="004E26E5" w:rsidRPr="007F6EB5" w:rsidRDefault="004E26E5" w:rsidP="007F6EB5">
            <w:pPr>
              <w:rPr>
                <w:sz w:val="16"/>
                <w:szCs w:val="16"/>
              </w:rPr>
            </w:pPr>
            <w:r w:rsidRPr="007F6EB5">
              <w:rPr>
                <w:sz w:val="16"/>
                <w:szCs w:val="16"/>
              </w:rPr>
              <w:t>ii. Μικρομεσαίες επιχειρήσεις</w:t>
            </w:r>
          </w:p>
          <w:p w:rsidR="004E26E5" w:rsidRPr="007F6EB5" w:rsidRDefault="004E26E5" w:rsidP="007F6EB5">
            <w:pPr>
              <w:rPr>
                <w:sz w:val="16"/>
                <w:szCs w:val="16"/>
              </w:rPr>
            </w:pPr>
            <w:r w:rsidRPr="007F6EB5">
              <w:rPr>
                <w:sz w:val="16"/>
                <w:szCs w:val="16"/>
              </w:rPr>
              <w:t>iii.1 Συμπράξεις επιχειρήσεων με άλλους φορείς (Μικρές συνεργασίες)</w:t>
            </w:r>
          </w:p>
          <w:p w:rsidR="004E26E5" w:rsidRPr="007F6EB5" w:rsidRDefault="004E26E5" w:rsidP="007F6EB5">
            <w:pPr>
              <w:rPr>
                <w:sz w:val="16"/>
                <w:szCs w:val="16"/>
              </w:rPr>
            </w:pPr>
            <w:r w:rsidRPr="007F6EB5">
              <w:rPr>
                <w:sz w:val="16"/>
                <w:szCs w:val="16"/>
              </w:rPr>
              <w:t>iii.2 Συμπράξεις ομάδων επιχειρήσεων με άλλους φορείς (Μεγάλες συνεργασίες)</w:t>
            </w:r>
          </w:p>
          <w:p w:rsidR="004E26E5" w:rsidRPr="007F6EB5" w:rsidRDefault="004E26E5" w:rsidP="007F6EB5">
            <w:pPr>
              <w:rPr>
                <w:sz w:val="16"/>
                <w:szCs w:val="16"/>
              </w:rPr>
            </w:pPr>
            <w:r w:rsidRPr="007F6EB5">
              <w:rPr>
                <w:sz w:val="16"/>
                <w:szCs w:val="16"/>
              </w:rPr>
              <w:t>iv. Ενσωμάτωση ερευνητικών αποτελεσμάτων στην παραγωγική διαδικασία</w:t>
            </w:r>
          </w:p>
          <w:p w:rsidR="004E26E5" w:rsidRPr="007F6EB5" w:rsidRDefault="004E26E5" w:rsidP="007F6EB5">
            <w:pPr>
              <w:rPr>
                <w:sz w:val="16"/>
                <w:szCs w:val="16"/>
              </w:rPr>
            </w:pPr>
            <w:r w:rsidRPr="007F6EB5">
              <w:rPr>
                <w:sz w:val="16"/>
                <w:szCs w:val="16"/>
              </w:rPr>
              <w:t>2.β.2 Ενίσχυση ανάπτυξης προϊόντων και υπηρεσιών ΤΠΕ</w:t>
            </w:r>
          </w:p>
          <w:p w:rsidR="004E26E5" w:rsidRPr="007F6EB5" w:rsidRDefault="004E26E5" w:rsidP="007F6EB5">
            <w:pPr>
              <w:rPr>
                <w:sz w:val="16"/>
                <w:szCs w:val="16"/>
              </w:rPr>
            </w:pPr>
            <w:r w:rsidRPr="007F6EB5">
              <w:rPr>
                <w:sz w:val="16"/>
                <w:szCs w:val="16"/>
              </w:rPr>
              <w:t>2.β.3 Ανάπτυξη εφαρμογών e-επιχειρείν από μεμονωμένες επιχειρήσεις ή ομάδες επιχειρήσεων</w:t>
            </w:r>
          </w:p>
          <w:p w:rsidR="004E26E5" w:rsidRPr="007F6EB5" w:rsidRDefault="004E26E5" w:rsidP="007F6EB5">
            <w:pPr>
              <w:rPr>
                <w:sz w:val="16"/>
                <w:szCs w:val="16"/>
              </w:rPr>
            </w:pPr>
            <w:r w:rsidRPr="007F6EB5">
              <w:rPr>
                <w:sz w:val="16"/>
                <w:szCs w:val="16"/>
              </w:rPr>
              <w:t>2.β.4 Ενίσχυση επενδύσεων σε υφιστάμενες επιχειρήσεις για την εισαγωγή νέων προϊόντων και υπηρεσιών στην αγορά και για την ανάπτυξη και εφαρμογή σύγχρονων μεθόδων παραγωγής</w:t>
            </w:r>
          </w:p>
          <w:p w:rsidR="004E26E5" w:rsidRPr="007F6EB5" w:rsidRDefault="004E26E5" w:rsidP="007F6EB5">
            <w:pPr>
              <w:rPr>
                <w:sz w:val="16"/>
                <w:szCs w:val="16"/>
              </w:rPr>
            </w:pPr>
            <w:r w:rsidRPr="007F6EB5">
              <w:rPr>
                <w:sz w:val="16"/>
                <w:szCs w:val="16"/>
              </w:rPr>
              <w:t>2.β.5 Στήριξη των επιχειρήσεων για τη δημιουργία και την επέκταση προηγμένων ικανοτήτων, για την ανάπτυξη προϊόντων και υπηρεσιών σε νέους τομείς</w:t>
            </w:r>
          </w:p>
        </w:tc>
        <w:tc>
          <w:tcPr>
            <w:tcW w:w="1358"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3.β. Ενίσχυση της ζήτησης για καινοτομία από τη δημόσια διοίκηση</w:t>
            </w:r>
          </w:p>
          <w:p w:rsidR="004E26E5" w:rsidRPr="007F6EB5" w:rsidRDefault="004E26E5" w:rsidP="007F6EB5">
            <w:pPr>
              <w:rPr>
                <w:sz w:val="16"/>
                <w:szCs w:val="16"/>
              </w:rPr>
            </w:pPr>
            <w:r w:rsidRPr="007F6EB5">
              <w:rPr>
                <w:sz w:val="16"/>
                <w:szCs w:val="16"/>
              </w:rPr>
              <w:t>3.β.1 Καινοτόμες προ-εμπορευματικές δημόσιες προμήθειες (pre-commercial procurements - PCPs) ΘΣ 2,4,5,6,7</w:t>
            </w:r>
          </w:p>
          <w:p w:rsidR="004E26E5" w:rsidRPr="007F6EB5" w:rsidRDefault="004E26E5" w:rsidP="007F6EB5">
            <w:pPr>
              <w:rPr>
                <w:sz w:val="16"/>
                <w:szCs w:val="16"/>
              </w:rPr>
            </w:pPr>
            <w:r w:rsidRPr="007F6EB5">
              <w:rPr>
                <w:sz w:val="16"/>
                <w:szCs w:val="16"/>
              </w:rPr>
              <w:t xml:space="preserve">3.β.2 Ανάπτυξη και εφαρμογή “πρωτοκόλλων” ή  σημάτων </w:t>
            </w:r>
          </w:p>
        </w:tc>
      </w:tr>
      <w:tr w:rsidR="004E26E5" w:rsidRPr="007F6EB5" w:rsidTr="00246249">
        <w:trPr>
          <w:jc w:val="center"/>
        </w:trPr>
        <w:tc>
          <w:tcPr>
            <w:tcW w:w="803" w:type="pct"/>
            <w:shd w:val="clear" w:color="auto" w:fill="EBF1DD"/>
            <w:tcMar>
              <w:top w:w="40" w:type="dxa"/>
              <w:left w:w="40" w:type="dxa"/>
              <w:bottom w:w="40" w:type="dxa"/>
              <w:right w:w="40" w:type="dxa"/>
            </w:tcMar>
            <w:vAlign w:val="center"/>
            <w:hideMark/>
          </w:tcPr>
          <w:p w:rsidR="004E26E5" w:rsidRPr="007F6EB5" w:rsidRDefault="004E26E5" w:rsidP="004E26E5">
            <w:pPr>
              <w:rPr>
                <w:sz w:val="16"/>
                <w:szCs w:val="16"/>
              </w:rPr>
            </w:pPr>
            <w:r w:rsidRPr="007F6EB5">
              <w:rPr>
                <w:sz w:val="16"/>
                <w:szCs w:val="16"/>
              </w:rPr>
              <w:t>γ. Μηχανισμοί και δομές υποστήριξης</w:t>
            </w:r>
          </w:p>
        </w:tc>
        <w:tc>
          <w:tcPr>
            <w:tcW w:w="1382"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1.γ Ενίσχυση (Υπο)δομών δικτύωσης</w:t>
            </w:r>
          </w:p>
          <w:p w:rsidR="004E26E5" w:rsidRPr="007F6EB5" w:rsidRDefault="004E26E5" w:rsidP="007F6EB5">
            <w:pPr>
              <w:rPr>
                <w:sz w:val="16"/>
                <w:szCs w:val="16"/>
              </w:rPr>
            </w:pPr>
            <w:r w:rsidRPr="007F6EB5">
              <w:rPr>
                <w:sz w:val="16"/>
                <w:szCs w:val="16"/>
              </w:rPr>
              <w:t>1.γ.1 Διαμόρφωση &amp; λειτουργία ψηφιακής πλατφόρμας έρευνας και καινοτομίας*</w:t>
            </w:r>
          </w:p>
          <w:p w:rsidR="004E26E5" w:rsidRPr="007F6EB5" w:rsidRDefault="004E26E5" w:rsidP="007F6EB5">
            <w:pPr>
              <w:rPr>
                <w:sz w:val="16"/>
                <w:szCs w:val="16"/>
              </w:rPr>
            </w:pPr>
            <w:r w:rsidRPr="007F6EB5">
              <w:rPr>
                <w:sz w:val="16"/>
                <w:szCs w:val="16"/>
              </w:rPr>
              <w:t>1.γ.2 Γραφεία αξιοποίησης τεχνολογίας</w:t>
            </w:r>
          </w:p>
          <w:p w:rsidR="004E26E5" w:rsidRPr="007F6EB5" w:rsidRDefault="004E26E5" w:rsidP="007F6EB5">
            <w:pPr>
              <w:rPr>
                <w:sz w:val="16"/>
                <w:szCs w:val="16"/>
              </w:rPr>
            </w:pPr>
            <w:r w:rsidRPr="007F6EB5">
              <w:rPr>
                <w:sz w:val="16"/>
                <w:szCs w:val="16"/>
              </w:rPr>
              <w:lastRenderedPageBreak/>
              <w:t>1.γ.3 Ενίσχυση και διεύρυνση της δραστηριότητας και του ρόλου των Μονάδων Καινοτομίας και Επιχειρηματικότητας (ΜΟΚΕ)</w:t>
            </w:r>
          </w:p>
          <w:p w:rsidR="004E26E5" w:rsidRPr="007F6EB5" w:rsidRDefault="004E26E5" w:rsidP="007F6EB5">
            <w:pPr>
              <w:rPr>
                <w:sz w:val="16"/>
                <w:szCs w:val="16"/>
              </w:rPr>
            </w:pPr>
            <w:r w:rsidRPr="007F6EB5">
              <w:rPr>
                <w:sz w:val="16"/>
                <w:szCs w:val="16"/>
              </w:rPr>
              <w:t>1.γ.4 Εκσυγχρονισμός των εσωτερικών δικτυακών υποδομών όλων των ΑΕΙ και των ΕΚ της χώρας)</w:t>
            </w:r>
          </w:p>
          <w:p w:rsidR="004E26E5" w:rsidRPr="007F6EB5" w:rsidRDefault="004E26E5" w:rsidP="007F6EB5">
            <w:pPr>
              <w:rPr>
                <w:sz w:val="16"/>
                <w:szCs w:val="16"/>
              </w:rPr>
            </w:pPr>
            <w:r w:rsidRPr="007F6EB5">
              <w:rPr>
                <w:sz w:val="16"/>
                <w:szCs w:val="16"/>
              </w:rPr>
              <w:t>1.γ.5 Ένταξη Νοσοκομειακών Μονάδων στο εθνικό ακαδημαϊκό δίκτυο ΕΔΕΤ για την υποστήριξη ερευνητικών και κλινικών δραστηριοτήτων στην ιατρική και στη βιολογία, σε νεφoϋπολογιστικό περιβάλλον (Cloud Computing)  - επέκταση στις υπόλοιπες 5 περιφέρεις της χώρας</w:t>
            </w:r>
          </w:p>
        </w:tc>
        <w:tc>
          <w:tcPr>
            <w:tcW w:w="1457" w:type="pct"/>
            <w:tcMar>
              <w:top w:w="40" w:type="dxa"/>
              <w:left w:w="40" w:type="dxa"/>
              <w:bottom w:w="40" w:type="dxa"/>
              <w:right w:w="40" w:type="dxa"/>
            </w:tcMar>
          </w:tcPr>
          <w:p w:rsidR="004E26E5" w:rsidRPr="007F6EB5" w:rsidRDefault="004E26E5" w:rsidP="004E26E5">
            <w:pPr>
              <w:rPr>
                <w:sz w:val="16"/>
                <w:szCs w:val="16"/>
              </w:rPr>
            </w:pPr>
            <w:r w:rsidRPr="007F6EB5">
              <w:rPr>
                <w:sz w:val="16"/>
                <w:szCs w:val="16"/>
              </w:rPr>
              <w:lastRenderedPageBreak/>
              <w:t xml:space="preserve">2.γ Υποδομές και μηχανισμοί στήριξης καινοτόμου επιχειρηματικότητας </w:t>
            </w:r>
          </w:p>
          <w:p w:rsidR="004E26E5" w:rsidRPr="007F6EB5" w:rsidRDefault="004E26E5" w:rsidP="007F6EB5">
            <w:pPr>
              <w:rPr>
                <w:sz w:val="16"/>
                <w:szCs w:val="16"/>
              </w:rPr>
            </w:pPr>
            <w:r w:rsidRPr="007F6EB5">
              <w:rPr>
                <w:sz w:val="16"/>
                <w:szCs w:val="16"/>
              </w:rPr>
              <w:t xml:space="preserve">2.γ.1.Ενίσχυση της ανάπτυξης ψηφιακών πλατφορμών επιχειρηματικών συναλλαγών και συνεργασίας μεταξύ επιχειρήσεων, </w:t>
            </w:r>
            <w:r w:rsidRPr="007F6EB5">
              <w:rPr>
                <w:sz w:val="16"/>
                <w:szCs w:val="16"/>
              </w:rPr>
              <w:lastRenderedPageBreak/>
              <w:t>μεταξύ επιχειρήσεων και καταναλωτών και μεταξύ επιχειρήσεων και φορέων του δημοσίου</w:t>
            </w:r>
          </w:p>
          <w:p w:rsidR="004E26E5" w:rsidRPr="007F6EB5" w:rsidRDefault="004E26E5" w:rsidP="004E26E5">
            <w:pPr>
              <w:rPr>
                <w:sz w:val="16"/>
                <w:szCs w:val="16"/>
              </w:rPr>
            </w:pPr>
          </w:p>
        </w:tc>
        <w:tc>
          <w:tcPr>
            <w:tcW w:w="1358" w:type="pct"/>
            <w:tcMar>
              <w:top w:w="40" w:type="dxa"/>
              <w:left w:w="40" w:type="dxa"/>
              <w:bottom w:w="40" w:type="dxa"/>
              <w:right w:w="40" w:type="dxa"/>
            </w:tcMar>
          </w:tcPr>
          <w:p w:rsidR="004E26E5" w:rsidRPr="007F6EB5" w:rsidRDefault="004E26E5" w:rsidP="004E26E5">
            <w:pPr>
              <w:rPr>
                <w:sz w:val="16"/>
                <w:szCs w:val="16"/>
              </w:rPr>
            </w:pPr>
            <w:r w:rsidRPr="007F6EB5">
              <w:rPr>
                <w:sz w:val="16"/>
                <w:szCs w:val="16"/>
              </w:rPr>
              <w:lastRenderedPageBreak/>
              <w:t>3.γ Μηχανισμοί Επιχειρηματικής Ανακάλυψης και Τεκμηρίωσης</w:t>
            </w:r>
          </w:p>
          <w:p w:rsidR="004E26E5" w:rsidRPr="007F6EB5" w:rsidRDefault="004E26E5" w:rsidP="007F6EB5">
            <w:pPr>
              <w:rPr>
                <w:sz w:val="16"/>
                <w:szCs w:val="16"/>
              </w:rPr>
            </w:pPr>
            <w:r w:rsidRPr="007F6EB5">
              <w:rPr>
                <w:sz w:val="16"/>
                <w:szCs w:val="16"/>
              </w:rPr>
              <w:t>3.γ.1 Μηχανισμός Επιχειρηματικής ανακάλυψης</w:t>
            </w:r>
          </w:p>
          <w:p w:rsidR="004E26E5" w:rsidRPr="007F6EB5" w:rsidRDefault="004E26E5" w:rsidP="007F6EB5">
            <w:pPr>
              <w:rPr>
                <w:sz w:val="16"/>
                <w:szCs w:val="16"/>
              </w:rPr>
            </w:pPr>
            <w:r w:rsidRPr="007F6EB5">
              <w:rPr>
                <w:sz w:val="16"/>
                <w:szCs w:val="16"/>
              </w:rPr>
              <w:t xml:space="preserve">3.γ.2  Εγκατάσταση Μηχανισμού Παρακολούθησης (monitoring mechanism) της υλοποίησης </w:t>
            </w:r>
            <w:r w:rsidRPr="007F6EB5">
              <w:rPr>
                <w:sz w:val="16"/>
                <w:szCs w:val="16"/>
              </w:rPr>
              <w:lastRenderedPageBreak/>
              <w:t>της εθνικής στρατηγικής RIS3</w:t>
            </w:r>
          </w:p>
          <w:p w:rsidR="004E26E5" w:rsidRPr="007F6EB5" w:rsidRDefault="004E26E5" w:rsidP="004E26E5">
            <w:pPr>
              <w:rPr>
                <w:sz w:val="16"/>
                <w:szCs w:val="16"/>
              </w:rPr>
            </w:pPr>
          </w:p>
          <w:p w:rsidR="004E26E5" w:rsidRPr="007F6EB5" w:rsidRDefault="004E26E5" w:rsidP="004E26E5">
            <w:pPr>
              <w:rPr>
                <w:sz w:val="16"/>
                <w:szCs w:val="16"/>
              </w:rPr>
            </w:pPr>
          </w:p>
        </w:tc>
      </w:tr>
      <w:tr w:rsidR="004E26E5" w:rsidRPr="007F6EB5" w:rsidTr="00246249">
        <w:trPr>
          <w:jc w:val="center"/>
        </w:trPr>
        <w:tc>
          <w:tcPr>
            <w:tcW w:w="803" w:type="pct"/>
            <w:shd w:val="clear" w:color="auto" w:fill="EBF1DD"/>
            <w:tcMar>
              <w:top w:w="40" w:type="dxa"/>
              <w:left w:w="40" w:type="dxa"/>
              <w:bottom w:w="40" w:type="dxa"/>
              <w:right w:w="40" w:type="dxa"/>
            </w:tcMar>
            <w:vAlign w:val="center"/>
            <w:hideMark/>
          </w:tcPr>
          <w:p w:rsidR="004E26E5" w:rsidRPr="007F6EB5" w:rsidRDefault="004E26E5" w:rsidP="004E26E5">
            <w:pPr>
              <w:rPr>
                <w:b/>
                <w:sz w:val="16"/>
                <w:szCs w:val="16"/>
              </w:rPr>
            </w:pPr>
            <w:r w:rsidRPr="007F6EB5">
              <w:rPr>
                <w:sz w:val="16"/>
                <w:szCs w:val="16"/>
              </w:rPr>
              <w:lastRenderedPageBreak/>
              <w:t>δ. Εξωστρέφεια και δικτύωση</w:t>
            </w:r>
          </w:p>
        </w:tc>
        <w:tc>
          <w:tcPr>
            <w:tcW w:w="1382" w:type="pct"/>
            <w:tcMar>
              <w:top w:w="40" w:type="dxa"/>
              <w:left w:w="40" w:type="dxa"/>
              <w:bottom w:w="40" w:type="dxa"/>
              <w:right w:w="40" w:type="dxa"/>
            </w:tcMar>
          </w:tcPr>
          <w:p w:rsidR="004E26E5" w:rsidRPr="007F6EB5" w:rsidRDefault="004E26E5" w:rsidP="004E26E5">
            <w:pPr>
              <w:rPr>
                <w:sz w:val="16"/>
                <w:szCs w:val="16"/>
              </w:rPr>
            </w:pPr>
            <w:r w:rsidRPr="007F6EB5">
              <w:rPr>
                <w:sz w:val="16"/>
                <w:szCs w:val="16"/>
              </w:rPr>
              <w:t xml:space="preserve">1.δ. Διασύνδεση και συνεργασία σε ΕΤΑΚ </w:t>
            </w:r>
          </w:p>
          <w:p w:rsidR="004E26E5" w:rsidRPr="007F6EB5" w:rsidRDefault="004E26E5" w:rsidP="007F6EB5">
            <w:pPr>
              <w:rPr>
                <w:sz w:val="16"/>
                <w:szCs w:val="16"/>
              </w:rPr>
            </w:pPr>
            <w:r w:rsidRPr="007F6EB5">
              <w:rPr>
                <w:sz w:val="16"/>
                <w:szCs w:val="16"/>
              </w:rPr>
              <w:t>1.δ.1 Ενίσχυση συμμετοχής σε διακρατικά/διευρωπαϊκά δίκτυα, προγράμματα και πρωτοβουλίες  - ERANETS-FETs</w:t>
            </w:r>
          </w:p>
          <w:p w:rsidR="004E26E5" w:rsidRPr="007F6EB5" w:rsidRDefault="004E26E5" w:rsidP="007F6EB5">
            <w:pPr>
              <w:rPr>
                <w:sz w:val="16"/>
                <w:szCs w:val="16"/>
              </w:rPr>
            </w:pPr>
            <w:r w:rsidRPr="007F6EB5">
              <w:rPr>
                <w:sz w:val="16"/>
                <w:szCs w:val="16"/>
              </w:rPr>
              <w:t>1.δ.2 Δράσεις διμερών και διακρατικών συνεργασιών</w:t>
            </w:r>
          </w:p>
          <w:p w:rsidR="004E26E5" w:rsidRPr="007F6EB5" w:rsidRDefault="004E26E5" w:rsidP="004E26E5">
            <w:pPr>
              <w:rPr>
                <w:sz w:val="16"/>
                <w:szCs w:val="16"/>
              </w:rPr>
            </w:pPr>
          </w:p>
        </w:tc>
        <w:tc>
          <w:tcPr>
            <w:tcW w:w="1457"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2.δ  Επιχειρηματική εξωστρέφεια</w:t>
            </w:r>
          </w:p>
          <w:p w:rsidR="004E26E5" w:rsidRPr="007F6EB5" w:rsidRDefault="004E26E5" w:rsidP="007F6EB5">
            <w:pPr>
              <w:rPr>
                <w:sz w:val="16"/>
                <w:szCs w:val="16"/>
              </w:rPr>
            </w:pPr>
            <w:r w:rsidRPr="007F6EB5">
              <w:rPr>
                <w:sz w:val="16"/>
                <w:szCs w:val="16"/>
              </w:rPr>
              <w:t>2.δ.1 Προετοιμασία, εφαρμογή και αξιολόγηση τομεακών ή κλαδικών σχεδίων εξωστρέφειας*</w:t>
            </w:r>
          </w:p>
          <w:p w:rsidR="004E26E5" w:rsidRPr="007F6EB5" w:rsidRDefault="004E26E5" w:rsidP="007F6EB5">
            <w:pPr>
              <w:rPr>
                <w:sz w:val="16"/>
                <w:szCs w:val="16"/>
              </w:rPr>
            </w:pPr>
            <w:r w:rsidRPr="007F6EB5">
              <w:rPr>
                <w:sz w:val="16"/>
                <w:szCs w:val="16"/>
              </w:rPr>
              <w:t>2.δ.2 Εξειδικευμένες μελέτες για στόχευση αγορών (market analysis), προϊόντων και συγκριτικής ανάλυσης του ανταγωνισμού*</w:t>
            </w:r>
          </w:p>
        </w:tc>
        <w:tc>
          <w:tcPr>
            <w:tcW w:w="1358" w:type="pct"/>
            <w:tcMar>
              <w:top w:w="40" w:type="dxa"/>
              <w:left w:w="40" w:type="dxa"/>
              <w:bottom w:w="40" w:type="dxa"/>
              <w:right w:w="40" w:type="dxa"/>
            </w:tcMar>
            <w:hideMark/>
          </w:tcPr>
          <w:p w:rsidR="004E26E5" w:rsidRPr="007F6EB5" w:rsidRDefault="004E26E5" w:rsidP="004E26E5">
            <w:pPr>
              <w:rPr>
                <w:sz w:val="16"/>
                <w:szCs w:val="16"/>
              </w:rPr>
            </w:pPr>
            <w:r w:rsidRPr="007F6EB5">
              <w:rPr>
                <w:sz w:val="16"/>
                <w:szCs w:val="16"/>
              </w:rPr>
              <w:t>3.δ Ανάπτυξη καινοτομικής κουλτούρας</w:t>
            </w:r>
          </w:p>
          <w:p w:rsidR="004E26E5" w:rsidRPr="007F6EB5" w:rsidRDefault="004E26E5" w:rsidP="002B3D16">
            <w:pPr>
              <w:rPr>
                <w:sz w:val="16"/>
                <w:szCs w:val="16"/>
              </w:rPr>
            </w:pPr>
            <w:r w:rsidRPr="007F6EB5">
              <w:rPr>
                <w:sz w:val="16"/>
                <w:szCs w:val="16"/>
              </w:rPr>
              <w:t>3.δ.1 Ανάπτυξη έργων επίδειξης και πιλοτικών έργων- εφαρμογής αποτελεσμάτων έρευνας</w:t>
            </w:r>
          </w:p>
          <w:p w:rsidR="004E26E5" w:rsidRPr="007F6EB5" w:rsidRDefault="004E26E5" w:rsidP="002B3D16">
            <w:pPr>
              <w:rPr>
                <w:sz w:val="16"/>
                <w:szCs w:val="16"/>
              </w:rPr>
            </w:pPr>
            <w:r w:rsidRPr="007F6EB5">
              <w:rPr>
                <w:sz w:val="16"/>
                <w:szCs w:val="16"/>
              </w:rPr>
              <w:t>3.δ.2 Ενίσχυση συμμετοχής σε διεθνείς επιστημονικές διοργανώσεις, διαγωνισμούς κλπ.</w:t>
            </w:r>
          </w:p>
          <w:p w:rsidR="004E26E5" w:rsidRPr="007F6EB5" w:rsidRDefault="004E26E5" w:rsidP="002B3D16">
            <w:pPr>
              <w:rPr>
                <w:b/>
                <w:sz w:val="16"/>
                <w:szCs w:val="16"/>
              </w:rPr>
            </w:pPr>
            <w:r w:rsidRPr="007F6EB5">
              <w:rPr>
                <w:sz w:val="16"/>
                <w:szCs w:val="16"/>
              </w:rPr>
              <w:t>3.δ.3 Προβολή κοινωνικής σημασίας έργου ΕΤΑΚ</w:t>
            </w:r>
          </w:p>
        </w:tc>
      </w:tr>
    </w:tbl>
    <w:p w:rsidR="00246249" w:rsidRPr="004E26E5" w:rsidRDefault="00246249" w:rsidP="004E26E5">
      <w:pPr>
        <w:rPr>
          <w:b/>
        </w:rPr>
      </w:pPr>
    </w:p>
    <w:p w:rsidR="004E26E5" w:rsidRPr="00D21C6A" w:rsidRDefault="004E26E5" w:rsidP="00D21C6A">
      <w:pPr>
        <w:pStyle w:val="Heading2"/>
      </w:pPr>
      <w:bookmarkStart w:id="3" w:name="_Toc22645103"/>
      <w:r w:rsidRPr="00D21C6A">
        <w:t>Σύστημα Διακυβέρνησης:</w:t>
      </w:r>
      <w:bookmarkEnd w:id="3"/>
    </w:p>
    <w:p w:rsidR="004E26E5" w:rsidRPr="004E26E5" w:rsidRDefault="004E26E5" w:rsidP="004E26E5">
      <w:r w:rsidRPr="004E26E5">
        <w:t>Για την μεγιστοποίηση των ωφελειών του συστήματος και την επίτευξη της έξυπνης εξειδίκευσης είναι απαραίτητος ο προκαθορισμός συγκεκριμένων ρόλων των εμπλεκομένων στο σύστημα</w:t>
      </w:r>
      <w:r w:rsidR="00874063">
        <w:t xml:space="preserve"> διακυβέρνησης της </w:t>
      </w:r>
      <w:r w:rsidR="00874063">
        <w:rPr>
          <w:lang w:val="en-US"/>
        </w:rPr>
        <w:t>RIS</w:t>
      </w:r>
      <w:r w:rsidR="009E19DB">
        <w:t>3</w:t>
      </w:r>
      <w:r w:rsidRPr="004E26E5">
        <w:t xml:space="preserve">. Στο παρακάτω Σχήμα, παρουσιάζεται το σύστημα διακυβέρνησης της Εθνικής </w:t>
      </w:r>
      <w:r w:rsidR="009E19DB">
        <w:rPr>
          <w:lang w:val="en-US"/>
        </w:rPr>
        <w:t>RIS</w:t>
      </w:r>
      <w:r w:rsidR="009E19DB">
        <w:t xml:space="preserve">3 </w:t>
      </w:r>
      <w:r w:rsidRPr="004E26E5">
        <w:t>και η διασύνδεσή του με τις  Περιφερειακές Στρατηγικές Έξυπνης Εξειδίκευσης.</w:t>
      </w:r>
    </w:p>
    <w:p w:rsidR="004E26E5" w:rsidRPr="004E26E5" w:rsidRDefault="004E26E5" w:rsidP="004E26E5">
      <w:pPr>
        <w:rPr>
          <w:b/>
          <w:i/>
        </w:rPr>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932044" w:rsidRDefault="00932044" w:rsidP="00BD4534">
      <w:pPr>
        <w:pStyle w:val="Caption"/>
      </w:pPr>
    </w:p>
    <w:p w:rsidR="004E26E5" w:rsidRPr="00874063" w:rsidRDefault="00BD4534" w:rsidP="00BD4534">
      <w:pPr>
        <w:pStyle w:val="Caption"/>
      </w:pPr>
      <w:r>
        <w:t xml:space="preserve">Διάγραμμα  </w:t>
      </w:r>
      <w:r w:rsidR="00833098">
        <w:rPr>
          <w:noProof/>
        </w:rPr>
        <w:fldChar w:fldCharType="begin"/>
      </w:r>
      <w:r w:rsidR="00833098">
        <w:rPr>
          <w:noProof/>
        </w:rPr>
        <w:instrText xml:space="preserve"> STYLEREF 1 \s </w:instrText>
      </w:r>
      <w:r w:rsidR="00833098">
        <w:rPr>
          <w:noProof/>
        </w:rPr>
        <w:fldChar w:fldCharType="separate"/>
      </w:r>
      <w:r w:rsidR="00332E24">
        <w:rPr>
          <w:noProof/>
        </w:rPr>
        <w:t>2</w:t>
      </w:r>
      <w:r w:rsidR="00833098">
        <w:rPr>
          <w:noProof/>
        </w:rPr>
        <w:fldChar w:fldCharType="end"/>
      </w:r>
      <w:r w:rsidR="00397ACE">
        <w:noBreakHyphen/>
      </w:r>
      <w:r w:rsidR="00833098">
        <w:rPr>
          <w:noProof/>
        </w:rPr>
        <w:fldChar w:fldCharType="begin"/>
      </w:r>
      <w:r w:rsidR="00833098">
        <w:rPr>
          <w:noProof/>
        </w:rPr>
        <w:instrText xml:space="preserve"> SEQ Διάγραμμα_ \* ARABIC \s 1 </w:instrText>
      </w:r>
      <w:r w:rsidR="00833098">
        <w:rPr>
          <w:noProof/>
        </w:rPr>
        <w:fldChar w:fldCharType="separate"/>
      </w:r>
      <w:r w:rsidR="00332E24">
        <w:rPr>
          <w:noProof/>
        </w:rPr>
        <w:t>1</w:t>
      </w:r>
      <w:r w:rsidR="00833098">
        <w:rPr>
          <w:noProof/>
        </w:rPr>
        <w:fldChar w:fldCharType="end"/>
      </w:r>
      <w:r>
        <w:t>:</w:t>
      </w:r>
      <w:r w:rsidR="004E26E5" w:rsidRPr="00874063">
        <w:t xml:space="preserve"> Σύστημα διακυβέρνησης της Εθνικής Στρατηγικής της Έξυπνης Εξειδίκευσης</w:t>
      </w:r>
    </w:p>
    <w:p w:rsidR="004E26E5" w:rsidRPr="004E26E5" w:rsidRDefault="004E26E5" w:rsidP="00913B2D">
      <w:pPr>
        <w:jc w:val="center"/>
      </w:pPr>
      <w:r w:rsidRPr="004E26E5">
        <w:rPr>
          <w:noProof/>
          <w:lang w:eastAsia="el-GR"/>
        </w:rPr>
        <w:drawing>
          <wp:inline distT="0" distB="0" distL="0" distR="0">
            <wp:extent cx="5143500" cy="3143250"/>
            <wp:effectExtent l="0" t="0" r="0" b="0"/>
            <wp:docPr id="46" name="Εικόνα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rsidR="004E26E5" w:rsidRDefault="004E26E5" w:rsidP="004E26E5">
      <w:r w:rsidRPr="004E26E5">
        <w:t>Με το</w:t>
      </w:r>
      <w:r w:rsidR="00932044">
        <w:t xml:space="preserve"> </w:t>
      </w:r>
      <w:r w:rsidR="00EC6E73">
        <w:t>συγκεκριμένο</w:t>
      </w:r>
      <w:r w:rsidRPr="004E26E5">
        <w:t xml:space="preserve"> σύστημα, εξασφαλίζεται η ενεργός συμμετοχή εκπροσώπων όλων των εμπλεκομένων καθώς και ο αποτελεσματικός συντονισμός μεταξύ των φορέων της κεντρικής διοίκησης και του περιφερειακού επιπέδου λειτουργίας του συστήματος. Έτσι, οι περιφερειακές στρατηγικές RIS3, </w:t>
      </w:r>
      <w:r w:rsidR="009E19DB" w:rsidRPr="004E26E5">
        <w:t>αλληλοεπιδρούν</w:t>
      </w:r>
      <w:r w:rsidRPr="004E26E5">
        <w:t xml:space="preserve"> με την εθνική RIS3 στις προτεραιότητες της έρευνας, της τεχνολογικής ανάπτυξης και της καινοτομίας και εξειδικεύουν τον σχεδιασμό, σύμφωνα με τα αποτελέσματα των διαδικασιών επιχειρηματικής ανακάλυψης.</w:t>
      </w:r>
    </w:p>
    <w:p w:rsidR="00287BD7" w:rsidRPr="004E26E5" w:rsidRDefault="00287BD7" w:rsidP="004E26E5"/>
    <w:p w:rsidR="004E26E5" w:rsidRPr="00874063" w:rsidRDefault="00874063" w:rsidP="00874063">
      <w:pPr>
        <w:pStyle w:val="Heading2"/>
      </w:pPr>
      <w:bookmarkStart w:id="4" w:name="_Toc22645104"/>
      <w:r w:rsidRPr="00874063">
        <w:t xml:space="preserve">H </w:t>
      </w:r>
      <w:r>
        <w:t xml:space="preserve">Ακαθάριστη Δαπάνη για </w:t>
      </w:r>
      <w:r w:rsidRPr="00874063">
        <w:t>Έρευνα &amp; Τεχνολογική Ανάπτυξη (ΑΕΔΕΤΑ)</w:t>
      </w:r>
      <w:bookmarkEnd w:id="4"/>
    </w:p>
    <w:p w:rsidR="004E26E5" w:rsidRPr="00874063" w:rsidRDefault="00874063" w:rsidP="004E26E5">
      <w:r>
        <w:t>Στρατηγικός σ</w:t>
      </w:r>
      <w:r w:rsidR="004E26E5" w:rsidRPr="00874063">
        <w:t xml:space="preserve">τόχος για τον δείκτη «Ακαθάριστη Δαπάνη για  Έρευνα &amp; </w:t>
      </w:r>
      <w:r>
        <w:t>Τεχνολογική Ανάπτυξη (ΑΕΔΕΤΑ)»  είναι να φθάσει στο</w:t>
      </w:r>
      <w:r w:rsidR="004E26E5" w:rsidRPr="00874063">
        <w:t xml:space="preserve"> 1,30% του ΑΕΠ το 2020</w:t>
      </w:r>
      <w:r w:rsidR="009E19DB">
        <w:t>.</w:t>
      </w:r>
    </w:p>
    <w:p w:rsidR="004E26E5" w:rsidRDefault="004E26E5" w:rsidP="004E26E5">
      <w:r w:rsidRPr="004E26E5">
        <w:t>Η Ακαθάριστη Δαπάνη για Έρευνα και Τεχνολογική Ανάπτυξη (ΑΕΔΕΤΑ) ήταν ιδιαίτερα  χαμηλή στην Ελλάδα, ειδικότερα σε ό</w:t>
      </w:r>
      <w:r w:rsidR="009E19DB">
        <w:t>,</w:t>
      </w:r>
      <w:r w:rsidRPr="004E26E5">
        <w:t>τι αφορά στον τομέα των επιχειρήσεων (ΔΕΠΕΤΑ). Η Ελλάδα συνήθως κατ</w:t>
      </w:r>
      <w:r w:rsidR="009E19DB">
        <w:t>α</w:t>
      </w:r>
      <w:r w:rsidRPr="004E26E5">
        <w:t>λάμβανε μια από τις τελευταίες θέσεις στις Ευρωπαϊκές συγκρίσεις αναφορικά με τους εν λόγω δείκτες. Ωστόσο, τα τελευταία χρόνια παρατηρείται αύξηση της Δαπάνης όχι μόνον ως ποσοστό του ΑΕΠ, πράγμα που θα μπορούσε να αποδοθεί στις επιπτώσεις της κρίσης, αλλά και σε απόλυτες τιμές.  Η καταγραφή των στοιχείων για το έτος 2017</w:t>
      </w:r>
      <w:r w:rsidRPr="004E26E5">
        <w:rPr>
          <w:vertAlign w:val="superscript"/>
          <w:lang w:val="en-US"/>
        </w:rPr>
        <w:footnoteReference w:id="2"/>
      </w:r>
      <w:r w:rsidRPr="004E26E5">
        <w:t>, δείχνει ότι η ανοδική πορεία της Ακαθάριστης Δαπάνης συνεχίζεται. Στο ακόλουθο διάγραμμα παρουσιάζεται αυτή  η αυξητική πορεία, ως δαπάνη σε απόλυτες τιμές και ως ποσοστό του ΑΕΠ.</w:t>
      </w:r>
    </w:p>
    <w:p w:rsidR="00246249" w:rsidRDefault="00246249" w:rsidP="004E26E5"/>
    <w:p w:rsidR="00246249" w:rsidRDefault="00246249" w:rsidP="004E26E5"/>
    <w:p w:rsidR="00246249" w:rsidRDefault="00246249" w:rsidP="004E26E5"/>
    <w:p w:rsidR="003D021E" w:rsidRDefault="003D021E" w:rsidP="00874063">
      <w:pPr>
        <w:jc w:val="center"/>
        <w:rPr>
          <w:b/>
          <w:sz w:val="16"/>
          <w:szCs w:val="16"/>
        </w:rPr>
      </w:pPr>
    </w:p>
    <w:p w:rsidR="00932044" w:rsidRDefault="00932044" w:rsidP="00874063">
      <w:pPr>
        <w:jc w:val="center"/>
        <w:rPr>
          <w:b/>
          <w:sz w:val="16"/>
          <w:szCs w:val="16"/>
        </w:rPr>
      </w:pPr>
    </w:p>
    <w:p w:rsidR="00932044" w:rsidRDefault="00932044" w:rsidP="00874063">
      <w:pPr>
        <w:jc w:val="center"/>
        <w:rPr>
          <w:b/>
          <w:sz w:val="16"/>
          <w:szCs w:val="16"/>
        </w:rPr>
      </w:pPr>
    </w:p>
    <w:p w:rsidR="00932044" w:rsidRDefault="00932044" w:rsidP="00874063">
      <w:pPr>
        <w:jc w:val="center"/>
        <w:rPr>
          <w:b/>
          <w:sz w:val="16"/>
          <w:szCs w:val="16"/>
        </w:rPr>
      </w:pPr>
    </w:p>
    <w:p w:rsidR="00932044" w:rsidRDefault="00932044" w:rsidP="00874063">
      <w:pPr>
        <w:jc w:val="center"/>
        <w:rPr>
          <w:b/>
          <w:sz w:val="16"/>
          <w:szCs w:val="16"/>
        </w:rPr>
      </w:pPr>
    </w:p>
    <w:p w:rsidR="00932044" w:rsidRDefault="00DB0F8F" w:rsidP="00DB0F8F">
      <w:pPr>
        <w:tabs>
          <w:tab w:val="left" w:pos="449"/>
        </w:tabs>
        <w:rPr>
          <w:b/>
          <w:sz w:val="16"/>
          <w:szCs w:val="16"/>
        </w:rPr>
      </w:pPr>
      <w:r>
        <w:rPr>
          <w:b/>
          <w:sz w:val="16"/>
          <w:szCs w:val="16"/>
        </w:rPr>
        <w:tab/>
      </w:r>
    </w:p>
    <w:p w:rsidR="00932044" w:rsidRDefault="00932044" w:rsidP="00874063">
      <w:pPr>
        <w:jc w:val="center"/>
        <w:rPr>
          <w:b/>
          <w:sz w:val="16"/>
          <w:szCs w:val="16"/>
        </w:rPr>
      </w:pPr>
    </w:p>
    <w:p w:rsidR="00874063" w:rsidRPr="00874063" w:rsidRDefault="00C10F81" w:rsidP="00C10F81">
      <w:pPr>
        <w:pStyle w:val="Caption"/>
        <w:rPr>
          <w:szCs w:val="16"/>
          <w:lang w:val="en-US"/>
        </w:rPr>
      </w:pPr>
      <w:r>
        <w:t>Διάγραμμα</w:t>
      </w:r>
      <w:r w:rsidRPr="00C10F81">
        <w:rPr>
          <w:lang w:val="en-US"/>
        </w:rPr>
        <w:t xml:space="preserve">  </w:t>
      </w:r>
      <w:r w:rsidR="00397ACE">
        <w:rPr>
          <w:lang w:val="en-US"/>
        </w:rPr>
        <w:fldChar w:fldCharType="begin"/>
      </w:r>
      <w:r w:rsidR="00397ACE">
        <w:rPr>
          <w:lang w:val="en-US"/>
        </w:rPr>
        <w:instrText xml:space="preserve"> STYLEREF 1 \s </w:instrText>
      </w:r>
      <w:r w:rsidR="00397ACE">
        <w:rPr>
          <w:lang w:val="en-US"/>
        </w:rPr>
        <w:fldChar w:fldCharType="separate"/>
      </w:r>
      <w:r w:rsidR="00332E24">
        <w:rPr>
          <w:noProof/>
          <w:lang w:val="en-US"/>
        </w:rPr>
        <w:t>2</w:t>
      </w:r>
      <w:r w:rsidR="00397ACE">
        <w:rPr>
          <w:lang w:val="en-US"/>
        </w:rPr>
        <w:fldChar w:fldCharType="end"/>
      </w:r>
      <w:r w:rsidR="00397ACE">
        <w:rPr>
          <w:lang w:val="en-US"/>
        </w:rPr>
        <w:noBreakHyphen/>
      </w:r>
      <w:r w:rsidR="00397ACE">
        <w:rPr>
          <w:lang w:val="en-US"/>
        </w:rPr>
        <w:fldChar w:fldCharType="begin"/>
      </w:r>
      <w:r w:rsidR="00397ACE">
        <w:rPr>
          <w:lang w:val="en-US"/>
        </w:rPr>
        <w:instrText xml:space="preserve"> SEQ Διάγραμμα_ \* ARABIC \s 1 </w:instrText>
      </w:r>
      <w:r w:rsidR="00397ACE">
        <w:rPr>
          <w:lang w:val="en-US"/>
        </w:rPr>
        <w:fldChar w:fldCharType="separate"/>
      </w:r>
      <w:r w:rsidR="00332E24">
        <w:rPr>
          <w:noProof/>
          <w:lang w:val="en-US"/>
        </w:rPr>
        <w:t>2</w:t>
      </w:r>
      <w:r w:rsidR="00397ACE">
        <w:rPr>
          <w:lang w:val="en-US"/>
        </w:rPr>
        <w:fldChar w:fldCharType="end"/>
      </w:r>
      <w:r w:rsidRPr="00C10F81">
        <w:rPr>
          <w:lang w:val="en-US"/>
        </w:rPr>
        <w:t xml:space="preserve"> </w:t>
      </w:r>
      <w:r w:rsidR="00874063">
        <w:rPr>
          <w:szCs w:val="16"/>
          <w:lang w:val="en-US"/>
        </w:rPr>
        <w:t>Greece R&amp;D expenditure and intensity 2011-2017</w:t>
      </w:r>
    </w:p>
    <w:p w:rsidR="004E26E5" w:rsidRPr="004E26E5" w:rsidRDefault="004E26E5" w:rsidP="00913B2D">
      <w:pPr>
        <w:jc w:val="center"/>
      </w:pPr>
      <w:r w:rsidRPr="004E26E5">
        <w:rPr>
          <w:noProof/>
          <w:lang w:eastAsia="el-GR"/>
        </w:rPr>
        <w:drawing>
          <wp:inline distT="0" distB="0" distL="0" distR="0">
            <wp:extent cx="5124450" cy="3038475"/>
            <wp:effectExtent l="0" t="0" r="0" b="0"/>
            <wp:docPr id="45" name="Γράφημα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E26E5" w:rsidRPr="004E26E5" w:rsidRDefault="004E26E5" w:rsidP="004E26E5">
      <w:r w:rsidRPr="004E26E5">
        <w:t>Σε ό</w:t>
      </w:r>
      <w:r w:rsidR="00760DF6">
        <w:t>,</w:t>
      </w:r>
      <w:r w:rsidRPr="004E26E5">
        <w:t xml:space="preserve">τι αφορά </w:t>
      </w:r>
      <w:r w:rsidR="009E19DB">
        <w:t>σ</w:t>
      </w:r>
      <w:r w:rsidRPr="004E26E5">
        <w:t>τους επιμέρους τομείς υλοποίησης των δαπανών, καταγράφεται, παρά τις δυσμενείς οικονομικές συνθήκες, σημαντική αύξηση των δαπανών σε Ε&amp;Α στον τομέα των Επιχειρήσεων (τομέας BES). Η μείωση της δαπάνης στον κρατικό τομέα (</w:t>
      </w:r>
      <w:r w:rsidRPr="004E26E5">
        <w:rPr>
          <w:lang w:val="en-US"/>
        </w:rPr>
        <w:t>GOV</w:t>
      </w:r>
      <w:r w:rsidRPr="004E26E5">
        <w:t>) και στον τομέα της τριτοβάθμιας και μετα</w:t>
      </w:r>
      <w:r w:rsidR="00B55F42">
        <w:t>-</w:t>
      </w:r>
      <w:r w:rsidRPr="004E26E5">
        <w:t>δευτεροβάθμιας εκπαίδευσης (</w:t>
      </w:r>
      <w:r w:rsidRPr="004E26E5">
        <w:rPr>
          <w:lang w:val="en-US"/>
        </w:rPr>
        <w:t>HES</w:t>
      </w:r>
      <w:r w:rsidRPr="004E26E5">
        <w:t>) το 2016 συμπίπτει με την μεταβατική φάση μεταξύ των Προγραμματικών Περιόδων 20</w:t>
      </w:r>
      <w:r w:rsidR="00B55F42">
        <w:t>0</w:t>
      </w:r>
      <w:r w:rsidRPr="004E26E5">
        <w:t>7-2013 και 2014-2020 και δικαιολογείται από την περιορισμένη ενεργοποίηση των χρηματοδοτήσεων του ΕΣΠΑ 2014-2020. Η εξέλιξη όλων των τομέων (Επιχειρήσεων-</w:t>
      </w:r>
      <w:r w:rsidRPr="004E26E5">
        <w:rPr>
          <w:lang w:val="en-US"/>
        </w:rPr>
        <w:t>BES</w:t>
      </w:r>
      <w:r w:rsidRPr="004E26E5">
        <w:t>, Κράτους-</w:t>
      </w:r>
      <w:r w:rsidRPr="004E26E5">
        <w:rPr>
          <w:lang w:val="en-US"/>
        </w:rPr>
        <w:t>GOV</w:t>
      </w:r>
      <w:r w:rsidRPr="004E26E5">
        <w:t xml:space="preserve">, </w:t>
      </w:r>
      <w:r w:rsidR="00B55F42">
        <w:t>Τ</w:t>
      </w:r>
      <w:r w:rsidRPr="004E26E5">
        <w:t>ριτοβάθμιας και μετα</w:t>
      </w:r>
      <w:r w:rsidR="00B55F42">
        <w:t>-</w:t>
      </w:r>
      <w:r w:rsidRPr="004E26E5">
        <w:t>δευτεροβάθμιας εκπαίδευσης-</w:t>
      </w:r>
      <w:r w:rsidRPr="004E26E5">
        <w:rPr>
          <w:lang w:val="en-US"/>
        </w:rPr>
        <w:t>HES</w:t>
      </w:r>
      <w:r w:rsidRPr="004E26E5">
        <w:t xml:space="preserve"> και Ιδιωτικών Μη Κερδοσκοπικών Ιδρυμάτων-PNP) παρουσιάζεται στο ακόλουθο διάγραμμα.</w:t>
      </w:r>
    </w:p>
    <w:p w:rsidR="00B51735" w:rsidRDefault="00B51735" w:rsidP="00874063">
      <w:pPr>
        <w:jc w:val="center"/>
        <w:rPr>
          <w:b/>
          <w:sz w:val="16"/>
          <w:szCs w:val="16"/>
        </w:rPr>
      </w:pPr>
    </w:p>
    <w:p w:rsidR="00874063" w:rsidRPr="00874063" w:rsidRDefault="00C10F81" w:rsidP="00C10F81">
      <w:pPr>
        <w:pStyle w:val="Caption"/>
        <w:rPr>
          <w:szCs w:val="16"/>
          <w:lang w:val="en-US"/>
        </w:rPr>
      </w:pPr>
      <w:r>
        <w:t>Διάγραμμα</w:t>
      </w:r>
      <w:r w:rsidRPr="00C10F81">
        <w:rPr>
          <w:lang w:val="en-US"/>
        </w:rPr>
        <w:t xml:space="preserve">  </w:t>
      </w:r>
      <w:r w:rsidR="00397ACE">
        <w:rPr>
          <w:lang w:val="en-US"/>
        </w:rPr>
        <w:fldChar w:fldCharType="begin"/>
      </w:r>
      <w:r w:rsidR="00397ACE">
        <w:rPr>
          <w:lang w:val="en-US"/>
        </w:rPr>
        <w:instrText xml:space="preserve"> STYLEREF 1 \s </w:instrText>
      </w:r>
      <w:r w:rsidR="00397ACE">
        <w:rPr>
          <w:lang w:val="en-US"/>
        </w:rPr>
        <w:fldChar w:fldCharType="separate"/>
      </w:r>
      <w:r w:rsidR="00332E24">
        <w:rPr>
          <w:noProof/>
          <w:lang w:val="en-US"/>
        </w:rPr>
        <w:t>2</w:t>
      </w:r>
      <w:r w:rsidR="00397ACE">
        <w:rPr>
          <w:lang w:val="en-US"/>
        </w:rPr>
        <w:fldChar w:fldCharType="end"/>
      </w:r>
      <w:r w:rsidR="00397ACE">
        <w:rPr>
          <w:lang w:val="en-US"/>
        </w:rPr>
        <w:noBreakHyphen/>
      </w:r>
      <w:r w:rsidR="00397ACE">
        <w:rPr>
          <w:lang w:val="en-US"/>
        </w:rPr>
        <w:fldChar w:fldCharType="begin"/>
      </w:r>
      <w:r w:rsidR="00397ACE">
        <w:rPr>
          <w:lang w:val="en-US"/>
        </w:rPr>
        <w:instrText xml:space="preserve"> SEQ Διάγραμμα_ \* ARABIC \s 1 </w:instrText>
      </w:r>
      <w:r w:rsidR="00397ACE">
        <w:rPr>
          <w:lang w:val="en-US"/>
        </w:rPr>
        <w:fldChar w:fldCharType="separate"/>
      </w:r>
      <w:r w:rsidR="00332E24">
        <w:rPr>
          <w:noProof/>
          <w:lang w:val="en-US"/>
        </w:rPr>
        <w:t>3</w:t>
      </w:r>
      <w:r w:rsidR="00397ACE">
        <w:rPr>
          <w:lang w:val="en-US"/>
        </w:rPr>
        <w:fldChar w:fldCharType="end"/>
      </w:r>
      <w:r w:rsidR="00874063" w:rsidRPr="00874063">
        <w:rPr>
          <w:szCs w:val="16"/>
          <w:lang w:val="en-US"/>
        </w:rPr>
        <w:t xml:space="preserve">: </w:t>
      </w:r>
      <w:r w:rsidR="00874063">
        <w:rPr>
          <w:szCs w:val="16"/>
          <w:lang w:val="en-US"/>
        </w:rPr>
        <w:t>Greece R&amp;D expenditure by sector of performance 2011-2017</w:t>
      </w:r>
    </w:p>
    <w:p w:rsidR="004E26E5" w:rsidRPr="004E26E5" w:rsidRDefault="004E26E5" w:rsidP="00913B2D">
      <w:pPr>
        <w:jc w:val="center"/>
      </w:pPr>
      <w:r w:rsidRPr="004E26E5">
        <w:rPr>
          <w:noProof/>
          <w:lang w:eastAsia="el-GR"/>
        </w:rPr>
        <w:drawing>
          <wp:inline distT="0" distB="0" distL="0" distR="0">
            <wp:extent cx="5324475" cy="2905125"/>
            <wp:effectExtent l="0" t="0" r="0" b="0"/>
            <wp:docPr id="44" name="Γράφημα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E26E5" w:rsidRPr="004E26E5" w:rsidRDefault="004E26E5" w:rsidP="004E26E5">
      <w:r w:rsidRPr="007E68E7">
        <w:lastRenderedPageBreak/>
        <w:t>Με βάση τα παραπάνω στοιχεία, η πρόβλεψη για ΑΕΔΕΤΑ στο 1,25% του ΑΕΠ για το 2020, όχι μόνο παραμένει εφικτή, αλλά αναθεωρείται προς τα πάνω στο 1,30%. Σημειώνεται</w:t>
      </w:r>
      <w:r w:rsidRPr="004E26E5">
        <w:t xml:space="preserve">, ότι ο στόχος αφορά τη συνολική εθνική στρατηγική για τη διαμόρφωση ενός νέου παραγωγικού προτύπου ανάπτυξης που θα στηρίζεται στην ένταση Γνώσης και δεν αποτελεί μόνο στόχο του ΕΣΠΑ 2014-2020, καθώς οι σχετικές δαπάνες των Ευρωπαϊκών Διαρθρωτικών και Επενδυτικών Ταμείων (ΕΔΕΤ) </w:t>
      </w:r>
      <w:r w:rsidR="00B55F42">
        <w:t>επί των</w:t>
      </w:r>
      <w:r w:rsidRPr="004E26E5">
        <w:t xml:space="preserve"> συνολικ</w:t>
      </w:r>
      <w:r w:rsidR="00B55F42">
        <w:t>ών</w:t>
      </w:r>
      <w:r w:rsidR="00447512">
        <w:t xml:space="preserve"> δαπανών</w:t>
      </w:r>
      <w:r w:rsidR="00B55F42">
        <w:t>,</w:t>
      </w:r>
      <w:r w:rsidRPr="004E26E5">
        <w:t xml:space="preserve"> αποτελούν λιγότερο από το 15%. </w:t>
      </w:r>
    </w:p>
    <w:p w:rsidR="00A12A57" w:rsidRDefault="00A12A57" w:rsidP="00A12A57">
      <w:pPr>
        <w:pStyle w:val="Heading2"/>
      </w:pPr>
      <w:bookmarkStart w:id="5" w:name="_Toc22645105"/>
      <w:r>
        <w:t xml:space="preserve">Βασικές </w:t>
      </w:r>
      <w:r w:rsidR="00B51735">
        <w:t xml:space="preserve">πολιτικές και </w:t>
      </w:r>
      <w:r>
        <w:t>δράσεις της στρατηγικής</w:t>
      </w:r>
      <w:bookmarkEnd w:id="5"/>
    </w:p>
    <w:p w:rsidR="004E26E5" w:rsidRPr="004E26E5" w:rsidRDefault="004E26E5" w:rsidP="004E26E5">
      <w:r w:rsidRPr="004E26E5">
        <w:t xml:space="preserve">Η υλοποίηση </w:t>
      </w:r>
      <w:r w:rsidR="00B51735">
        <w:t>της Στρατηγικής της</w:t>
      </w:r>
      <w:r w:rsidRPr="004E26E5">
        <w:t xml:space="preserve"> Έξυπνης Εξειδίκευσης (</w:t>
      </w:r>
      <w:r w:rsidRPr="004E26E5">
        <w:rPr>
          <w:lang w:val="en-US"/>
        </w:rPr>
        <w:t>RIS</w:t>
      </w:r>
      <w:r w:rsidR="00B51735">
        <w:t xml:space="preserve">3), </w:t>
      </w:r>
      <w:r w:rsidRPr="004E26E5">
        <w:t>αποτελεί σημαντικό παράγοντα για την επίτευξη του στόχου</w:t>
      </w:r>
      <w:r w:rsidR="00A12A57">
        <w:t xml:space="preserve"> αύξησης της ΑΔΕΤΑ</w:t>
      </w:r>
      <w:r w:rsidRPr="004E26E5">
        <w:t>.</w:t>
      </w:r>
      <w:r w:rsidR="00450C14" w:rsidRPr="00450C14">
        <w:t xml:space="preserve"> </w:t>
      </w:r>
      <w:r w:rsidR="00450C14">
        <w:t xml:space="preserve">Στο πλαίσιο αυτό, η εφαρμογή της </w:t>
      </w:r>
      <w:r w:rsidR="002335DD">
        <w:t xml:space="preserve">στρατηγικής </w:t>
      </w:r>
      <w:r w:rsidR="00450C14" w:rsidRPr="004E26E5">
        <w:t>RIS3</w:t>
      </w:r>
      <w:r w:rsidR="00450C14">
        <w:t xml:space="preserve"> </w:t>
      </w:r>
      <w:r w:rsidR="00450C14" w:rsidRPr="004E26E5">
        <w:t xml:space="preserve">βρίσκεται σε πλήρη εξέλιξη με στόχο την ενίσχυση της ανταγωνιστικότητας των επιχειρήσεων και τη διασύνδεση της Έρευνας με την Επιχειρηματικότητα, </w:t>
      </w:r>
      <w:r w:rsidRPr="004E26E5">
        <w:t xml:space="preserve"> Ειδικότερα, σημειώνονται τα παρακάτω:</w:t>
      </w:r>
    </w:p>
    <w:p w:rsidR="004E26E5" w:rsidRPr="004E26E5" w:rsidRDefault="004E26E5" w:rsidP="00137C5D">
      <w:pPr>
        <w:numPr>
          <w:ilvl w:val="0"/>
          <w:numId w:val="22"/>
        </w:numPr>
      </w:pPr>
      <w:r w:rsidRPr="004E26E5">
        <w:t xml:space="preserve">Προβλέπεται η ενίσχυση των ερευνητικών υποδομών και της πρόσβασης σε αυτές με πόρους που αγγίζουν τα 200 εκ. €, με στόχο την προώθηση της Αριστείας και τη διασύνδεση με την επιχειρηματικότητα. </w:t>
      </w:r>
    </w:p>
    <w:p w:rsidR="004E26E5" w:rsidRPr="004E26E5" w:rsidRDefault="004E26E5" w:rsidP="00137C5D">
      <w:pPr>
        <w:numPr>
          <w:ilvl w:val="0"/>
          <w:numId w:val="22"/>
        </w:numPr>
      </w:pPr>
      <w:r w:rsidRPr="004E26E5">
        <w:t>Σε σχέση με το ΕΣΠΑ 2007-2013</w:t>
      </w:r>
      <w:r w:rsidR="002335DD">
        <w:t>,</w:t>
      </w:r>
      <w:r w:rsidRPr="004E26E5">
        <w:t xml:space="preserve"> η χρηματοδότηση της ΕΤΑΚ από το ΕΣΠΑ/ΣΕΣ 2014-2020 είναι αυξημένη. Ο Θεματικός Στόχος 1 (Έρευνα και Καινοτομία) διαθέτει περίπου 1,25 δις € κοινοτικής συνδρομής, τα οποία με την εθνική συμμετοχή θα προσεγγίσουν τα 1,5 δις. € περίπου, ποσό αυξημένο κατά 50% σε σχέση με τον προϋπολογισμό της προηγούμενης προγραμματικής περιόδου που ανερχόταν σε 1 δις € δημοσίας δαπάνης. </w:t>
      </w:r>
    </w:p>
    <w:p w:rsidR="004E26E5" w:rsidRPr="004E26E5" w:rsidRDefault="004E26E5" w:rsidP="00137C5D">
      <w:pPr>
        <w:numPr>
          <w:ilvl w:val="0"/>
          <w:numId w:val="22"/>
        </w:numPr>
      </w:pPr>
      <w:r w:rsidRPr="004E26E5">
        <w:t>Σημειώθηκε σημαντικό ενδιαφέρον από τις επιχειρήσεις το 2017 στην προκήρυξη του Α’ κύκλου της δράσης ΕΡΕΥΝΩ-ΔΗΜΙΟΥΡΓΩ-ΚΑΙΝΟΤΟΜΩ (δράση του Επιχειρησιακού Προγράμματος «Επιχειρηματικότητα, Ανταγωνιστικότητα και Καινο</w:t>
      </w:r>
      <w:r w:rsidR="00A12A57">
        <w:t>τομία»/ΕΠΑνΕΚ του ΕΣΠΑ 2014-20)</w:t>
      </w:r>
      <w:r w:rsidR="001B79CF">
        <w:t xml:space="preserve"> (βλ. αναλυτικότερα στο κεφ. 2 της Έκθεσης)</w:t>
      </w:r>
    </w:p>
    <w:p w:rsidR="004E26E5" w:rsidRPr="004E26E5" w:rsidRDefault="004E26E5" w:rsidP="004E26E5">
      <w:r w:rsidRPr="004E26E5">
        <w:t>Επιπρόσθετα:</w:t>
      </w:r>
    </w:p>
    <w:p w:rsidR="00A12A57" w:rsidRPr="004E26E5" w:rsidRDefault="004E26E5" w:rsidP="00137C5D">
      <w:pPr>
        <w:numPr>
          <w:ilvl w:val="0"/>
          <w:numId w:val="22"/>
        </w:numPr>
      </w:pPr>
      <w:r w:rsidRPr="004E26E5">
        <w:t>Η Έρευνα ενισχύεται με πρόσθετους πόρους συνολικού ύψους 240 εκ. € για την περίοδο 2017-2019, η οποία προήλθε από την υπογραφή συμφωνίας χρηματοδότησης του Ελληνικού Δημοσίου με την Ευρωπαϊκή Τράπεζα Επενδύσεων και τη δημιουργία του Ελληνικού Ιδρύματος Έρευνας &amp; Καινοτομίας (</w:t>
      </w:r>
      <w:r w:rsidRPr="00A12A57">
        <w:rPr>
          <w:b/>
        </w:rPr>
        <w:t>ΕΛΙΔΕΚ</w:t>
      </w:r>
      <w:r w:rsidRPr="004E26E5">
        <w:t>). Ο συγκεκριμένος φορέας διαχειρίζεται τα κονδύλια αυτά με κύριο στόχο την υποστήριξη του ανθρώπινου ερευνητικού δυναμικού στη χώρα. Αναφέρεται ότι, το 2017 προκηρύχθηκαν και υλοποιούνται από το ΕΛΙΔΕΚ δράσεις συνο</w:t>
      </w:r>
      <w:r w:rsidR="00A12A57">
        <w:t>λικού προϋπολογισμού 100 εκ. € (βλ</w:t>
      </w:r>
      <w:r w:rsidR="002335DD">
        <w:t>.</w:t>
      </w:r>
      <w:r w:rsidR="00A12A57">
        <w:t xml:space="preserve"> αναλυτικότερα στο κεφ. 2 της Έκθεσης)</w:t>
      </w:r>
    </w:p>
    <w:p w:rsidR="00EB4327" w:rsidRPr="00EB4327" w:rsidRDefault="00EB4327" w:rsidP="001B2DD1">
      <w:pPr>
        <w:pStyle w:val="ListParagraph"/>
        <w:numPr>
          <w:ilvl w:val="0"/>
          <w:numId w:val="22"/>
        </w:numPr>
      </w:pPr>
      <w:r w:rsidRPr="00EB4327">
        <w:t xml:space="preserve">Σχεδιάζεται σειρά </w:t>
      </w:r>
      <w:r w:rsidRPr="00EB4327">
        <w:rPr>
          <w:b/>
        </w:rPr>
        <w:t>εμβληματικών πρωτοβουλιών</w:t>
      </w:r>
      <w:r w:rsidRPr="00EB4327">
        <w:t xml:space="preserve"> που αποτελούν οριζόντιες δράσεις σε επιστημονικούς τομείς με ισχυρή κοινωνική διάσταση και δυναμική καινοτομίας όπως το Εθνικό Δίκτυο Ιατρικής Ακριβείας στην Ογκολογία, τα Καρδιαγγειακά Νοσήματα και τις Γενετικές Νευροεκφυλιστικές Παθήσεις (για αποτελεσματικότερες και μειωμένου κόστους θεραπείες μοριακής ιατρικής, προσβάσιμες για τους πολίτες από το Δημόσιο Σύστημα Υγείας), το Εθνικό Δίκτυο Αγροδιατροφής (για την ανάδειξη των ποιοτικών χαρακτηριστικών παραδοσιακών προϊόντων όπως Ελιά, Αμπέλι, Μέλισσα) και το Εθνικό Δίκτυο Κλιματικής Αλλαγής (για τη μελέτη και την έγκυρη ενημέρωση στην αντιμετώπιση ακραίων φυσικών φαινομένων). Για τις εμβληματικές πρωτοβουλίες προβλέπονται εθνικοί πόροι ύψους 25 εκ.€.</w:t>
      </w:r>
    </w:p>
    <w:p w:rsidR="004E26E5" w:rsidRDefault="004E26E5" w:rsidP="00137C5D">
      <w:pPr>
        <w:numPr>
          <w:ilvl w:val="0"/>
          <w:numId w:val="22"/>
        </w:numPr>
      </w:pPr>
      <w:r w:rsidRPr="004E26E5">
        <w:t xml:space="preserve">Εξασφαλίσθηκαν </w:t>
      </w:r>
      <w:r w:rsidRPr="00B51735">
        <w:rPr>
          <w:b/>
        </w:rPr>
        <w:t>κονδύλια του εθνικού ΠΔΕ</w:t>
      </w:r>
      <w:r w:rsidRPr="004E26E5">
        <w:t xml:space="preserve"> ύψους 10 εκ. € για τη συμμετοχή της Ελλάδας στην Ευρωμεσογειακή πρωτοβουλία </w:t>
      </w:r>
      <w:r w:rsidRPr="00A12A57">
        <w:rPr>
          <w:lang w:val="en-US"/>
        </w:rPr>
        <w:t>PRIMA</w:t>
      </w:r>
      <w:r w:rsidRPr="004E26E5">
        <w:t xml:space="preserve"> και τη χρηματοδότηση των ελληνικών φορέων που συμμετέχουν επιτυχώς στις προκηρύξεις του. Επιπλέον, οι ελληνικοί φορείς θα διεκδικήσουν χρηματοδότηση και μέσω άλλων ανταγωνιστικών προκηρύξεων του προγράμματος </w:t>
      </w:r>
      <w:r w:rsidRPr="00A12A57">
        <w:rPr>
          <w:lang w:val="en-US"/>
        </w:rPr>
        <w:t>PRIMA</w:t>
      </w:r>
      <w:r w:rsidRPr="004E26E5">
        <w:t xml:space="preserve"> οι οποίες θα χρηματοδοτηθούν εξ ολοκλήρου από τον Ορίζοντα 2020. </w:t>
      </w:r>
    </w:p>
    <w:p w:rsidR="004E26E5" w:rsidRDefault="004E26E5" w:rsidP="00137C5D">
      <w:pPr>
        <w:numPr>
          <w:ilvl w:val="0"/>
          <w:numId w:val="22"/>
        </w:numPr>
      </w:pPr>
      <w:r w:rsidRPr="004E26E5">
        <w:t xml:space="preserve">Το Ευρωπαϊκό </w:t>
      </w:r>
      <w:r w:rsidRPr="00B51735">
        <w:rPr>
          <w:b/>
        </w:rPr>
        <w:t xml:space="preserve">Πρόγραμμα </w:t>
      </w:r>
      <w:r w:rsidRPr="00B51735">
        <w:rPr>
          <w:b/>
          <w:lang w:val="en-US"/>
        </w:rPr>
        <w:t>Horizon</w:t>
      </w:r>
      <w:r w:rsidRPr="00B51735">
        <w:rPr>
          <w:b/>
        </w:rPr>
        <w:t xml:space="preserve"> 2020</w:t>
      </w:r>
      <w:r w:rsidRPr="004E26E5">
        <w:t xml:space="preserve"> διαθέτει αυξημένο προϋπολογισμό κατά 30% του σε σχέση με αυτόν του 7</w:t>
      </w:r>
      <w:r w:rsidRPr="00B51735">
        <w:rPr>
          <w:vertAlign w:val="superscript"/>
        </w:rPr>
        <w:t>ου</w:t>
      </w:r>
      <w:r w:rsidRPr="004E26E5">
        <w:t xml:space="preserve"> Προγράμματος Πλαισίου για την ΕΤΑΚ (</w:t>
      </w:r>
      <w:r w:rsidRPr="00B51735">
        <w:rPr>
          <w:lang w:val="en-US"/>
        </w:rPr>
        <w:t>FP</w:t>
      </w:r>
      <w:r w:rsidRPr="004E26E5">
        <w:t xml:space="preserve">7), ενώ οι μέχρι τώρα επιδόσεις των δημόσιων ερευνητικών φορέων και των επιχειρήσεων στην επιτυχή διεκδίκηση ερευνητικών έργων από τις προσκλήσεις του  </w:t>
      </w:r>
      <w:r w:rsidRPr="00B51735">
        <w:rPr>
          <w:lang w:val="en-US"/>
        </w:rPr>
        <w:t>Horizon</w:t>
      </w:r>
      <w:r w:rsidRPr="004E26E5">
        <w:t xml:space="preserve"> 2020 είναι πολύ καλές.</w:t>
      </w:r>
    </w:p>
    <w:p w:rsidR="00450C14" w:rsidRDefault="00450C14" w:rsidP="00137C5D">
      <w:pPr>
        <w:numPr>
          <w:ilvl w:val="0"/>
          <w:numId w:val="22"/>
        </w:numPr>
      </w:pPr>
      <w:r w:rsidRPr="00450C14">
        <w:lastRenderedPageBreak/>
        <w:t xml:space="preserve">Το </w:t>
      </w:r>
      <w:r w:rsidRPr="00450C14">
        <w:rPr>
          <w:b/>
        </w:rPr>
        <w:t>Υπερταμείο Equifund</w:t>
      </w:r>
      <w:r w:rsidRPr="00450C14">
        <w:t>, μια πρωτοβουλία μεταξύ ελληνικής κυβέρνησης και Ευρωπαϊκού Ταμείου Επενδύσεων. Ειδικότερα μέσω του υπο-ταμείου “Παράθυρο Καινοτομίας» (Innovation Window), επιδιώκεται η τόνωση της ρευστότητας των νέων καινοτόμων και spin off/out επιχειρήσεων και η μόχλευση ιδιωτικών επενδύσεων. Το Παράθυρο Καινοτομίας περιλαμβάνει το Ταμείο Μεταφοράς Τεχνολογίας (Technology Transfer Fund - TT Fund) και το Ταμείο Επιτάχυνσης (Accelerator Fund). Το TT Fund στοχεύει έργα ή/και εταιρείες (SMEs) προερχόμενες από ΑΕΙ, Ερευνητικά κέντρα ή άλλους οργανισμούς με σημαντική ερευνητική δραστηριότητα. Ο στόχος είναι η αξιοποίηση ερευνητικών αποτελεσμάτων που βρίσκονται σε σχετικό επίπεδο τεχνολογικής ετοιμότητας, η διαμόρφωση επιχειρηματικών σχεδίων και η εμπορική αξιοποίησή τους.</w:t>
      </w:r>
    </w:p>
    <w:p w:rsidR="004E26E5" w:rsidRPr="004E26E5" w:rsidRDefault="00B51735" w:rsidP="00B51735">
      <w:r>
        <w:t>Από την άλλη</w:t>
      </w:r>
      <w:r w:rsidR="007E68E7">
        <w:t>,</w:t>
      </w:r>
      <w:r>
        <w:t xml:space="preserve"> η </w:t>
      </w:r>
      <w:r w:rsidR="004E26E5" w:rsidRPr="004E26E5">
        <w:t xml:space="preserve">αύξηση της δαπάνης κατά 33,8% για ΕΤΑΚ των επιχειρήσεων στο δυσμενές οικονομικό περιβάλλον το 2017, ενδεχομένως οφείλεται στο γεγονός ότι οι επιχειρήσεις έχουν συνειδητοποιήσει ότι η ενίσχυση της ανταγωνιστικότητάς τους περνά μέσα από την αύξηση της ερευνητικής και καινοτομικής τους δραστηριότητας. Αναμένεται κατά συνέπεια, μέσω και της ιδιωτικής μόχλευσης που θα προέλθει επιπρόσθετα στους παραπάνω δημόσιους πόρους, αυξημένη χρηματοδότηση της ΕΤΑΚ από τις επιχειρήσεις. Τονίζεται ότι ο επιμέρους στόχος που έχει τεθεί για το 2020, για Ε&amp;Α από τις επιχειρήσεις στο 0,38% του ΑΕΠ, έχει ήδη ξεπεραστεί με βάση τα στοιχεία του 2017. </w:t>
      </w:r>
    </w:p>
    <w:p w:rsidR="00B51735" w:rsidRDefault="00B51735" w:rsidP="00B51735">
      <w:r>
        <w:t>Επίσης, η</w:t>
      </w:r>
      <w:r w:rsidR="004E26E5" w:rsidRPr="004E26E5">
        <w:t xml:space="preserve"> ανάσχεση της συρρίκνωσης του ΑΕΠ στη χώρα και η έναρξη μεγέθυνσής του από το 2017 δημιουργεί ζωτικό χώρο αύξησης των κονδυλίων Ε&amp;Α, δημιουργίας νέων χρηματοδοτικών εργαλείων καθώς και ένα ιδιαίτερα θετικό και ενθαρρυντικό κλίμα για επενδύσεις έντασης Γνώσης.</w:t>
      </w:r>
    </w:p>
    <w:p w:rsidR="003770DC" w:rsidRDefault="003770DC">
      <w:pPr>
        <w:spacing w:before="0" w:after="160" w:line="259" w:lineRule="auto"/>
        <w:jc w:val="left"/>
        <w:rPr>
          <w:rFonts w:eastAsia="Times New Roman"/>
          <w:b/>
          <w:kern w:val="28"/>
          <w:sz w:val="28"/>
          <w:szCs w:val="44"/>
        </w:rPr>
      </w:pPr>
      <w:r>
        <w:br w:type="page"/>
      </w:r>
    </w:p>
    <w:p w:rsidR="00727101" w:rsidRDefault="00727101" w:rsidP="00727101">
      <w:pPr>
        <w:pStyle w:val="Heading1"/>
      </w:pPr>
      <w:bookmarkStart w:id="6" w:name="_Toc22645106"/>
      <w:r>
        <w:lastRenderedPageBreak/>
        <w:t xml:space="preserve">Επισκόπηση υλοποίησης </w:t>
      </w:r>
      <w:r w:rsidR="004F551F">
        <w:t xml:space="preserve">της </w:t>
      </w:r>
      <w:r>
        <w:t>Στρατηγικής</w:t>
      </w:r>
      <w:r w:rsidR="009C3772" w:rsidRPr="009C3772">
        <w:t xml:space="preserve"> </w:t>
      </w:r>
      <w:r w:rsidR="009C3772">
        <w:t>στο διάστημα αναφοράς</w:t>
      </w:r>
      <w:r w:rsidR="00932044">
        <w:t xml:space="preserve"> - ΕΠΑ</w:t>
      </w:r>
      <w:r w:rsidR="00EC6E73">
        <w:t>ν</w:t>
      </w:r>
      <w:r w:rsidR="00932044">
        <w:t>ΕΚ</w:t>
      </w:r>
      <w:bookmarkEnd w:id="6"/>
    </w:p>
    <w:p w:rsidR="003770DC" w:rsidRPr="00C33E1A" w:rsidRDefault="003770DC" w:rsidP="003770DC">
      <w:pPr>
        <w:pStyle w:val="Heading2"/>
        <w:rPr>
          <w:rFonts w:eastAsia="Calibri"/>
        </w:rPr>
      </w:pPr>
      <w:bookmarkStart w:id="7" w:name="_Toc22645107"/>
      <w:r w:rsidRPr="00C33E1A">
        <w:rPr>
          <w:rFonts w:eastAsia="Calibri"/>
        </w:rPr>
        <w:t>Εισαγωγή</w:t>
      </w:r>
      <w:bookmarkEnd w:id="7"/>
    </w:p>
    <w:p w:rsidR="003770DC" w:rsidRDefault="003770DC" w:rsidP="003770DC">
      <w:r w:rsidRPr="00520C79">
        <w:t>Στρατηγικός στόχος του ΕΠΑνΕΚ είναι η ενίσχυση της ανταγωνιστικότητας και της εξωστρέφειας των επιχειρήσεων, της μετάβασης στην ποιοτική επιχειρηματικότητα με αιχμή την καινοτομία και την αύξηση της εγχώριας προστιθέμενης αξίας.</w:t>
      </w:r>
      <w:r>
        <w:t xml:space="preserve"> </w:t>
      </w:r>
      <w:r w:rsidRPr="00520C79">
        <w:t xml:space="preserve">Ειδικότερα, σηματοδοτεί την κύρια στροφή στο νέο αναπτυξιακό υπόδειγμα, που αναδεικνύει σε κεντρικό ρόλο παραγωγικούς, ανταγωνιστικούς και εξωστρεφείς τομείς της οικονομίας. </w:t>
      </w:r>
      <w:r w:rsidRPr="00E50852">
        <w:rPr>
          <w:b/>
        </w:rPr>
        <w:t>Μέσω του ΕΠΑνΕΚ, υλοποιείται η στρατηγική της Έξυπνης Εξειδίκευσης</w:t>
      </w:r>
      <w:r w:rsidRPr="00520C79">
        <w:t xml:space="preserve"> </w:t>
      </w:r>
      <w:r w:rsidRPr="002335DD">
        <w:rPr>
          <w:b/>
          <w:bCs/>
        </w:rPr>
        <w:t>(</w:t>
      </w:r>
      <w:r w:rsidRPr="002335DD">
        <w:rPr>
          <w:b/>
          <w:bCs/>
          <w:lang w:val="en-US"/>
        </w:rPr>
        <w:t>RIS</w:t>
      </w:r>
      <w:r w:rsidRPr="002335DD">
        <w:rPr>
          <w:b/>
          <w:bCs/>
        </w:rPr>
        <w:t>3)</w:t>
      </w:r>
      <w:r w:rsidR="002335DD">
        <w:t xml:space="preserve"> </w:t>
      </w:r>
      <w:r w:rsidRPr="00520C79">
        <w:t>με στόχο τη σύνδεση της έρευνας και της καινοτομίας με την επιχειρηματικότητα και την ενίσχυση των υφιστάμενων πλεονεκτημάτων της Ελλάδας και των περιφερειών της.</w:t>
      </w:r>
    </w:p>
    <w:p w:rsidR="003770DC" w:rsidRDefault="003770DC" w:rsidP="003770DC">
      <w:r w:rsidRPr="00520C79">
        <w:t>Η έξυπνη εξειδίκευση αποτελ</w:t>
      </w:r>
      <w:r w:rsidR="00850B7F">
        <w:t>εί</w:t>
      </w:r>
      <w:r w:rsidRPr="00520C79">
        <w:t xml:space="preserve"> </w:t>
      </w:r>
      <w:r w:rsidR="00850B7F">
        <w:t>βασική παράμετρο</w:t>
      </w:r>
      <w:r>
        <w:t xml:space="preserve"> </w:t>
      </w:r>
      <w:r w:rsidRPr="00520C79">
        <w:t>του ΕΠΑνΕΚ αφού θα πρέπει διαπν</w:t>
      </w:r>
      <w:r w:rsidR="00850B7F">
        <w:t>έει</w:t>
      </w:r>
      <w:r w:rsidRPr="00520C79">
        <w:t xml:space="preserve"> το νέο αναπτυξιακό μοντέλο και αποσκοπ</w:t>
      </w:r>
      <w:r w:rsidR="00850B7F">
        <w:t>εί</w:t>
      </w:r>
      <w:r w:rsidRPr="00520C79">
        <w:t xml:space="preserve"> στον εντοπισμό των μοναδικών χαρακτηριστικών της Ελλάδας, αναδεικνύοντας τα υφιστάμενα πλεονεκτήματά </w:t>
      </w:r>
      <w:r>
        <w:t xml:space="preserve">της. </w:t>
      </w:r>
      <w:r w:rsidRPr="00520C79">
        <w:t xml:space="preserve">Το ΕΠΑνΕΚ κατά το σχεδιασμό του έχει λάβει υπόψη τις προτεραιότητες όπως αναδείχθηκαν από τις περιφερειακές στρατηγικές για την έξυπνη εξειδίκευση. Οι στρατηγικές αυτές επηρέασαν σημαντικά τις προτεραιότητες της αντίστοιχης εθνικής RIS3. </w:t>
      </w:r>
    </w:p>
    <w:p w:rsidR="003770DC" w:rsidRDefault="003770DC" w:rsidP="001A010E">
      <w:pPr>
        <w:spacing w:after="120"/>
      </w:pPr>
      <w:r>
        <w:t xml:space="preserve">Για το </w:t>
      </w:r>
      <w:r w:rsidRPr="00E81906">
        <w:t xml:space="preserve">ΕΠΑνΕΚ, </w:t>
      </w:r>
      <w:r>
        <w:t>ο Θεματικός Στόχος 1 «</w:t>
      </w:r>
      <w:r w:rsidRPr="00DA5804">
        <w:t>Ενίσχυση της έρευνας, της τεχνολογικής ανάπτυξης και της καινοτομίας</w:t>
      </w:r>
      <w:r>
        <w:t>» και</w:t>
      </w:r>
      <w:r w:rsidRPr="00E81906">
        <w:t xml:space="preserve"> </w:t>
      </w:r>
      <w:r>
        <w:t>οι</w:t>
      </w:r>
      <w:r w:rsidRPr="00E81906">
        <w:t xml:space="preserve"> Επενδυτικ</w:t>
      </w:r>
      <w:r>
        <w:t>ές Προτεραιότητες 1</w:t>
      </w:r>
      <w:r>
        <w:rPr>
          <w:lang w:val="en-US"/>
        </w:rPr>
        <w:t>a</w:t>
      </w:r>
      <w:r>
        <w:t xml:space="preserve"> και 1b είναι αυτές που συνδέονται άμεσα με την </w:t>
      </w:r>
      <w:r w:rsidRPr="00E81906">
        <w:t>εφαρμογή της</w:t>
      </w:r>
      <w:r w:rsidRPr="00E50852">
        <w:t xml:space="preserve"> </w:t>
      </w:r>
      <w:r w:rsidR="002335DD">
        <w:t>σ</w:t>
      </w:r>
      <w:r w:rsidRPr="00E50852">
        <w:t xml:space="preserve">τρατηγικής </w:t>
      </w:r>
      <w:r w:rsidRPr="00E50852">
        <w:rPr>
          <w:lang w:val="en-US"/>
        </w:rPr>
        <w:t>RIS</w:t>
      </w:r>
      <w:r w:rsidRPr="00E50852">
        <w:t>3</w:t>
      </w:r>
      <w:r>
        <w:t>, οπότε και είναι αυτές που θα παρακολουθούνται για την αξιολόγηση της υλοποίησης της εν λόγω Στρατηγικής. Οι Επενδυτικές Προτεραιότητες αφορούν στους Άξονες Προτεραιότητας ΑΠ1, ΑΠ1Σ, ΑΠ3 και ΑΠ3Σ του ΕΠΑνΕΚ και περιλαμβάνουν τους Ειδικούς Στόχους 1.1. και 3.1.</w:t>
      </w:r>
    </w:p>
    <w:tbl>
      <w:tblPr>
        <w:tblStyle w:val="TableGrid1"/>
        <w:tblW w:w="949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539"/>
        <w:gridCol w:w="3402"/>
        <w:gridCol w:w="2552"/>
      </w:tblGrid>
      <w:tr w:rsidR="003770DC" w:rsidRPr="00DA5804" w:rsidTr="003D021E">
        <w:trPr>
          <w:trHeight w:val="523"/>
        </w:trPr>
        <w:tc>
          <w:tcPr>
            <w:tcW w:w="3539" w:type="dxa"/>
            <w:shd w:val="clear" w:color="auto" w:fill="800000"/>
          </w:tcPr>
          <w:p w:rsidR="003770DC" w:rsidRPr="00DA5804" w:rsidRDefault="003770DC" w:rsidP="005F5D19">
            <w:pPr>
              <w:jc w:val="center"/>
              <w:rPr>
                <w:b/>
                <w:sz w:val="16"/>
                <w:szCs w:val="16"/>
              </w:rPr>
            </w:pPr>
            <w:r w:rsidRPr="00DA5804">
              <w:rPr>
                <w:b/>
                <w:sz w:val="16"/>
                <w:szCs w:val="16"/>
              </w:rPr>
              <w:t>Επενδυτικές Προτεραιότητες</w:t>
            </w:r>
          </w:p>
        </w:tc>
        <w:tc>
          <w:tcPr>
            <w:tcW w:w="3402" w:type="dxa"/>
            <w:shd w:val="clear" w:color="auto" w:fill="800000"/>
          </w:tcPr>
          <w:p w:rsidR="003770DC" w:rsidRPr="00DA5804" w:rsidRDefault="003770DC" w:rsidP="005F5D19">
            <w:pPr>
              <w:jc w:val="center"/>
              <w:rPr>
                <w:b/>
                <w:sz w:val="16"/>
                <w:szCs w:val="16"/>
              </w:rPr>
            </w:pPr>
            <w:r w:rsidRPr="00DA5804">
              <w:rPr>
                <w:b/>
                <w:sz w:val="16"/>
                <w:szCs w:val="16"/>
              </w:rPr>
              <w:t>Άξονας Προτεραιότητας ΕΠΑΝΕΚ</w:t>
            </w:r>
          </w:p>
        </w:tc>
        <w:tc>
          <w:tcPr>
            <w:tcW w:w="2552" w:type="dxa"/>
            <w:shd w:val="clear" w:color="auto" w:fill="800000"/>
          </w:tcPr>
          <w:p w:rsidR="003770DC" w:rsidRPr="00DA5804" w:rsidRDefault="003770DC" w:rsidP="005F5D19">
            <w:pPr>
              <w:jc w:val="center"/>
              <w:rPr>
                <w:b/>
                <w:sz w:val="16"/>
                <w:szCs w:val="16"/>
              </w:rPr>
            </w:pPr>
            <w:r>
              <w:rPr>
                <w:b/>
                <w:sz w:val="16"/>
                <w:szCs w:val="16"/>
              </w:rPr>
              <w:t>Ειδικός Στόχος</w:t>
            </w:r>
          </w:p>
        </w:tc>
      </w:tr>
      <w:tr w:rsidR="003770DC" w:rsidRPr="00DA5804" w:rsidTr="003D021E">
        <w:tc>
          <w:tcPr>
            <w:tcW w:w="3539" w:type="dxa"/>
          </w:tcPr>
          <w:p w:rsidR="003770DC" w:rsidRPr="00DA5804" w:rsidRDefault="003770DC" w:rsidP="005F5D19">
            <w:pPr>
              <w:rPr>
                <w:sz w:val="16"/>
                <w:szCs w:val="16"/>
              </w:rPr>
            </w:pPr>
            <w:r w:rsidRPr="00DA5804">
              <w:rPr>
                <w:sz w:val="16"/>
                <w:szCs w:val="16"/>
              </w:rPr>
              <w:t>1</w:t>
            </w:r>
            <w:r w:rsidRPr="00DA5804">
              <w:rPr>
                <w:sz w:val="16"/>
                <w:szCs w:val="16"/>
                <w:lang w:val="en-US"/>
              </w:rPr>
              <w:t>a</w:t>
            </w:r>
            <w:r w:rsidRPr="00DA5804">
              <w:rPr>
                <w:sz w:val="16"/>
                <w:szCs w:val="16"/>
              </w:rPr>
              <w:t xml:space="preserve"> «Ενίσχυση υποδομών έρευνας και καινοτομίας και ικανοτήτων ανάπτυξης αριστείας στον τομέα της έρευνας και καινοτομίας και προώθηση κέντρων ικανότητας, ιδίως των κέντρων ευρωπαϊκού ενδιαφέροντος»</w:t>
            </w:r>
          </w:p>
        </w:tc>
        <w:tc>
          <w:tcPr>
            <w:tcW w:w="3402" w:type="dxa"/>
          </w:tcPr>
          <w:p w:rsidR="003770DC" w:rsidRDefault="003770DC" w:rsidP="005F5D19">
            <w:pPr>
              <w:rPr>
                <w:sz w:val="16"/>
                <w:szCs w:val="16"/>
              </w:rPr>
            </w:pPr>
            <w:r w:rsidRPr="00DA5804">
              <w:rPr>
                <w:sz w:val="16"/>
                <w:szCs w:val="16"/>
              </w:rPr>
              <w:t>ΑΠ1 «Ανάπτυξη επιχειρηματικότητας με τομεακές προτεραιότητες»</w:t>
            </w:r>
          </w:p>
          <w:p w:rsidR="003770DC" w:rsidRPr="00DA5804" w:rsidRDefault="003770DC" w:rsidP="005F5D19">
            <w:pPr>
              <w:rPr>
                <w:sz w:val="16"/>
                <w:szCs w:val="16"/>
              </w:rPr>
            </w:pPr>
            <w:r w:rsidRPr="00DA5804">
              <w:rPr>
                <w:sz w:val="16"/>
                <w:szCs w:val="16"/>
              </w:rPr>
              <w:t>ΑΠ1</w:t>
            </w:r>
            <w:r>
              <w:rPr>
                <w:sz w:val="16"/>
                <w:szCs w:val="16"/>
              </w:rPr>
              <w:t xml:space="preserve">Σ </w:t>
            </w:r>
            <w:r w:rsidRPr="00DA5804">
              <w:rPr>
                <w:sz w:val="16"/>
                <w:szCs w:val="16"/>
              </w:rPr>
              <w:t>«Ανάπτυξη επιχειρηματικότητας με τομεακές προτεραιότητες (Στερεά Ελλάδα, Νότιο Αιγαίο)»</w:t>
            </w:r>
          </w:p>
        </w:tc>
        <w:tc>
          <w:tcPr>
            <w:tcW w:w="2552" w:type="dxa"/>
          </w:tcPr>
          <w:p w:rsidR="003770DC" w:rsidRPr="00DA5804" w:rsidRDefault="003770DC" w:rsidP="005F5D19">
            <w:pPr>
              <w:rPr>
                <w:sz w:val="16"/>
                <w:szCs w:val="16"/>
              </w:rPr>
            </w:pPr>
            <w:r>
              <w:rPr>
                <w:sz w:val="16"/>
                <w:szCs w:val="16"/>
              </w:rPr>
              <w:t>3.1 «</w:t>
            </w:r>
            <w:r w:rsidRPr="00DA5804">
              <w:rPr>
                <w:sz w:val="16"/>
                <w:szCs w:val="16"/>
              </w:rPr>
              <w:t>Αναβάθμιση ή/και ανάπτυξη υποδομών έρευνας και καινοτομίας για την ανάπτυξη της καινοτομικής ικανότητας της χώρας για τη στήριξη της επιχειρηματικότητας</w:t>
            </w:r>
            <w:r>
              <w:rPr>
                <w:sz w:val="16"/>
                <w:szCs w:val="16"/>
              </w:rPr>
              <w:t>»</w:t>
            </w:r>
          </w:p>
        </w:tc>
      </w:tr>
      <w:tr w:rsidR="003770DC" w:rsidRPr="00DA5804" w:rsidTr="003D021E">
        <w:tc>
          <w:tcPr>
            <w:tcW w:w="3539" w:type="dxa"/>
          </w:tcPr>
          <w:p w:rsidR="003770DC" w:rsidRPr="00DA5804" w:rsidRDefault="003770DC" w:rsidP="005F5D19">
            <w:pPr>
              <w:rPr>
                <w:sz w:val="16"/>
                <w:szCs w:val="16"/>
              </w:rPr>
            </w:pPr>
            <w:r w:rsidRPr="00DA5804">
              <w:rPr>
                <w:sz w:val="16"/>
                <w:szCs w:val="16"/>
              </w:rPr>
              <w:t>1b ««Προαγωγή επιχειρηματικών επενδύσεων στην έρευνα και καινοτομία, ανάπτυξη δεσμών και συνεργειών μεταξύ επιχειρήσεων, κέντρων έρευνας και ανάπτυξης και του τομέα της τριτοβάθμιας εκπαίδευσης, ιδίως μέσω της προαγωγής επενδύσεων στην ανάπτυξη προϊόντων και υπηρεσιών, στη μεταφορά τεχνολογίας, στην κοινωνική καινοτομία, στην οικολογική καινοτομία, στις εφαρμογές παροχής δημόσιων υπηρεσιών, στην ενθάρρυνση της ζήτησης, στη δικτύωση, στα συμπλέγματα φορέων και στην ανοιχτή καινοτομία μέσω ευφυούς εξειδίκευσης, καθώς και στήριξη της τεχνολογικής και εφαρμοσμένης έρευνας, δοκιμαστικών δράσεων, ενεργειών έγκαιρης επικύρωσης προϊόντων, προηγμένων ικανοτήτων παραγωγής και πρώτης παραγωγής, ειδικά σε βασικές τεχνολογίες, και διάδοση των τεχνολογιών γενικής εφαρμογής»»</w:t>
            </w:r>
          </w:p>
        </w:tc>
        <w:tc>
          <w:tcPr>
            <w:tcW w:w="3402" w:type="dxa"/>
          </w:tcPr>
          <w:p w:rsidR="003770DC" w:rsidRDefault="003770DC" w:rsidP="005F5D19">
            <w:pPr>
              <w:rPr>
                <w:sz w:val="16"/>
                <w:szCs w:val="16"/>
              </w:rPr>
            </w:pPr>
            <w:r w:rsidRPr="00DA5804">
              <w:rPr>
                <w:sz w:val="16"/>
                <w:szCs w:val="16"/>
              </w:rPr>
              <w:t>ΑΠ</w:t>
            </w:r>
            <w:r>
              <w:rPr>
                <w:sz w:val="16"/>
                <w:szCs w:val="16"/>
              </w:rPr>
              <w:t>3</w:t>
            </w:r>
            <w:r w:rsidRPr="00DA5804">
              <w:rPr>
                <w:sz w:val="16"/>
                <w:szCs w:val="16"/>
              </w:rPr>
              <w:t xml:space="preserve"> «Ανάπτυξη επιχειρηματικότητας με τομεακές προτεραιότητες»</w:t>
            </w:r>
          </w:p>
          <w:p w:rsidR="003770DC" w:rsidRPr="00DA5804" w:rsidRDefault="003770DC" w:rsidP="005F5D19">
            <w:pPr>
              <w:rPr>
                <w:sz w:val="16"/>
                <w:szCs w:val="16"/>
              </w:rPr>
            </w:pPr>
            <w:r>
              <w:rPr>
                <w:sz w:val="16"/>
                <w:szCs w:val="16"/>
              </w:rPr>
              <w:t xml:space="preserve">ΑΠ3Σ </w:t>
            </w:r>
            <w:r w:rsidRPr="00DA5804">
              <w:rPr>
                <w:sz w:val="16"/>
                <w:szCs w:val="16"/>
              </w:rPr>
              <w:t>«Ανάπτυξη επιχειρηματικότητας με τομεακές προτεραιότητες (Στερεά Ελλάδα, Νότιο Αιγαίο)»</w:t>
            </w:r>
          </w:p>
        </w:tc>
        <w:tc>
          <w:tcPr>
            <w:tcW w:w="2552" w:type="dxa"/>
          </w:tcPr>
          <w:p w:rsidR="003770DC" w:rsidRPr="00DA5804" w:rsidRDefault="003770DC" w:rsidP="005F5D19">
            <w:pPr>
              <w:rPr>
                <w:sz w:val="16"/>
                <w:szCs w:val="16"/>
              </w:rPr>
            </w:pPr>
            <w:r>
              <w:rPr>
                <w:sz w:val="16"/>
                <w:szCs w:val="16"/>
              </w:rPr>
              <w:t xml:space="preserve">1.1 </w:t>
            </w:r>
            <w:r w:rsidRPr="00DA5804">
              <w:rPr>
                <w:sz w:val="16"/>
                <w:szCs w:val="16"/>
              </w:rPr>
              <w:t>«Αύξηση επιχειρηματικών πρωτοβουλιών και συνεργασιών για την ανάπτυξη καινοτόμου επιχειρηματικότητας σύμφωνα με την εθνική στρατηγική έρευνας και καινοτομίας για έξυπνη εξειδίκευση»</w:t>
            </w:r>
          </w:p>
        </w:tc>
      </w:tr>
    </w:tbl>
    <w:p w:rsidR="003770DC" w:rsidRPr="00E81906" w:rsidRDefault="003770DC" w:rsidP="003770DC"/>
    <w:p w:rsidR="003770DC" w:rsidRPr="00B247D8" w:rsidRDefault="003770DC" w:rsidP="003770DC">
      <w:r w:rsidRPr="00B247D8">
        <w:t>Σκοπός της ανάλυσης των στοιχείων που παρατίθενται στη συνέχεια είναι η παρακολούθηση της προόδου υλοποίησης των δράσεων της εθνικής RIS3</w:t>
      </w:r>
      <w:r w:rsidR="00850B7F">
        <w:t xml:space="preserve"> στο πλαίσιο του ΕΠΑΝΕΚ για την περίοδο 2014-2017</w:t>
      </w:r>
      <w:r w:rsidRPr="00B247D8">
        <w:t>.</w:t>
      </w:r>
    </w:p>
    <w:p w:rsidR="003770DC" w:rsidRPr="00B247D8" w:rsidRDefault="003770DC" w:rsidP="003770DC">
      <w:r w:rsidRPr="00B247D8">
        <w:t xml:space="preserve">Οι δράσεις που περιλαμβάνονται λοιπόν στις ανωτέρω Επενδυτικές Προτεραιότητες και κατ’ επέκταση στους αντίστοιχους Άξονες Προτεραιότητας, είναι αυτές που θα </w:t>
      </w:r>
      <w:r w:rsidR="00850B7F">
        <w:t>εξετασθούν</w:t>
      </w:r>
      <w:r w:rsidRPr="00B247D8">
        <w:t xml:space="preserve"> ώστε να </w:t>
      </w:r>
      <w:r w:rsidR="00850B7F">
        <w:t>προσεγγισθεί η</w:t>
      </w:r>
      <w:r w:rsidRPr="00B247D8">
        <w:t xml:space="preserve"> συνάφεια και συνέπειά τους ως προς τους στόχους της Στρατηγικής RIS3 και τους τομείς προτεραιότητάς της.</w:t>
      </w:r>
    </w:p>
    <w:p w:rsidR="00EB4327" w:rsidRPr="00CD0CAF" w:rsidRDefault="00C70695" w:rsidP="00EB4327">
      <w:pPr>
        <w:pStyle w:val="Heading2"/>
        <w:rPr>
          <w:rFonts w:eastAsia="Calibri"/>
        </w:rPr>
      </w:pPr>
      <w:bookmarkStart w:id="8" w:name="_Toc14268838"/>
      <w:bookmarkStart w:id="9" w:name="_Toc22645108"/>
      <w:r>
        <w:rPr>
          <w:rFonts w:eastAsia="Calibri"/>
        </w:rPr>
        <w:t>Εξέταση</w:t>
      </w:r>
      <w:r w:rsidR="00EB4327" w:rsidRPr="00CD0CAF">
        <w:rPr>
          <w:rFonts w:eastAsia="Calibri"/>
        </w:rPr>
        <w:t xml:space="preserve"> δράσεων ΕΠΑνΕΚ</w:t>
      </w:r>
      <w:bookmarkEnd w:id="8"/>
      <w:bookmarkEnd w:id="9"/>
      <w:r w:rsidR="00EB4327" w:rsidRPr="00CD0CAF">
        <w:rPr>
          <w:rFonts w:eastAsia="Calibri"/>
        </w:rPr>
        <w:t xml:space="preserve"> </w:t>
      </w:r>
    </w:p>
    <w:p w:rsidR="00EB4327" w:rsidRPr="00C33E1A" w:rsidRDefault="00EB4327" w:rsidP="00EB4327">
      <w:pPr>
        <w:pStyle w:val="Heading3"/>
        <w:rPr>
          <w:rFonts w:eastAsia="Calibri"/>
        </w:rPr>
      </w:pPr>
      <w:bookmarkStart w:id="10" w:name="_Toc14268839"/>
      <w:bookmarkStart w:id="11" w:name="_Toc22645109"/>
      <w:r>
        <w:rPr>
          <w:rFonts w:eastAsia="Calibri"/>
        </w:rPr>
        <w:t>Δράσεις ΕΠΑνΕΚ στο πλαίσιο της Επενδυτικής Προτεραιότητας 1</w:t>
      </w:r>
      <w:r>
        <w:rPr>
          <w:rFonts w:eastAsia="Calibri"/>
          <w:lang w:val="en-US"/>
        </w:rPr>
        <w:t>b</w:t>
      </w:r>
      <w:bookmarkEnd w:id="10"/>
      <w:bookmarkEnd w:id="11"/>
    </w:p>
    <w:p w:rsidR="00EB4327" w:rsidRPr="001D2933" w:rsidRDefault="00EB4327" w:rsidP="00EB4327">
      <w:r w:rsidRPr="000D5F33">
        <w:t xml:space="preserve">Η Επενδυτική Προτεραιότητα </w:t>
      </w:r>
      <w:r w:rsidRPr="001D2933">
        <w:rPr>
          <w:b/>
        </w:rPr>
        <w:t>1b</w:t>
      </w:r>
      <w:r w:rsidRPr="000D5F33">
        <w:t xml:space="preserve">  </w:t>
      </w:r>
      <w:r w:rsidRPr="001D2933">
        <w:rPr>
          <w:i/>
        </w:rPr>
        <w:t>«Προαγωγή επιχειρηματικών επενδύσεων στην έρευνα και καινοτομία, ανάπτυξη δεσμών και συνεργειών μεταξύ επιχειρήσεων, κέντρων έρευνας και ανάπτυξης και του τομέα της τριτοβάθμιας εκπαίδευσης, ιδίως μέσω της προαγωγής επενδύσεων στην ανάπτυξη προϊόντων και υπηρεσιών, στη μεταφορά τεχνολογίας, στην κοινωνική καινοτομία, στην οικολογική καινοτομία, στις εφαρμογές παροχής δημόσιων υπηρεσιών, στην ενθάρρυνση της ζήτησης, στη δικτύωση, στα συμπλέγματα φορέων και στην ανοιχτή καινοτομία μέσω ευφυούς εξειδίκευσης, καθώς και στήριξη της τεχνολογικής και εφαρμοσμένης έρευνας, δοκιμαστικών δράσεων, ενεργειών έγκαιρης επικύρωσης προϊόντων, προηγμένων ικανοτήτων παραγωγής και πρώτης παραγωγής, ειδικά σε βασικές τεχνολογίες, και διάδοση των τεχνολογιών γενικής εφαρμογής</w:t>
      </w:r>
      <w:r w:rsidRPr="001D2933">
        <w:t xml:space="preserve">» </w:t>
      </w:r>
      <w:r w:rsidRPr="006219E3">
        <w:rPr>
          <w:b/>
        </w:rPr>
        <w:t>υποστηρίζει τη στρατηγικής της Έξυπνης Εξειδίκευσης,</w:t>
      </w:r>
      <w:r w:rsidRPr="001D2933">
        <w:t xml:space="preserve"> για το λόγο αυτό εξετάζεται η πρόοδος υλοποίησης των έργων εκείνων που εντάσσονται στον Άξονα Προτεραιότητας 1 «Ανάπτυξη επιχειρηματικότητας με τομεακές προτεραιότητες» και στον Άξονα Προτεραιότητας 1Σ «Ανάπτυξη επιχειρηματικότητας με τομεακές προτεραιότητες (Στερεά Ελλάδα, Νότιο Αιγαίο)» του ΕΠΑνΕΚ, καθώς αποτελεί τους Άξονες εκείνους που περιλαμβάνουν τη συγκεκριμένη Επενδυτική Προτεραιότητα.</w:t>
      </w:r>
    </w:p>
    <w:p w:rsidR="00EB4327" w:rsidRPr="001D2933" w:rsidRDefault="00EB4327" w:rsidP="00EB4327">
      <w:r w:rsidRPr="001D2933">
        <w:t xml:space="preserve">Ο Ειδικός Στόχος 1.1 </w:t>
      </w:r>
      <w:r w:rsidRPr="0054602A">
        <w:rPr>
          <w:i/>
          <w:iCs/>
        </w:rPr>
        <w:t>«Αύξηση επιχειρηματικών πρωτοβουλιών και συνεργασιών για την ανάπτυξη καινοτόμου επιχειρηματικότητας σύμφωνα με την εθνική στρατηγική έρευνας και καινοτομίας για έξυπνη εξειδίκευση»</w:t>
      </w:r>
      <w:r w:rsidRPr="001D2933">
        <w:t xml:space="preserve"> εξυπηρετεί την εθνική πολιτική του τομέα Έρευνας και Καινοτομίας για το 2020 και επικεντρώνεται στην αξιοποίηση έρευνας, τεχνολογίας και καινοτομίας από τις επιχειρήσεις ώστε να αποτελέσουν το βασικό</w:t>
      </w:r>
      <w:r w:rsidRPr="00CE163E">
        <w:t xml:space="preserve"> </w:t>
      </w:r>
      <w:r w:rsidRPr="001D2933">
        <w:t xml:space="preserve">πυλώνα για τη βελτίωση της ανταγωνιστικότητας και την αναβάθμιση της επιχειρηματικότητας και της παραγωγικότητας μέσω της παραγωγής, διάδοσης και ενσωμάτωσης της νέας γνώσης και της καινοτομίας στα υπάρχοντα αλλά και σε νέα προϊόντα, υπηρεσίες παραγωγικά συστήματα και αλυσίδες αξίας. </w:t>
      </w:r>
      <w:r w:rsidR="00C70695">
        <w:t>Αναμενόμενα</w:t>
      </w:r>
      <w:r w:rsidRPr="001D2933">
        <w:t xml:space="preserve"> αποτελέσματα του συγκεκριμένου Ειδικού Στόχου, είναι τα εξής:</w:t>
      </w:r>
    </w:p>
    <w:p w:rsidR="00EB4327" w:rsidRPr="001D2933" w:rsidRDefault="00EB4327" w:rsidP="001B2DD1">
      <w:pPr>
        <w:pStyle w:val="ListParagraph"/>
        <w:numPr>
          <w:ilvl w:val="0"/>
          <w:numId w:val="23"/>
        </w:numPr>
      </w:pPr>
      <w:r w:rsidRPr="001D2933">
        <w:t>Η στροφή στην οικονομική ανάπτυξη βασισμένη στη γνώση και τη βιώσιμη εξειδίκευση.</w:t>
      </w:r>
    </w:p>
    <w:p w:rsidR="00EB4327" w:rsidRPr="001D2933" w:rsidRDefault="00EB4327" w:rsidP="001B2DD1">
      <w:pPr>
        <w:pStyle w:val="ListParagraph"/>
        <w:numPr>
          <w:ilvl w:val="0"/>
          <w:numId w:val="23"/>
        </w:numPr>
      </w:pPr>
      <w:r w:rsidRPr="001D2933">
        <w:t>Η βελτίωση της ανταγωνιστικότητας και της παραγωγικότητας των ελληνικών επιχειρήσεων μέσω της παραγωγής, διάδοσης και ενσωμάτωσης της νέας γνώσης και της καινοτομίας και της σύνδεσης της ακαδημαϊκής έρευνας με την οικονομία.</w:t>
      </w:r>
    </w:p>
    <w:p w:rsidR="00EB4327" w:rsidRPr="001D2933" w:rsidRDefault="00EB4327" w:rsidP="001B2DD1">
      <w:pPr>
        <w:pStyle w:val="ListParagraph"/>
        <w:numPr>
          <w:ilvl w:val="0"/>
          <w:numId w:val="23"/>
        </w:numPr>
      </w:pPr>
      <w:r w:rsidRPr="001D2933">
        <w:t>Η ανάπτυξη της αριστείας στην έρευνα και η ευθυγράμμιση της προσφοράς της Έρευνας και της Καινοτομίας κυρίως με την επιχειρηματική ζήτηση.</w:t>
      </w:r>
    </w:p>
    <w:p w:rsidR="00EB4327" w:rsidRPr="00433D86" w:rsidRDefault="00EB4327" w:rsidP="00EB4327">
      <w:pPr>
        <w:rPr>
          <w:szCs w:val="18"/>
        </w:rPr>
      </w:pPr>
      <w:r w:rsidRPr="001D2933">
        <w:rPr>
          <w:szCs w:val="18"/>
        </w:rPr>
        <w:t xml:space="preserve">Όλες επενδύσεις </w:t>
      </w:r>
      <w:r w:rsidR="000E33EE">
        <w:rPr>
          <w:szCs w:val="18"/>
        </w:rPr>
        <w:t xml:space="preserve">στο πλαίσιο του συγκεκριμένου Ειδικού Στόχου </w:t>
      </w:r>
      <w:r w:rsidRPr="001D2933">
        <w:rPr>
          <w:szCs w:val="18"/>
        </w:rPr>
        <w:t xml:space="preserve">θα πρέπει να είναι πλήρως ευθυγραμμισμένες με την RIS3, προκειμένου να δημιουργηθεί ανταγωνιστικό πλεονέκτημα μέσω της ανάπτυξης και αντιστοίχισης των ισχυρών σημείων της έρευνας και της καινοτομίας με τις ανάγκες των επιχειρήσεων, για την αξιοποίηση αναδυόμενων ευκαιριών και των </w:t>
      </w:r>
      <w:r w:rsidRPr="00433D86">
        <w:rPr>
          <w:szCs w:val="18"/>
        </w:rPr>
        <w:t>εξελίξεων στην αγορά με συνεκτικό τρόπο.</w:t>
      </w:r>
    </w:p>
    <w:p w:rsidR="00EB4327" w:rsidRPr="00433D86" w:rsidRDefault="00EB4327" w:rsidP="00EB4327">
      <w:pPr>
        <w:rPr>
          <w:szCs w:val="18"/>
        </w:rPr>
      </w:pPr>
      <w:r w:rsidRPr="00433D86">
        <w:rPr>
          <w:szCs w:val="18"/>
        </w:rPr>
        <w:t xml:space="preserve">Σε συνέχεια των ανωτέρω και στο πλαίσιο της παρούσας έκθεσης, εξετάζεται η πορεία υλοποίησης των προαναφερθέντων Αξόνων Προτεραιότητας του ΕΠΑΝΕΚ </w:t>
      </w:r>
      <w:r>
        <w:rPr>
          <w:szCs w:val="18"/>
        </w:rPr>
        <w:t>για την περίοδο 2014-2017.</w:t>
      </w:r>
    </w:p>
    <w:p w:rsidR="00EB4327" w:rsidRPr="009875D5" w:rsidRDefault="00EB4327" w:rsidP="00EB4327">
      <w:pPr>
        <w:rPr>
          <w:szCs w:val="18"/>
        </w:rPr>
      </w:pPr>
      <w:r w:rsidRPr="00043F84">
        <w:rPr>
          <w:szCs w:val="18"/>
        </w:rPr>
        <w:t xml:space="preserve">Έως το τέλος του </w:t>
      </w:r>
      <w:r>
        <w:rPr>
          <w:szCs w:val="18"/>
        </w:rPr>
        <w:t>2017</w:t>
      </w:r>
      <w:r w:rsidRPr="00043F84">
        <w:rPr>
          <w:szCs w:val="18"/>
        </w:rPr>
        <w:t xml:space="preserve">, είχαν </w:t>
      </w:r>
      <w:r w:rsidRPr="009875D5">
        <w:rPr>
          <w:szCs w:val="18"/>
        </w:rPr>
        <w:t>εκδοθεί</w:t>
      </w:r>
      <w:r w:rsidRPr="009875D5">
        <w:rPr>
          <w:b/>
          <w:szCs w:val="18"/>
        </w:rPr>
        <w:t xml:space="preserve"> 5 Προσκλήσεις</w:t>
      </w:r>
      <w:r w:rsidRPr="009875D5">
        <w:rPr>
          <w:szCs w:val="18"/>
        </w:rPr>
        <w:t>:</w:t>
      </w:r>
    </w:p>
    <w:p w:rsidR="00EB4327" w:rsidRPr="009875D5" w:rsidRDefault="00EB4327" w:rsidP="001B2DD1">
      <w:pPr>
        <w:pStyle w:val="ListParagraph"/>
        <w:numPr>
          <w:ilvl w:val="0"/>
          <w:numId w:val="24"/>
        </w:numPr>
      </w:pPr>
      <w:r w:rsidRPr="009875D5">
        <w:t>Ενιαία Δράση Κρατικών Ενισχύσεων Έρευνας, Τεχνολογικής Ανάπτυξης &amp; Καινοτομίας «ΕΡΕΥΝΩ – ΔΗΜΙΟΥΡΓΩ – ΚΑΙΝΟΤΟΜΩ» (Α΄ κύκλος)</w:t>
      </w:r>
    </w:p>
    <w:p w:rsidR="00EB4327" w:rsidRPr="009875D5" w:rsidRDefault="00EB4327" w:rsidP="001B2DD1">
      <w:pPr>
        <w:pStyle w:val="ListParagraph"/>
        <w:numPr>
          <w:ilvl w:val="0"/>
          <w:numId w:val="24"/>
        </w:numPr>
      </w:pPr>
      <w:r w:rsidRPr="009875D5">
        <w:lastRenderedPageBreak/>
        <w:t>Δράση Εθνικής Εμβέλειας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(2016)</w:t>
      </w:r>
    </w:p>
    <w:p w:rsidR="00EB4327" w:rsidRPr="009875D5" w:rsidRDefault="00EB4327" w:rsidP="001B2DD1">
      <w:pPr>
        <w:pStyle w:val="ListParagraph"/>
        <w:numPr>
          <w:ilvl w:val="0"/>
          <w:numId w:val="24"/>
        </w:numPr>
      </w:pPr>
      <w:r w:rsidRPr="009875D5">
        <w:t xml:space="preserve"> «Διμερής και Πολυμερής Ε&amp;Τ Συνεργασία Ελλάδας – Γερμανίας»</w:t>
      </w:r>
    </w:p>
    <w:p w:rsidR="00EB4327" w:rsidRPr="009875D5" w:rsidRDefault="00EB4327" w:rsidP="001B2DD1">
      <w:pPr>
        <w:pStyle w:val="ListParagraph"/>
        <w:numPr>
          <w:ilvl w:val="0"/>
          <w:numId w:val="24"/>
        </w:numPr>
      </w:pPr>
      <w:r w:rsidRPr="009875D5">
        <w:t>«Διμερής και Πολυμερής Ε&amp;Τ Συνεργασία Ελλάδας – Ρωσίας»</w:t>
      </w:r>
    </w:p>
    <w:p w:rsidR="00EB4327" w:rsidRPr="009875D5" w:rsidRDefault="00EB4327" w:rsidP="001B2DD1">
      <w:pPr>
        <w:pStyle w:val="ListParagraph"/>
        <w:numPr>
          <w:ilvl w:val="0"/>
          <w:numId w:val="24"/>
        </w:numPr>
      </w:pPr>
      <w:r w:rsidRPr="009875D5">
        <w:t>«Διμερής και Πολυμερής Ε&amp;Τ Συνεργασία Ελλάδας – Ισραήλ»</w:t>
      </w:r>
    </w:p>
    <w:p w:rsidR="00EB4327" w:rsidRPr="000D5F33" w:rsidRDefault="00EB4327" w:rsidP="00EB4327">
      <w:pPr>
        <w:rPr>
          <w:szCs w:val="18"/>
        </w:rPr>
      </w:pPr>
      <w:r w:rsidRPr="000D5F33">
        <w:rPr>
          <w:szCs w:val="18"/>
        </w:rPr>
        <w:t>Τα συνολικά στοιχεία για την εξέλιξη της υλοποίησης των δράσεων της εν λόγω Επενδυτικής Προτεραιότητας, παρουσιάζονται στους κάτωθι πίνακες.</w:t>
      </w:r>
    </w:p>
    <w:p w:rsidR="000E33EE" w:rsidRDefault="00EB4327" w:rsidP="00EB4327">
      <w:pPr>
        <w:rPr>
          <w:i/>
          <w:iCs/>
        </w:rPr>
      </w:pPr>
      <w:r w:rsidRPr="000E33EE">
        <w:rPr>
          <w:szCs w:val="18"/>
        </w:rPr>
        <w:t xml:space="preserve">Αναλυτικότερα, από την επεξεργασία των στοιχείων προκύπτει ότι ο προϋπολογισμός των προσκλήσεων που εκδόθηκαν ανέρχονταν σε 430.000.000 € με το ήμισυ – περίπου – αυτού να αφορά στις λιγότερο ανεπτυγμένες Περιφέρειες (47,78%). Το ποσοστό των ενταγμένων πράξεων έως τις 31.12.2017, ως προς το σύνολο του προϋπολογισμού των προσκλήσεων που είχαν εκδοθεί είναι ιδιαιτέρα χαμηλό και ανέρχεται σε 0,72%, καθώς εντάξεις πράξεων έγιναν μόνο στο πλαίσιο της προκηρυχθείσας Δράσης </w:t>
      </w:r>
      <w:r w:rsidRPr="000E33EE">
        <w:t>Εθνικής Εμβέλειας</w:t>
      </w:r>
      <w:r w:rsidRPr="000E33EE">
        <w:rPr>
          <w:i/>
          <w:iCs/>
        </w:rPr>
        <w:t xml:space="preserve">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w:t>
      </w:r>
    </w:p>
    <w:p w:rsidR="00EB4327" w:rsidRPr="000E33EE" w:rsidRDefault="000E33EE" w:rsidP="00EB4327">
      <w:r>
        <w:rPr>
          <w:szCs w:val="18"/>
        </w:rPr>
        <w:t>Δεν</w:t>
      </w:r>
      <w:r w:rsidR="00EB4327" w:rsidRPr="000E33EE">
        <w:rPr>
          <w:szCs w:val="18"/>
        </w:rPr>
        <w:t xml:space="preserve"> υπήρξαν πληρωμές κατά την περίοδο αναφοράς. </w:t>
      </w:r>
      <w:r w:rsidR="00EB4327" w:rsidRPr="000E33EE">
        <w:t xml:space="preserve">Είναι σημαντικό να σημειωθεί ότι η πρόοδος υλοποίησης των έργων της Επενδυτικής Προτεραιότητας έως 31.12.2017, καθορίζεται από τη Δράση Εθνικής Εμβέλειας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καθώς αποτελεί τη μοναδικά πρόσκληση στο πλαίσιο της οποίας εντάχθηκαν πράξεις.  </w:t>
      </w:r>
    </w:p>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fldChar w:fldCharType="begin"/>
      </w:r>
      <w:r>
        <w:rPr>
          <w:noProof/>
        </w:rPr>
        <w:instrText xml:space="preserve"> SEQ Πίνακας \* ARABIC \s 1 </w:instrText>
      </w:r>
      <w:r>
        <w:rPr>
          <w:noProof/>
        </w:rPr>
        <w:fldChar w:fldCharType="separate"/>
      </w:r>
      <w:r w:rsidR="00332E24">
        <w:rPr>
          <w:noProof/>
        </w:rPr>
        <w:t>1</w:t>
      </w:r>
      <w:r>
        <w:rPr>
          <w:noProof/>
        </w:rPr>
        <w:fldChar w:fldCharType="end"/>
      </w:r>
      <w:r w:rsidRPr="0061319E">
        <w:t>Στοιχεία εντάξεων και πληρωμών (έως 31.12.201</w:t>
      </w:r>
      <w:r>
        <w:t>7</w:t>
      </w:r>
      <w:r w:rsidRPr="0061319E">
        <w:t>) δράσεων που υποβλήθηκαν στο πλαίσιο προσκλήσεων στην Επενδυτική Προτεραιότητα 1</w:t>
      </w:r>
      <w:r w:rsidRPr="0061319E">
        <w:rPr>
          <w:lang w:val="en-US"/>
        </w:rPr>
        <w:t>b</w:t>
      </w:r>
    </w:p>
    <w:tbl>
      <w:tblPr>
        <w:tblStyle w:val="TableGrid1"/>
        <w:tblW w:w="935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977"/>
        <w:gridCol w:w="1690"/>
        <w:gridCol w:w="1544"/>
        <w:gridCol w:w="1540"/>
        <w:gridCol w:w="1601"/>
      </w:tblGrid>
      <w:tr w:rsidR="00EB4327" w:rsidRPr="00786B15" w:rsidTr="00B43049">
        <w:trPr>
          <w:trHeight w:val="825"/>
          <w:jc w:val="center"/>
        </w:trPr>
        <w:tc>
          <w:tcPr>
            <w:tcW w:w="2977"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Επενδυτική Προτεραιότητα 1</w:t>
            </w:r>
            <w:r w:rsidRPr="00786B15">
              <w:rPr>
                <w:rFonts w:cs="Calibri"/>
                <w:b/>
                <w:bCs/>
                <w:color w:val="FFFFFF" w:themeColor="background1"/>
                <w:sz w:val="16"/>
                <w:szCs w:val="16"/>
                <w:lang w:val="en-US"/>
              </w:rPr>
              <w:t>b</w:t>
            </w:r>
          </w:p>
        </w:tc>
        <w:tc>
          <w:tcPr>
            <w:tcW w:w="1690"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Σύνολο</w:t>
            </w:r>
          </w:p>
        </w:tc>
        <w:tc>
          <w:tcPr>
            <w:tcW w:w="1544"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Περισσότερο Ανεπτυγμένες Περιφέρειες</w:t>
            </w:r>
          </w:p>
        </w:tc>
        <w:tc>
          <w:tcPr>
            <w:tcW w:w="1540"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Περιφέρειες σε Μετάβαση</w:t>
            </w:r>
          </w:p>
        </w:tc>
        <w:tc>
          <w:tcPr>
            <w:tcW w:w="1601"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Λιγότερο Ανεπτυγμένες Περιφέρειες</w:t>
            </w:r>
          </w:p>
        </w:tc>
      </w:tr>
      <w:tr w:rsidR="00EB4327" w:rsidRPr="008B45A0" w:rsidTr="00B43049">
        <w:trPr>
          <w:trHeight w:val="28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Προϋπ/σμός πρόσκλησης (ΔΔ):</w:t>
            </w:r>
          </w:p>
        </w:tc>
        <w:tc>
          <w:tcPr>
            <w:tcW w:w="1690" w:type="dxa"/>
            <w:vAlign w:val="center"/>
          </w:tcPr>
          <w:p w:rsidR="00EB4327" w:rsidRPr="00710B02" w:rsidRDefault="00EB4327" w:rsidP="00B43049">
            <w:pPr>
              <w:jc w:val="center"/>
              <w:rPr>
                <w:b/>
                <w:bCs/>
                <w:sz w:val="16"/>
                <w:szCs w:val="16"/>
              </w:rPr>
            </w:pPr>
            <w:r w:rsidRPr="00710B02">
              <w:rPr>
                <w:b/>
                <w:bCs/>
                <w:sz w:val="16"/>
                <w:szCs w:val="16"/>
              </w:rPr>
              <w:t>430.000.000,00 €</w:t>
            </w:r>
          </w:p>
        </w:tc>
        <w:tc>
          <w:tcPr>
            <w:tcW w:w="1544" w:type="dxa"/>
            <w:vAlign w:val="center"/>
          </w:tcPr>
          <w:p w:rsidR="00EB4327" w:rsidRPr="00710B02" w:rsidRDefault="00EB4327" w:rsidP="00B43049">
            <w:pPr>
              <w:jc w:val="center"/>
              <w:rPr>
                <w:sz w:val="16"/>
                <w:szCs w:val="16"/>
              </w:rPr>
            </w:pPr>
            <w:r w:rsidRPr="00710B02">
              <w:rPr>
                <w:sz w:val="16"/>
                <w:szCs w:val="16"/>
              </w:rPr>
              <w:t>155.680.000,00 €</w:t>
            </w:r>
          </w:p>
        </w:tc>
        <w:tc>
          <w:tcPr>
            <w:tcW w:w="1540" w:type="dxa"/>
            <w:vAlign w:val="center"/>
          </w:tcPr>
          <w:p w:rsidR="00EB4327" w:rsidRPr="00710B02" w:rsidRDefault="00EB4327" w:rsidP="00B43049">
            <w:pPr>
              <w:jc w:val="center"/>
              <w:rPr>
                <w:sz w:val="16"/>
                <w:szCs w:val="16"/>
              </w:rPr>
            </w:pPr>
            <w:r w:rsidRPr="00710B02">
              <w:rPr>
                <w:sz w:val="16"/>
                <w:szCs w:val="16"/>
              </w:rPr>
              <w:t>68.845.000,00 €</w:t>
            </w:r>
          </w:p>
        </w:tc>
        <w:tc>
          <w:tcPr>
            <w:tcW w:w="1601" w:type="dxa"/>
            <w:vAlign w:val="center"/>
          </w:tcPr>
          <w:p w:rsidR="00EB4327" w:rsidRPr="00710B02" w:rsidRDefault="00EB4327" w:rsidP="00B43049">
            <w:pPr>
              <w:jc w:val="center"/>
              <w:rPr>
                <w:sz w:val="16"/>
                <w:szCs w:val="16"/>
              </w:rPr>
            </w:pPr>
            <w:r w:rsidRPr="00710B02">
              <w:rPr>
                <w:sz w:val="16"/>
                <w:szCs w:val="16"/>
              </w:rPr>
              <w:t>205.475.000,00 €</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 xml:space="preserve">Προϋπ/σμός ενταγμένων έργων (ΔΔ): </w:t>
            </w:r>
          </w:p>
        </w:tc>
        <w:tc>
          <w:tcPr>
            <w:tcW w:w="1690" w:type="dxa"/>
            <w:vAlign w:val="center"/>
          </w:tcPr>
          <w:p w:rsidR="00EB4327" w:rsidRPr="00710B02" w:rsidRDefault="00EB4327" w:rsidP="00B43049">
            <w:pPr>
              <w:jc w:val="center"/>
              <w:rPr>
                <w:b/>
                <w:bCs/>
                <w:sz w:val="16"/>
                <w:szCs w:val="16"/>
              </w:rPr>
            </w:pPr>
            <w:r w:rsidRPr="00710B02">
              <w:rPr>
                <w:b/>
                <w:bCs/>
                <w:sz w:val="16"/>
                <w:szCs w:val="16"/>
              </w:rPr>
              <w:t>3.099.921,58 €</w:t>
            </w:r>
          </w:p>
        </w:tc>
        <w:tc>
          <w:tcPr>
            <w:tcW w:w="1544" w:type="dxa"/>
            <w:vAlign w:val="center"/>
          </w:tcPr>
          <w:p w:rsidR="00EB4327" w:rsidRPr="00710B02" w:rsidRDefault="00EB4327" w:rsidP="00B43049">
            <w:pPr>
              <w:jc w:val="center"/>
              <w:rPr>
                <w:sz w:val="16"/>
                <w:szCs w:val="16"/>
              </w:rPr>
            </w:pPr>
            <w:r w:rsidRPr="00710B02">
              <w:rPr>
                <w:sz w:val="16"/>
                <w:szCs w:val="16"/>
              </w:rPr>
              <w:t>1.268.663,11 €</w:t>
            </w:r>
          </w:p>
        </w:tc>
        <w:tc>
          <w:tcPr>
            <w:tcW w:w="1540" w:type="dxa"/>
            <w:vAlign w:val="center"/>
          </w:tcPr>
          <w:p w:rsidR="00EB4327" w:rsidRPr="00710B02" w:rsidRDefault="00EB4327" w:rsidP="00B43049">
            <w:pPr>
              <w:jc w:val="center"/>
              <w:rPr>
                <w:sz w:val="16"/>
                <w:szCs w:val="16"/>
              </w:rPr>
            </w:pPr>
            <w:r w:rsidRPr="00710B02">
              <w:rPr>
                <w:sz w:val="16"/>
                <w:szCs w:val="16"/>
              </w:rPr>
              <w:t>771.964,26 €</w:t>
            </w:r>
          </w:p>
        </w:tc>
        <w:tc>
          <w:tcPr>
            <w:tcW w:w="1601" w:type="dxa"/>
            <w:vAlign w:val="center"/>
          </w:tcPr>
          <w:p w:rsidR="00EB4327" w:rsidRPr="00710B02" w:rsidRDefault="00EB4327" w:rsidP="00B43049">
            <w:pPr>
              <w:jc w:val="center"/>
              <w:rPr>
                <w:sz w:val="16"/>
                <w:szCs w:val="16"/>
              </w:rPr>
            </w:pPr>
            <w:r w:rsidRPr="00710B02">
              <w:rPr>
                <w:sz w:val="16"/>
                <w:szCs w:val="16"/>
              </w:rPr>
              <w:t>1.059.294,21 €</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 xml:space="preserve">Δαπάνες έργων (ΔΔ): </w:t>
            </w:r>
          </w:p>
        </w:tc>
        <w:tc>
          <w:tcPr>
            <w:tcW w:w="1690" w:type="dxa"/>
            <w:vAlign w:val="center"/>
          </w:tcPr>
          <w:p w:rsidR="00EB4327" w:rsidRPr="00710B02" w:rsidRDefault="00EB4327" w:rsidP="00B43049">
            <w:pPr>
              <w:jc w:val="center"/>
              <w:rPr>
                <w:b/>
                <w:bCs/>
                <w:sz w:val="16"/>
                <w:szCs w:val="16"/>
              </w:rPr>
            </w:pPr>
            <w:r w:rsidRPr="00710B02">
              <w:rPr>
                <w:b/>
                <w:bCs/>
                <w:sz w:val="16"/>
                <w:szCs w:val="16"/>
              </w:rPr>
              <w:t>0,00 €</w:t>
            </w:r>
          </w:p>
        </w:tc>
        <w:tc>
          <w:tcPr>
            <w:tcW w:w="1544" w:type="dxa"/>
            <w:vAlign w:val="center"/>
          </w:tcPr>
          <w:p w:rsidR="00EB4327" w:rsidRPr="00710B02" w:rsidRDefault="00EB4327" w:rsidP="00B43049">
            <w:pPr>
              <w:jc w:val="center"/>
              <w:rPr>
                <w:sz w:val="16"/>
                <w:szCs w:val="16"/>
              </w:rPr>
            </w:pPr>
            <w:r w:rsidRPr="00710B02">
              <w:rPr>
                <w:sz w:val="16"/>
                <w:szCs w:val="16"/>
              </w:rPr>
              <w:t>0,00 €</w:t>
            </w:r>
          </w:p>
        </w:tc>
        <w:tc>
          <w:tcPr>
            <w:tcW w:w="1540" w:type="dxa"/>
            <w:vAlign w:val="center"/>
          </w:tcPr>
          <w:p w:rsidR="00EB4327" w:rsidRPr="00710B02" w:rsidRDefault="00EB4327" w:rsidP="00B43049">
            <w:pPr>
              <w:jc w:val="center"/>
              <w:rPr>
                <w:sz w:val="16"/>
                <w:szCs w:val="16"/>
              </w:rPr>
            </w:pPr>
            <w:r w:rsidRPr="00710B02">
              <w:rPr>
                <w:sz w:val="16"/>
                <w:szCs w:val="16"/>
              </w:rPr>
              <w:t>0,00 €</w:t>
            </w:r>
          </w:p>
        </w:tc>
        <w:tc>
          <w:tcPr>
            <w:tcW w:w="1601" w:type="dxa"/>
            <w:vAlign w:val="center"/>
          </w:tcPr>
          <w:p w:rsidR="00EB4327" w:rsidRPr="00710B02" w:rsidRDefault="00EB4327" w:rsidP="00B43049">
            <w:pPr>
              <w:jc w:val="center"/>
              <w:rPr>
                <w:sz w:val="16"/>
                <w:szCs w:val="16"/>
              </w:rPr>
            </w:pPr>
            <w:r w:rsidRPr="00710B02">
              <w:rPr>
                <w:sz w:val="16"/>
                <w:szCs w:val="16"/>
              </w:rPr>
              <w:t>0,00 €</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Αριθμ. ενταγμένων πράξεων:</w:t>
            </w:r>
          </w:p>
        </w:tc>
        <w:tc>
          <w:tcPr>
            <w:tcW w:w="1690" w:type="dxa"/>
            <w:vAlign w:val="center"/>
          </w:tcPr>
          <w:p w:rsidR="00EB4327" w:rsidRPr="00710B02" w:rsidRDefault="00EB4327" w:rsidP="00B43049">
            <w:pPr>
              <w:jc w:val="center"/>
              <w:rPr>
                <w:b/>
                <w:bCs/>
                <w:sz w:val="16"/>
                <w:szCs w:val="16"/>
              </w:rPr>
            </w:pPr>
            <w:r w:rsidRPr="00710B02">
              <w:rPr>
                <w:b/>
                <w:bCs/>
                <w:sz w:val="16"/>
                <w:szCs w:val="16"/>
              </w:rPr>
              <w:t xml:space="preserve">32 </w:t>
            </w:r>
          </w:p>
        </w:tc>
        <w:tc>
          <w:tcPr>
            <w:tcW w:w="1544" w:type="dxa"/>
            <w:vAlign w:val="center"/>
          </w:tcPr>
          <w:p w:rsidR="00EB4327" w:rsidRPr="00710B02" w:rsidRDefault="00EB4327" w:rsidP="00B43049">
            <w:pPr>
              <w:jc w:val="center"/>
              <w:rPr>
                <w:sz w:val="16"/>
                <w:szCs w:val="16"/>
              </w:rPr>
            </w:pPr>
            <w:r w:rsidRPr="00710B02">
              <w:rPr>
                <w:sz w:val="16"/>
                <w:szCs w:val="16"/>
              </w:rPr>
              <w:t>14</w:t>
            </w:r>
          </w:p>
        </w:tc>
        <w:tc>
          <w:tcPr>
            <w:tcW w:w="1540" w:type="dxa"/>
            <w:vAlign w:val="center"/>
          </w:tcPr>
          <w:p w:rsidR="00EB4327" w:rsidRPr="00710B02" w:rsidRDefault="00EB4327" w:rsidP="00B43049">
            <w:pPr>
              <w:jc w:val="center"/>
              <w:rPr>
                <w:sz w:val="16"/>
                <w:szCs w:val="16"/>
              </w:rPr>
            </w:pPr>
            <w:r w:rsidRPr="00710B02">
              <w:rPr>
                <w:sz w:val="16"/>
                <w:szCs w:val="16"/>
              </w:rPr>
              <w:t>9</w:t>
            </w:r>
          </w:p>
        </w:tc>
        <w:tc>
          <w:tcPr>
            <w:tcW w:w="1601" w:type="dxa"/>
            <w:vAlign w:val="center"/>
          </w:tcPr>
          <w:p w:rsidR="00EB4327" w:rsidRPr="00710B02" w:rsidRDefault="00EB4327" w:rsidP="00B43049">
            <w:pPr>
              <w:jc w:val="center"/>
              <w:rPr>
                <w:sz w:val="16"/>
                <w:szCs w:val="16"/>
              </w:rPr>
            </w:pPr>
            <w:r w:rsidRPr="00710B02">
              <w:rPr>
                <w:sz w:val="16"/>
                <w:szCs w:val="16"/>
              </w:rPr>
              <w:t>14</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Αριθμ. συμμετοχών:</w:t>
            </w:r>
          </w:p>
        </w:tc>
        <w:tc>
          <w:tcPr>
            <w:tcW w:w="1690" w:type="dxa"/>
            <w:vAlign w:val="center"/>
          </w:tcPr>
          <w:p w:rsidR="00EB4327" w:rsidRPr="00710B02" w:rsidRDefault="00EB4327" w:rsidP="00B43049">
            <w:pPr>
              <w:jc w:val="center"/>
              <w:rPr>
                <w:b/>
                <w:bCs/>
                <w:sz w:val="16"/>
                <w:szCs w:val="16"/>
              </w:rPr>
            </w:pPr>
            <w:r w:rsidRPr="00710B02">
              <w:rPr>
                <w:b/>
                <w:bCs/>
                <w:sz w:val="16"/>
                <w:szCs w:val="16"/>
              </w:rPr>
              <w:t xml:space="preserve">45 </w:t>
            </w:r>
          </w:p>
        </w:tc>
        <w:tc>
          <w:tcPr>
            <w:tcW w:w="1544" w:type="dxa"/>
            <w:vAlign w:val="center"/>
          </w:tcPr>
          <w:p w:rsidR="00EB4327" w:rsidRPr="00710B02" w:rsidRDefault="00EB4327" w:rsidP="00B43049">
            <w:pPr>
              <w:jc w:val="center"/>
              <w:rPr>
                <w:sz w:val="16"/>
                <w:szCs w:val="16"/>
              </w:rPr>
            </w:pPr>
            <w:r w:rsidRPr="00710B02">
              <w:rPr>
                <w:sz w:val="16"/>
                <w:szCs w:val="16"/>
              </w:rPr>
              <w:t>16</w:t>
            </w:r>
          </w:p>
        </w:tc>
        <w:tc>
          <w:tcPr>
            <w:tcW w:w="1540" w:type="dxa"/>
            <w:vAlign w:val="center"/>
          </w:tcPr>
          <w:p w:rsidR="00EB4327" w:rsidRPr="00710B02" w:rsidRDefault="00EB4327" w:rsidP="00B43049">
            <w:pPr>
              <w:jc w:val="center"/>
              <w:rPr>
                <w:sz w:val="16"/>
                <w:szCs w:val="16"/>
              </w:rPr>
            </w:pPr>
            <w:r w:rsidRPr="00710B02">
              <w:rPr>
                <w:sz w:val="16"/>
                <w:szCs w:val="16"/>
              </w:rPr>
              <w:t>13</w:t>
            </w:r>
          </w:p>
        </w:tc>
        <w:tc>
          <w:tcPr>
            <w:tcW w:w="1601" w:type="dxa"/>
            <w:vAlign w:val="center"/>
          </w:tcPr>
          <w:p w:rsidR="00EB4327" w:rsidRPr="00710B02" w:rsidRDefault="00EB4327" w:rsidP="00B43049">
            <w:pPr>
              <w:jc w:val="center"/>
              <w:rPr>
                <w:sz w:val="16"/>
                <w:szCs w:val="16"/>
              </w:rPr>
            </w:pPr>
            <w:r w:rsidRPr="00710B02">
              <w:rPr>
                <w:sz w:val="16"/>
                <w:szCs w:val="16"/>
              </w:rPr>
              <w:t>16</w:t>
            </w:r>
          </w:p>
        </w:tc>
      </w:tr>
    </w:tbl>
    <w:p w:rsidR="00EB4327" w:rsidRDefault="00EB4327" w:rsidP="00EB4327">
      <w:pPr>
        <w:pStyle w:val="Caption"/>
      </w:pPr>
    </w:p>
    <w:p w:rsidR="00EB4327" w:rsidRPr="00786B15" w:rsidRDefault="00EB4327" w:rsidP="00EB4327">
      <w:pPr>
        <w:pStyle w:val="Caption"/>
      </w:pPr>
      <w:r w:rsidRPr="00C10F81">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fldChar w:fldCharType="begin"/>
      </w:r>
      <w:r>
        <w:rPr>
          <w:noProof/>
        </w:rPr>
        <w:instrText xml:space="preserve"> SEQ Πίνακας \* ARABIC \s 1 </w:instrText>
      </w:r>
      <w:r>
        <w:rPr>
          <w:noProof/>
        </w:rPr>
        <w:fldChar w:fldCharType="separate"/>
      </w:r>
      <w:r w:rsidR="00332E24">
        <w:rPr>
          <w:noProof/>
        </w:rPr>
        <w:t>2</w:t>
      </w:r>
      <w:r>
        <w:rPr>
          <w:noProof/>
        </w:rPr>
        <w:fldChar w:fldCharType="end"/>
      </w:r>
      <w:r>
        <w:t xml:space="preserve">: </w:t>
      </w:r>
      <w:r w:rsidRPr="00C10F81">
        <w:t>Ποσοστιαία κατανομή εντάξεων και πληρωμών (έως 31.12.201</w:t>
      </w:r>
      <w:r>
        <w:t>7</w:t>
      </w:r>
      <w:r w:rsidRPr="00C10F81">
        <w:t>) δράσεων που υποβλήθηκαν στο πλαίσιο προσκλήσεων στην Επενδυτική Προτεραιότητα 1</w:t>
      </w:r>
      <w:r w:rsidRPr="00C10F81">
        <w:rPr>
          <w:lang w:val="en-US"/>
        </w:rPr>
        <w:t>b</w:t>
      </w:r>
    </w:p>
    <w:tbl>
      <w:tblPr>
        <w:tblStyle w:val="TableGrid1"/>
        <w:tblW w:w="944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804"/>
        <w:gridCol w:w="1522"/>
        <w:gridCol w:w="1522"/>
        <w:gridCol w:w="1594"/>
      </w:tblGrid>
      <w:tr w:rsidR="00EB4327" w:rsidRPr="008B45A0" w:rsidTr="00B43049">
        <w:trPr>
          <w:trHeight w:val="510"/>
          <w:tblHeader/>
          <w:jc w:val="center"/>
        </w:trPr>
        <w:tc>
          <w:tcPr>
            <w:tcW w:w="4804"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Επενδυτική Προτεραιότητα 1</w:t>
            </w:r>
            <w:r w:rsidRPr="00786B15">
              <w:rPr>
                <w:rFonts w:cs="Calibri"/>
                <w:b/>
                <w:bCs/>
                <w:color w:val="FFFFFF" w:themeColor="background1"/>
                <w:sz w:val="16"/>
                <w:szCs w:val="16"/>
                <w:lang w:val="en-US"/>
              </w:rPr>
              <w:t>b</w:t>
            </w:r>
          </w:p>
        </w:tc>
        <w:tc>
          <w:tcPr>
            <w:tcW w:w="1522"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Περισσότερο Ανεπτυγμένες Περιφέρειες</w:t>
            </w:r>
          </w:p>
        </w:tc>
        <w:tc>
          <w:tcPr>
            <w:tcW w:w="1522"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Περιφέρειες σε Μετάβαση</w:t>
            </w:r>
          </w:p>
        </w:tc>
        <w:tc>
          <w:tcPr>
            <w:tcW w:w="1594" w:type="dxa"/>
            <w:shd w:val="clear" w:color="auto" w:fill="800000"/>
            <w:vAlign w:val="center"/>
            <w:hideMark/>
          </w:tcPr>
          <w:p w:rsidR="00EB4327" w:rsidRPr="00786B15" w:rsidRDefault="00EB4327" w:rsidP="00B43049">
            <w:pPr>
              <w:jc w:val="center"/>
              <w:rPr>
                <w:rFonts w:cs="Calibri"/>
                <w:b/>
                <w:bCs/>
                <w:color w:val="FFFFFF" w:themeColor="background1"/>
                <w:sz w:val="16"/>
                <w:szCs w:val="16"/>
              </w:rPr>
            </w:pPr>
            <w:r w:rsidRPr="00786B15">
              <w:rPr>
                <w:rFonts w:cs="Calibri"/>
                <w:b/>
                <w:bCs/>
                <w:color w:val="FFFFFF" w:themeColor="background1"/>
                <w:sz w:val="16"/>
                <w:szCs w:val="16"/>
              </w:rPr>
              <w:t>Λιγότερο Ανεπτυγμένες Περιφέρειες</w:t>
            </w:r>
          </w:p>
        </w:tc>
      </w:tr>
      <w:tr w:rsidR="00EB4327" w:rsidRPr="008B45A0" w:rsidTr="00B43049">
        <w:trPr>
          <w:trHeight w:val="645"/>
          <w:jc w:val="center"/>
        </w:trPr>
        <w:tc>
          <w:tcPr>
            <w:tcW w:w="4804" w:type="dxa"/>
            <w:hideMark/>
          </w:tcPr>
          <w:p w:rsidR="00EB4327" w:rsidRPr="00DF43D2" w:rsidRDefault="00EB4327" w:rsidP="00B43049">
            <w:pPr>
              <w:rPr>
                <w:rFonts w:cs="Calibri"/>
                <w:sz w:val="16"/>
                <w:szCs w:val="16"/>
              </w:rPr>
            </w:pPr>
            <w:r w:rsidRPr="00DF43D2">
              <w:rPr>
                <w:rFonts w:cs="Calibri"/>
                <w:sz w:val="16"/>
                <w:szCs w:val="16"/>
              </w:rPr>
              <w:t>Ποσοστό προϋπ/σμού της Πρόσκλησης που αφορά στην κατηγορία Περιφέρειας</w:t>
            </w:r>
          </w:p>
        </w:tc>
        <w:tc>
          <w:tcPr>
            <w:tcW w:w="1522" w:type="dxa"/>
            <w:vAlign w:val="center"/>
          </w:tcPr>
          <w:p w:rsidR="00EB4327" w:rsidRPr="008D4982" w:rsidRDefault="00EB4327" w:rsidP="00B43049">
            <w:pPr>
              <w:jc w:val="center"/>
            </w:pPr>
            <w:r w:rsidRPr="008D4982">
              <w:t>36,20%</w:t>
            </w:r>
          </w:p>
        </w:tc>
        <w:tc>
          <w:tcPr>
            <w:tcW w:w="1522" w:type="dxa"/>
            <w:vAlign w:val="center"/>
          </w:tcPr>
          <w:p w:rsidR="00EB4327" w:rsidRPr="008D4982" w:rsidRDefault="00EB4327" w:rsidP="00B43049">
            <w:pPr>
              <w:jc w:val="center"/>
            </w:pPr>
            <w:r w:rsidRPr="008D4982">
              <w:t>16,01%</w:t>
            </w:r>
          </w:p>
        </w:tc>
        <w:tc>
          <w:tcPr>
            <w:tcW w:w="1594" w:type="dxa"/>
            <w:vAlign w:val="center"/>
          </w:tcPr>
          <w:p w:rsidR="00EB4327" w:rsidRPr="008D4982" w:rsidRDefault="00EB4327" w:rsidP="00B43049">
            <w:pPr>
              <w:jc w:val="center"/>
            </w:pPr>
            <w:r w:rsidRPr="008D4982">
              <w:t>47,78%</w:t>
            </w:r>
          </w:p>
        </w:tc>
      </w:tr>
      <w:tr w:rsidR="00EB4327" w:rsidRPr="008B45A0" w:rsidTr="00B43049">
        <w:trPr>
          <w:trHeight w:val="553"/>
          <w:jc w:val="center"/>
        </w:trPr>
        <w:tc>
          <w:tcPr>
            <w:tcW w:w="4804" w:type="dxa"/>
            <w:hideMark/>
          </w:tcPr>
          <w:p w:rsidR="00EB4327" w:rsidRPr="00DF43D2" w:rsidRDefault="00EB4327" w:rsidP="00B43049">
            <w:pPr>
              <w:rPr>
                <w:rFonts w:cs="Calibri"/>
                <w:sz w:val="16"/>
                <w:szCs w:val="16"/>
              </w:rPr>
            </w:pPr>
            <w:r w:rsidRPr="00DF43D2">
              <w:rPr>
                <w:rFonts w:cs="Calibri"/>
                <w:sz w:val="16"/>
                <w:szCs w:val="16"/>
              </w:rPr>
              <w:t xml:space="preserve">Ποσοστό προϋπ/σμού ενταγμένων </w:t>
            </w:r>
            <w:r>
              <w:rPr>
                <w:rFonts w:cs="Calibri"/>
                <w:sz w:val="16"/>
                <w:szCs w:val="16"/>
              </w:rPr>
              <w:t>έργων ανά κατηγορία Περιφερειών</w:t>
            </w:r>
          </w:p>
        </w:tc>
        <w:tc>
          <w:tcPr>
            <w:tcW w:w="1522" w:type="dxa"/>
            <w:vAlign w:val="center"/>
          </w:tcPr>
          <w:p w:rsidR="00EB4327" w:rsidRPr="008D4982" w:rsidRDefault="00EB4327" w:rsidP="00B43049">
            <w:pPr>
              <w:jc w:val="center"/>
            </w:pPr>
            <w:r w:rsidRPr="008D4982">
              <w:t>0,81%</w:t>
            </w:r>
          </w:p>
        </w:tc>
        <w:tc>
          <w:tcPr>
            <w:tcW w:w="1522" w:type="dxa"/>
            <w:vAlign w:val="center"/>
          </w:tcPr>
          <w:p w:rsidR="00EB4327" w:rsidRPr="008D4982" w:rsidRDefault="00EB4327" w:rsidP="00B43049">
            <w:pPr>
              <w:jc w:val="center"/>
            </w:pPr>
            <w:r w:rsidRPr="008D4982">
              <w:t>1,12%</w:t>
            </w:r>
          </w:p>
        </w:tc>
        <w:tc>
          <w:tcPr>
            <w:tcW w:w="1594" w:type="dxa"/>
            <w:vAlign w:val="center"/>
          </w:tcPr>
          <w:p w:rsidR="00EB4327" w:rsidRPr="008D4982" w:rsidRDefault="00EB4327" w:rsidP="00B43049">
            <w:pPr>
              <w:jc w:val="center"/>
            </w:pPr>
            <w:r w:rsidRPr="008D4982">
              <w:t>0,52%</w:t>
            </w:r>
          </w:p>
        </w:tc>
      </w:tr>
      <w:tr w:rsidR="00EB4327" w:rsidRPr="008B45A0" w:rsidTr="00B43049">
        <w:trPr>
          <w:trHeight w:val="690"/>
          <w:jc w:val="center"/>
        </w:trPr>
        <w:tc>
          <w:tcPr>
            <w:tcW w:w="4804" w:type="dxa"/>
            <w:hideMark/>
          </w:tcPr>
          <w:p w:rsidR="00EB4327" w:rsidRPr="00DF43D2" w:rsidRDefault="00EB4327" w:rsidP="00B43049">
            <w:pPr>
              <w:rPr>
                <w:rFonts w:cs="Calibri"/>
                <w:color w:val="000000"/>
                <w:sz w:val="16"/>
                <w:szCs w:val="16"/>
              </w:rPr>
            </w:pPr>
            <w:r w:rsidRPr="00DF43D2">
              <w:rPr>
                <w:rFonts w:cs="Calibri"/>
                <w:color w:val="000000"/>
                <w:sz w:val="16"/>
                <w:szCs w:val="16"/>
              </w:rPr>
              <w:t xml:space="preserve">Κατανομή του προϋπ/σμού (ΔΔ) των ενταγμένων </w:t>
            </w:r>
            <w:r>
              <w:rPr>
                <w:rFonts w:cs="Calibri"/>
                <w:color w:val="000000"/>
                <w:sz w:val="16"/>
                <w:szCs w:val="16"/>
              </w:rPr>
              <w:t>έργων ανά κατηγορία Περιφερειών</w:t>
            </w:r>
          </w:p>
        </w:tc>
        <w:tc>
          <w:tcPr>
            <w:tcW w:w="1522" w:type="dxa"/>
            <w:vAlign w:val="center"/>
          </w:tcPr>
          <w:p w:rsidR="00EB4327" w:rsidRPr="008D4982" w:rsidRDefault="00EB4327" w:rsidP="00B43049">
            <w:pPr>
              <w:jc w:val="center"/>
            </w:pPr>
            <w:r w:rsidRPr="008D4982">
              <w:t>40,93%</w:t>
            </w:r>
          </w:p>
        </w:tc>
        <w:tc>
          <w:tcPr>
            <w:tcW w:w="1522" w:type="dxa"/>
            <w:vAlign w:val="center"/>
          </w:tcPr>
          <w:p w:rsidR="00EB4327" w:rsidRPr="008D4982" w:rsidRDefault="00EB4327" w:rsidP="00B43049">
            <w:pPr>
              <w:jc w:val="center"/>
            </w:pPr>
            <w:r w:rsidRPr="008D4982">
              <w:t>24,90%</w:t>
            </w:r>
          </w:p>
        </w:tc>
        <w:tc>
          <w:tcPr>
            <w:tcW w:w="1594" w:type="dxa"/>
            <w:vAlign w:val="center"/>
          </w:tcPr>
          <w:p w:rsidR="00EB4327" w:rsidRPr="008D4982" w:rsidRDefault="00EB4327" w:rsidP="00B43049">
            <w:pPr>
              <w:jc w:val="center"/>
            </w:pPr>
            <w:r w:rsidRPr="008D4982">
              <w:t>34,17%</w:t>
            </w:r>
          </w:p>
        </w:tc>
      </w:tr>
      <w:tr w:rsidR="00EB4327" w:rsidRPr="008B45A0" w:rsidTr="00B43049">
        <w:trPr>
          <w:trHeight w:val="510"/>
          <w:jc w:val="center"/>
        </w:trPr>
        <w:tc>
          <w:tcPr>
            <w:tcW w:w="4804" w:type="dxa"/>
            <w:hideMark/>
          </w:tcPr>
          <w:p w:rsidR="00EB4327" w:rsidRPr="00DF43D2" w:rsidRDefault="00EB4327" w:rsidP="00B43049">
            <w:pPr>
              <w:rPr>
                <w:rFonts w:cs="Calibri"/>
                <w:color w:val="000000"/>
                <w:sz w:val="16"/>
                <w:szCs w:val="16"/>
              </w:rPr>
            </w:pPr>
            <w:r w:rsidRPr="00DF43D2">
              <w:rPr>
                <w:rFonts w:cs="Calibri"/>
                <w:color w:val="000000"/>
                <w:sz w:val="16"/>
                <w:szCs w:val="16"/>
              </w:rPr>
              <w:t>Κατανομή των δαπανών (Δ</w:t>
            </w:r>
            <w:r>
              <w:rPr>
                <w:rFonts w:cs="Calibri"/>
                <w:color w:val="000000"/>
                <w:sz w:val="16"/>
                <w:szCs w:val="16"/>
              </w:rPr>
              <w:t xml:space="preserve">Δ) στις κατηγορίες Περιφερειών </w:t>
            </w:r>
          </w:p>
        </w:tc>
        <w:tc>
          <w:tcPr>
            <w:tcW w:w="1522" w:type="dxa"/>
            <w:vAlign w:val="center"/>
          </w:tcPr>
          <w:p w:rsidR="00EB4327" w:rsidRPr="008D4982" w:rsidRDefault="00EB4327" w:rsidP="00B43049">
            <w:pPr>
              <w:jc w:val="center"/>
            </w:pPr>
            <w:r>
              <w:t>0,00%</w:t>
            </w:r>
          </w:p>
        </w:tc>
        <w:tc>
          <w:tcPr>
            <w:tcW w:w="1522" w:type="dxa"/>
            <w:vAlign w:val="center"/>
          </w:tcPr>
          <w:p w:rsidR="00EB4327" w:rsidRDefault="00EB4327" w:rsidP="00B43049">
            <w:pPr>
              <w:jc w:val="center"/>
            </w:pPr>
            <w:r w:rsidRPr="002264AE">
              <w:t>0,00%</w:t>
            </w:r>
          </w:p>
        </w:tc>
        <w:tc>
          <w:tcPr>
            <w:tcW w:w="1594" w:type="dxa"/>
            <w:vAlign w:val="center"/>
          </w:tcPr>
          <w:p w:rsidR="00EB4327" w:rsidRDefault="00EB4327" w:rsidP="00B43049">
            <w:pPr>
              <w:jc w:val="center"/>
            </w:pPr>
            <w:r w:rsidRPr="002264AE">
              <w:t>0,00%</w:t>
            </w:r>
          </w:p>
        </w:tc>
      </w:tr>
    </w:tbl>
    <w:p w:rsidR="00EB4327" w:rsidRPr="00CF58DA" w:rsidRDefault="00EB4327" w:rsidP="00EB4327">
      <w:r w:rsidRPr="00CF58DA">
        <w:lastRenderedPageBreak/>
        <w:t xml:space="preserve">Ως προς τη </w:t>
      </w:r>
      <w:r w:rsidR="0054602A">
        <w:t>σ</w:t>
      </w:r>
      <w:r w:rsidRPr="00CF58DA">
        <w:t xml:space="preserve">τρατηγική </w:t>
      </w:r>
      <w:r w:rsidRPr="00CF58DA">
        <w:rPr>
          <w:lang w:val="en-US"/>
        </w:rPr>
        <w:t>RIS</w:t>
      </w:r>
      <w:r w:rsidRPr="00CF58DA">
        <w:t>3, διαπιστώνεται ότι τηρούνται οι οριζόντιες συνιστώσες οι οποίες κατά προτεραιότητα αφορούν στην ανάπτυξη καινοτόμων προϊόντων και υπηρεσιών, στην αξιοποίηση των ευκαιριών που προσφέρουν αναδυόμενοι τεχνολογικοί τομείς, στην παραγωγή νέας γνώσης, στην αριστεία στην έρευνα.</w:t>
      </w:r>
    </w:p>
    <w:p w:rsidR="00EB4327" w:rsidRPr="00CF58DA" w:rsidRDefault="00EB4327" w:rsidP="00EB4327">
      <w:r w:rsidRPr="00CF58DA">
        <w:t xml:space="preserve">Επίσης, οι προκηρυσσόμενες δράσεις εντάσσονται στη </w:t>
      </w:r>
      <w:r w:rsidRPr="00CF58DA">
        <w:rPr>
          <w:b/>
        </w:rPr>
        <w:t>Στρατηγική Επιλογή 1</w:t>
      </w:r>
      <w:r w:rsidRPr="00CF58DA">
        <w:t xml:space="preserve"> «Επένδυση στη δημιουργία και διάχυση τη Νέας Γνώσης» της </w:t>
      </w:r>
      <w:r w:rsidRPr="00CF58DA">
        <w:rPr>
          <w:lang w:val="en-US"/>
        </w:rPr>
        <w:t>RIS</w:t>
      </w:r>
      <w:r w:rsidRPr="00CF58DA">
        <w:t xml:space="preserve">3, στον </w:t>
      </w:r>
      <w:r w:rsidRPr="00CF58DA">
        <w:rPr>
          <w:b/>
        </w:rPr>
        <w:t>Άξονα Παρέμβασης</w:t>
      </w:r>
      <w:r w:rsidRPr="00CF58DA">
        <w:t xml:space="preserve"> «δ. Εξωστρέφεια και δικτύωση», στην </w:t>
      </w:r>
      <w:r w:rsidRPr="00CF58DA">
        <w:rPr>
          <w:b/>
        </w:rPr>
        <w:t>κατηγορία παρέμβασης</w:t>
      </w:r>
      <w:r w:rsidRPr="00CF58DA">
        <w:t xml:space="preserve"> «1.δ Διασύνδεση αι συνεργασία σε ΕΤΑΚ» (1.δ.1 Ενίσχυση συμμετοχής σε διακρατικά/διευρωπαϊκά δίκτυα, προγράμματα και πρωτοβουλίες – </w:t>
      </w:r>
      <w:r w:rsidRPr="00CF58DA">
        <w:rPr>
          <w:lang w:val="en-US"/>
        </w:rPr>
        <w:t>ERANETS</w:t>
      </w:r>
      <w:r w:rsidRPr="00CF58DA">
        <w:t>-</w:t>
      </w:r>
      <w:r w:rsidRPr="00CF58DA">
        <w:rPr>
          <w:lang w:val="en-US"/>
        </w:rPr>
        <w:t>FTEs</w:t>
      </w:r>
      <w:r w:rsidRPr="00CF58DA">
        <w:t xml:space="preserve"> και 1.δ.2 Δράσεις διμερών και διακρατικών συνεργασιών) και στη </w:t>
      </w:r>
      <w:r w:rsidRPr="00CF58DA">
        <w:rPr>
          <w:b/>
        </w:rPr>
        <w:t xml:space="preserve">Στρατηγική Επιλογή 2 </w:t>
      </w:r>
      <w:r w:rsidRPr="00CF58DA">
        <w:t xml:space="preserve">«Επένδυση στην έρευνα και στην καινοτομία», στον </w:t>
      </w:r>
      <w:r w:rsidRPr="00CF58DA">
        <w:rPr>
          <w:b/>
        </w:rPr>
        <w:t>Άξονα Παρέμβασης</w:t>
      </w:r>
      <w:r w:rsidRPr="00CF58DA">
        <w:t xml:space="preserve"> «β. Ενίσχυση δραστηριοτήτων ΕΤΑΚ» και στην </w:t>
      </w:r>
      <w:r w:rsidRPr="00CF58DA">
        <w:rPr>
          <w:b/>
        </w:rPr>
        <w:t>κατηγορία παρέμβασης</w:t>
      </w:r>
      <w:r w:rsidRPr="00CF58DA">
        <w:t xml:space="preserve"> «2.β Ενίσχυση της ενδογενούς έρευνας και καινοτομίας στις επιχειρήσεις» (2.β.1 Ενιαία δράση κρατικών ενισχύσεων ΕΤΑΚ: ΕΡΕΥΝΩ-ΔΗΜΙΟΥΡΓΩ-ΚΑΙΝΟΤΟΜΩ).</w:t>
      </w:r>
    </w:p>
    <w:p w:rsidR="00E5269F" w:rsidRPr="00CF58DA" w:rsidRDefault="00E5269F" w:rsidP="00E5269F">
      <w:r w:rsidRPr="00CF58DA">
        <w:t xml:space="preserve">Αναφορικά με τα ενταγμένα έργα, αυτά – όπως προαναφέρθηκε – αφορούν </w:t>
      </w:r>
      <w:r w:rsidR="0054602A">
        <w:t>σ</w:t>
      </w:r>
      <w:r w:rsidRPr="00CF58DA">
        <w:t xml:space="preserve">τις πράξεις που εντάχθηκαν στο πλαίσιο της προκηρυχθείσας Δράσης Εθνικής Εμβέλειας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(βλ. Πίνακας </w:t>
      </w:r>
      <w:r w:rsidR="00EC6E73">
        <w:t>3-</w:t>
      </w:r>
      <w:r w:rsidRPr="00CF58DA">
        <w:t xml:space="preserve">3 και Πίνακας </w:t>
      </w:r>
      <w:r w:rsidR="00EC6E73">
        <w:t>3-</w:t>
      </w:r>
      <w:r w:rsidRPr="00CF58DA">
        <w:t>4)</w:t>
      </w:r>
    </w:p>
    <w:p w:rsidR="001C30F7" w:rsidRPr="001C30F7" w:rsidRDefault="001C30F7" w:rsidP="001C30F7">
      <w:pPr>
        <w:spacing w:after="160" w:line="259" w:lineRule="auto"/>
        <w:rPr>
          <w:highlight w:val="yellow"/>
        </w:rPr>
      </w:pPr>
      <w:r w:rsidRPr="001C30F7">
        <w:t>Ο μεγαλύτερος αριθμός των ενταγμένων πράξεων αφορά στον τομέα «Βιοεπιστήμες / Υγεία &amp; Φάρμακα» (13 πράξεις) και ακολουθούν οι τομείς «Ενέργεια» (8 πράξεις), «Αγροδιατροφή» (4 πράξεις), «Περιβάλλον και βιώσιμη ανάπτυξη - Κλιματική Αλλαγή» (4 πράξεις), «Διεπιστημονικές παρεμβάσεις που σχετίζονται με τον στρατηγικό άξονα 3 της RIS» (2 πράξεις) και «Τεχνολογίες πληροφορικής και επικοινωνιών» (1 πράξη). Δεν υπάρχει κανένα ενταγμένο έργο στους τομείς προτεραιότητας «Μεταφορές και Εφοδιαστική Αλυσίδα (Logistics», «Υλικά-Κατασκευές» και «Πολιτισμός - Τουρισμός -Πολιτιστικές και Δημιουργικές Βιομηχανίες».</w:t>
      </w:r>
    </w:p>
    <w:p w:rsidR="001C30F7" w:rsidRPr="001C30F7" w:rsidRDefault="001C30F7" w:rsidP="001C30F7">
      <w:pPr>
        <w:spacing w:after="160" w:line="259" w:lineRule="auto"/>
      </w:pPr>
      <w:r w:rsidRPr="001C30F7">
        <w:t>Όσον αφορά τον Προϋπολογισμό δημόσιας δαπάνης, ποσοστό 41,47% του προϋπολογισμού των ενταγμένων πράξεων συγκεντρώνεται στον τομέα προτεραιότητας «Βιοεπιστήμες / Υγεία &amp; Φάρμακα», και ακολουθούν οι τομείς «Ενέργεια» με ποσοστό 24,28%, «Περιβάλλον και βιώσιμη ανάπτυξη - Κλιματική Αλλαγή» με ποσοστό 12,99%, «Αγροδιατροφή» με ποσοστό 12,61%, ), «Διεπιστημονικές παρεμβάσεις που σχετίζονται με τον στρατηγικό άξονα 3 της RIS» με ποσοστό 6,71% και «Τεχνολογίες πληροφορικής και επικοινωνιών» με ποσοστό 1,94%. Συνολικά, ως προς τις κατηγορίες Περιφερειών, ποσοστό 24,90% του προϋπολογισμού των ενταγμένων έργων αφορά στις Περιφέρειες σε μετάβαση, ποσοστό 40,93% στις περισσότερο ανεπτυγμένες Περιφέρειες και το υπόλοιπο 34,17% στις λιγότερο ανεπτυγμένες Περιφέρειες.</w:t>
      </w:r>
    </w:p>
    <w:p w:rsidR="00EB4327" w:rsidRPr="00CF58DA" w:rsidRDefault="00EB4327" w:rsidP="00480A65">
      <w:pPr>
        <w:rPr>
          <w:highlight w:val="yellow"/>
        </w:rPr>
      </w:pPr>
      <w:r w:rsidRPr="00CF58DA">
        <w:t xml:space="preserve">Αναφορικά με </w:t>
      </w:r>
      <w:r w:rsidR="00CF58DA" w:rsidRPr="00CF58DA">
        <w:t>τ</w:t>
      </w:r>
      <w:r w:rsidR="00AC628B" w:rsidRPr="00CF58DA">
        <w:t xml:space="preserve">ην </w:t>
      </w:r>
      <w:r w:rsidR="00AC628B" w:rsidRPr="00CF58DA">
        <w:rPr>
          <w:u w:val="single"/>
        </w:rPr>
        <w:t xml:space="preserve">κατανομή των </w:t>
      </w:r>
      <w:r w:rsidRPr="00CF58DA">
        <w:rPr>
          <w:u w:val="single"/>
        </w:rPr>
        <w:t>υποβ</w:t>
      </w:r>
      <w:r w:rsidR="00480A65" w:rsidRPr="00CF58DA">
        <w:rPr>
          <w:u w:val="single"/>
        </w:rPr>
        <w:t>ληθ</w:t>
      </w:r>
      <w:r w:rsidR="00AC628B" w:rsidRPr="00CF58DA">
        <w:rPr>
          <w:u w:val="single"/>
        </w:rPr>
        <w:t>εισών</w:t>
      </w:r>
      <w:r w:rsidR="00480A65" w:rsidRPr="00CF58DA">
        <w:rPr>
          <w:u w:val="single"/>
        </w:rPr>
        <w:t xml:space="preserve"> </w:t>
      </w:r>
      <w:r w:rsidR="00AC628B" w:rsidRPr="00CF58DA">
        <w:rPr>
          <w:u w:val="single"/>
        </w:rPr>
        <w:t>προτάσεων και εγκρίσεων</w:t>
      </w:r>
      <w:r w:rsidR="00480A65" w:rsidRPr="00CF58DA">
        <w:t xml:space="preserve"> </w:t>
      </w:r>
      <w:r w:rsidRPr="00CF58DA">
        <w:t xml:space="preserve">ως προς τους </w:t>
      </w:r>
      <w:r w:rsidR="0054602A">
        <w:t>τ</w:t>
      </w:r>
      <w:r w:rsidRPr="00CF58DA">
        <w:t xml:space="preserve">ομείς </w:t>
      </w:r>
      <w:r w:rsidR="0054602A">
        <w:t>π</w:t>
      </w:r>
      <w:r w:rsidRPr="00CF58DA">
        <w:t xml:space="preserve">ροτεραιότητας της RIS3 και </w:t>
      </w:r>
      <w:r w:rsidR="00AC628B" w:rsidRPr="00CF58DA">
        <w:t>τις Ομάδες Περιφερειών, για τις δράσεις της Επενδυτικής Προτεραιότητας 1</w:t>
      </w:r>
      <w:r w:rsidR="0054602A">
        <w:rPr>
          <w:lang w:val="en-US"/>
        </w:rPr>
        <w:t>b</w:t>
      </w:r>
      <w:r w:rsidRPr="00CF58DA">
        <w:t xml:space="preserve"> </w:t>
      </w:r>
      <w:r w:rsidR="00AC628B" w:rsidRPr="00CF58DA">
        <w:t>(</w:t>
      </w:r>
      <w:r w:rsidRPr="00CF58DA">
        <w:t>«ΕΡΕΥΝΩ – ΔΗΜΙΟΥΡΓΩ – ΚΑΙΝΟΤΟΜΩ» και Διμερ</w:t>
      </w:r>
      <w:r w:rsidR="00AC628B" w:rsidRPr="00CF58DA">
        <w:t>είς</w:t>
      </w:r>
      <w:r w:rsidRPr="00CF58DA">
        <w:t xml:space="preserve"> Ε&amp;Τ Συνεργασ</w:t>
      </w:r>
      <w:r w:rsidR="00AC628B" w:rsidRPr="00CF58DA">
        <w:t>ίες</w:t>
      </w:r>
      <w:r w:rsidRPr="00CF58DA">
        <w:t xml:space="preserve"> της Ελλάδας με τη Γερμανία, τη Ρωσία και το Ισραήλ. (βλ. </w:t>
      </w:r>
      <w:r w:rsidR="00AC628B" w:rsidRPr="00CF58DA">
        <w:t>πίνακες 3-5 και 3-6</w:t>
      </w:r>
      <w:r w:rsidR="0054602A">
        <w:t>)</w:t>
      </w:r>
      <w:r w:rsidR="00AC628B" w:rsidRPr="00CF58DA">
        <w:t>), έχουν να σημειωθούν τα εξής:</w:t>
      </w:r>
    </w:p>
    <w:p w:rsidR="00EB4327" w:rsidRPr="00CF58DA" w:rsidRDefault="00AC628B" w:rsidP="00EB4327">
      <w:r w:rsidRPr="00CF58DA">
        <w:t xml:space="preserve">Το συνολικό ύψος δημόσιας δαπάνης των υποβληθεισών προτάσεων των (4) παραπάνω δράσεων ανήλθε στο πόσο των 1,463 δισ. </w:t>
      </w:r>
      <w:r w:rsidR="0054602A">
        <w:t xml:space="preserve">ευρώ. </w:t>
      </w:r>
      <w:r w:rsidRPr="00CF58DA">
        <w:t>Σημαντικό ποσοστό του ποσού αυτού (95%)</w:t>
      </w:r>
      <w:r w:rsidR="0054602A">
        <w:t>,</w:t>
      </w:r>
      <w:r w:rsidRPr="00CF58DA">
        <w:t xml:space="preserve"> προέρχεται από τη δράση («ΕΡΕΥΝΩ – ΔΗΜΙΟΥΡΓΩ – ΚΑΙΝΟΤΟΜΩ») </w:t>
      </w:r>
      <w:r w:rsidR="0054602A">
        <w:t>(</w:t>
      </w:r>
      <w:r w:rsidRPr="00CF58DA">
        <w:t>1,386 δισ.</w:t>
      </w:r>
      <w:r w:rsidR="0054602A">
        <w:t xml:space="preserve"> ευρώ</w:t>
      </w:r>
      <w:r w:rsidRPr="00CF58DA">
        <w:t xml:space="preserve">). </w:t>
      </w:r>
    </w:p>
    <w:p w:rsidR="00323844" w:rsidRPr="00CF58DA" w:rsidRDefault="00323844" w:rsidP="00EB4327">
      <w:r w:rsidRPr="00CF58DA">
        <w:t xml:space="preserve">Όσον αφορά </w:t>
      </w:r>
      <w:r w:rsidR="0054602A">
        <w:t>σ</w:t>
      </w:r>
      <w:r w:rsidRPr="00CF58DA">
        <w:t xml:space="preserve">τη σχέση </w:t>
      </w:r>
      <w:r w:rsidR="0054602A">
        <w:t>τ</w:t>
      </w:r>
      <w:r w:rsidRPr="00CF58DA">
        <w:t xml:space="preserve">ομέων </w:t>
      </w:r>
      <w:r w:rsidR="0054602A">
        <w:t>π</w:t>
      </w:r>
      <w:r w:rsidRPr="00CF58DA">
        <w:t xml:space="preserve">ροτεραιότητας </w:t>
      </w:r>
      <w:r w:rsidRPr="00CF58DA">
        <w:rPr>
          <w:lang w:val="en-US"/>
        </w:rPr>
        <w:t>RIS</w:t>
      </w:r>
      <w:r w:rsidR="0054602A">
        <w:t>3</w:t>
      </w:r>
      <w:r w:rsidRPr="00CF58DA">
        <w:t xml:space="preserve"> και κατηγορίας περιφερειών, σε επίπεδο υποβληθεισών προτάσεων, ο </w:t>
      </w:r>
      <w:r w:rsidR="0054602A">
        <w:t>τ</w:t>
      </w:r>
      <w:r w:rsidRPr="00CF58DA">
        <w:t xml:space="preserve">ομέας «Αγροδιατροφή» παρουσιάζει ένα ισχυρό ποσοστό στις Περιφέρειες </w:t>
      </w:r>
      <w:r w:rsidR="00522858">
        <w:t>σε μ</w:t>
      </w:r>
      <w:r w:rsidRPr="00CF58DA">
        <w:t xml:space="preserve">ετάβαση και στις </w:t>
      </w:r>
      <w:r w:rsidR="00522858">
        <w:t>λ</w:t>
      </w:r>
      <w:r w:rsidRPr="00CF58DA">
        <w:t xml:space="preserve">ιγότερο </w:t>
      </w:r>
      <w:r w:rsidR="00522858">
        <w:t>α</w:t>
      </w:r>
      <w:r w:rsidRPr="00CF58DA">
        <w:t xml:space="preserve">νεπτυγμένες Περιφέρειες (20,7% και 25,2% αντίστοιχα), ενώ στις </w:t>
      </w:r>
      <w:r w:rsidR="00522858">
        <w:t>π</w:t>
      </w:r>
      <w:r w:rsidRPr="00CF58DA">
        <w:t xml:space="preserve">ερισσότερο </w:t>
      </w:r>
      <w:r w:rsidR="00522858">
        <w:t>α</w:t>
      </w:r>
      <w:r w:rsidRPr="00CF58DA">
        <w:t xml:space="preserve">νεπτυγμένες Περιφέρειες την υψηλότερη επίδοση παρουσιάζουν οι </w:t>
      </w:r>
      <w:r w:rsidR="00522858">
        <w:t>τ</w:t>
      </w:r>
      <w:r w:rsidRPr="00CF58DA">
        <w:t>ομείς των Βιοεπιστημών και των ΤΠΕ (20,8% και 20,6% αντίστοιχα). Αντίθετα</w:t>
      </w:r>
      <w:r w:rsidR="00522858">
        <w:t>,</w:t>
      </w:r>
      <w:r w:rsidRPr="00CF58DA">
        <w:t xml:space="preserve"> ο τομέας Υλικά-Κατασκευές παρουσιάζει τα χαμηλότερα ποσοστά συμμετοχής, με ποσοστό κοντά στο 7% και για τις τρεις κατηγορίες περιφερειών.</w:t>
      </w:r>
    </w:p>
    <w:p w:rsidR="00B43049" w:rsidRPr="00CF58DA" w:rsidRDefault="00323844" w:rsidP="006F0A32">
      <w:r w:rsidRPr="00CF58DA">
        <w:t>Σε επίπεδο εγκεκριμένων προτάσεων</w:t>
      </w:r>
      <w:r w:rsidR="006F0A32" w:rsidRPr="00CF58DA">
        <w:t>, ο</w:t>
      </w:r>
      <w:r w:rsidR="00522858">
        <w:t>ι</w:t>
      </w:r>
      <w:r w:rsidR="006F0A32" w:rsidRPr="00CF58DA">
        <w:t xml:space="preserve"> </w:t>
      </w:r>
      <w:r w:rsidR="00522858">
        <w:t>τ</w:t>
      </w:r>
      <w:r w:rsidR="006F0A32" w:rsidRPr="00CF58DA">
        <w:t>ομ</w:t>
      </w:r>
      <w:r w:rsidR="00522858">
        <w:t>είς</w:t>
      </w:r>
      <w:r w:rsidR="006F0A32" w:rsidRPr="00CF58DA">
        <w:t xml:space="preserve"> των Βιοεπιστημών κατά κύριο λόγο και των ΤΠΕ</w:t>
      </w:r>
      <w:r w:rsidR="00522858">
        <w:t>,</w:t>
      </w:r>
      <w:r w:rsidR="006F0A32" w:rsidRPr="00CF58DA">
        <w:t xml:space="preserve"> παρουσιάζ</w:t>
      </w:r>
      <w:r w:rsidR="00522858">
        <w:t>ουν</w:t>
      </w:r>
      <w:r w:rsidR="006F0A32" w:rsidRPr="00CF58DA">
        <w:t xml:space="preserve"> την υψηλότερη επίδοση (25,8% και 17,2% αντίστοιχα για τις </w:t>
      </w:r>
      <w:r w:rsidR="00522858">
        <w:t>π</w:t>
      </w:r>
      <w:r w:rsidR="006F0A32" w:rsidRPr="00CF58DA">
        <w:t xml:space="preserve">ερισσότερο </w:t>
      </w:r>
      <w:r w:rsidR="00522858">
        <w:t>α</w:t>
      </w:r>
      <w:r w:rsidR="006F0A32" w:rsidRPr="00CF58DA">
        <w:t>νεπτυγμένες Περιφέρειες και τις Περιφέρειες σε</w:t>
      </w:r>
      <w:r w:rsidR="00522858">
        <w:t xml:space="preserve"> μ</w:t>
      </w:r>
      <w:r w:rsidR="006F0A32" w:rsidRPr="00CF58DA">
        <w:t xml:space="preserve">ετάβαση). Υψηλό ποσοστό (21%) παρουσιάζει επίσης και το </w:t>
      </w:r>
      <w:r w:rsidR="00522858">
        <w:t>τ</w:t>
      </w:r>
      <w:r w:rsidR="006F0A32" w:rsidRPr="00CF58DA">
        <w:t xml:space="preserve">ομέας της Αγροδιατροφής στις </w:t>
      </w:r>
      <w:r w:rsidR="00522858">
        <w:t>λ</w:t>
      </w:r>
      <w:r w:rsidR="006F0A32" w:rsidRPr="00CF58DA">
        <w:t xml:space="preserve">ιγότερο </w:t>
      </w:r>
      <w:r w:rsidR="00522858">
        <w:t>α</w:t>
      </w:r>
      <w:r w:rsidR="006F0A32" w:rsidRPr="00CF58DA">
        <w:t>νεπτυγμένες Περιφέρειες. Ομοίως, ο τομέας Υλικά-Κατασκευές παρουσιάζει τα χαμηλότερα ποσοστά συμμετοχής στο σύνολο των εγκεκριμένων προτάσεων, με ποσοστό κοντά στο 7% και για τις τρεις κατηγορίες περιφερειών.</w:t>
      </w:r>
      <w:r w:rsidR="00B43049" w:rsidRPr="00CF58DA">
        <w:tab/>
      </w:r>
    </w:p>
    <w:p w:rsidR="00B43049" w:rsidRDefault="00B43049" w:rsidP="00B43049"/>
    <w:p w:rsidR="00EB4327" w:rsidRPr="00B43049" w:rsidRDefault="00EB4327" w:rsidP="00B43049">
      <w:pPr>
        <w:sectPr w:rsidR="00EB4327" w:rsidRPr="00B43049" w:rsidSect="005476F0">
          <w:headerReference w:type="default" r:id="rId18"/>
          <w:footerReference w:type="default" r:id="rId19"/>
          <w:pgSz w:w="11907" w:h="16840" w:code="9"/>
          <w:pgMar w:top="1440" w:right="1247" w:bottom="1440" w:left="1247" w:header="720" w:footer="720" w:gutter="0"/>
          <w:cols w:space="720"/>
          <w:titlePg/>
          <w:docGrid w:linePitch="360"/>
        </w:sectPr>
      </w:pPr>
    </w:p>
    <w:p w:rsidR="00EB4327" w:rsidRPr="0061319E" w:rsidRDefault="00EB4327" w:rsidP="00EB4327">
      <w:pPr>
        <w:pStyle w:val="Caption"/>
      </w:pPr>
      <w:bookmarkStart w:id="12" w:name="_Ref14260008"/>
      <w:bookmarkStart w:id="13" w:name="_Hlk14259871"/>
      <w:r w:rsidRPr="00522858">
        <w:lastRenderedPageBreak/>
        <w:t xml:space="preserve">Πίνακας </w:t>
      </w:r>
      <w:r w:rsidRPr="00522858">
        <w:rPr>
          <w:noProof/>
        </w:rPr>
        <w:fldChar w:fldCharType="begin"/>
      </w:r>
      <w:r w:rsidRPr="00522858">
        <w:rPr>
          <w:noProof/>
        </w:rPr>
        <w:instrText xml:space="preserve"> STYLEREF 1 \s </w:instrText>
      </w:r>
      <w:r w:rsidRPr="00522858">
        <w:rPr>
          <w:noProof/>
        </w:rPr>
        <w:fldChar w:fldCharType="separate"/>
      </w:r>
      <w:r w:rsidR="00332E24" w:rsidRPr="00522858">
        <w:rPr>
          <w:noProof/>
        </w:rPr>
        <w:t>3</w:t>
      </w:r>
      <w:r w:rsidRPr="00522858">
        <w:rPr>
          <w:noProof/>
        </w:rPr>
        <w:fldChar w:fldCharType="end"/>
      </w:r>
      <w:r w:rsidRPr="00522858">
        <w:noBreakHyphen/>
      </w:r>
      <w:r w:rsidRPr="00522858">
        <w:rPr>
          <w:noProof/>
        </w:rPr>
        <w:fldChar w:fldCharType="begin"/>
      </w:r>
      <w:r w:rsidRPr="00522858">
        <w:rPr>
          <w:noProof/>
        </w:rPr>
        <w:instrText xml:space="preserve"> SEQ Πίνακας \* ARABIC \s 1 </w:instrText>
      </w:r>
      <w:r w:rsidRPr="00522858">
        <w:rPr>
          <w:noProof/>
        </w:rPr>
        <w:fldChar w:fldCharType="separate"/>
      </w:r>
      <w:r w:rsidR="00332E24" w:rsidRPr="00522858">
        <w:rPr>
          <w:noProof/>
        </w:rPr>
        <w:t>3</w:t>
      </w:r>
      <w:r w:rsidRPr="00522858">
        <w:rPr>
          <w:noProof/>
        </w:rPr>
        <w:fldChar w:fldCharType="end"/>
      </w:r>
      <w:bookmarkEnd w:id="12"/>
      <w:r w:rsidRPr="00522858">
        <w:t>: Στοιχεία εντάξεων και πληρωμών (έως 31.12.2017) δράσεων που υποβλήθηκαν στο πλαίσιο Προσκλήσεων που αφορούν στην Επενδυτική Προτεραιότητα 1</w:t>
      </w:r>
      <w:r w:rsidRPr="00522858">
        <w:rPr>
          <w:lang w:val="en-US"/>
        </w:rPr>
        <w:t>b</w:t>
      </w:r>
      <w:r w:rsidRPr="00522858">
        <w:t xml:space="preserve"> ανά Τομέα Προτεραιότητας της RIS3</w:t>
      </w:r>
    </w:p>
    <w:bookmarkEnd w:id="13"/>
    <w:p w:rsidR="00EB4327" w:rsidRDefault="00522858" w:rsidP="00EB4327">
      <w:pPr>
        <w:jc w:val="center"/>
        <w:rPr>
          <w:noProof/>
        </w:rPr>
      </w:pPr>
      <w:r w:rsidRPr="001C30F7">
        <w:rPr>
          <w:noProof/>
        </w:rPr>
        <w:drawing>
          <wp:inline distT="0" distB="0" distL="0" distR="0" wp14:anchorId="5007D493" wp14:editId="5772E28B">
            <wp:extent cx="8229600" cy="209359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29600" cy="2093595"/>
                    </a:xfrm>
                    <a:prstGeom prst="rect">
                      <a:avLst/>
                    </a:prstGeom>
                    <a:noFill/>
                    <a:ln>
                      <a:noFill/>
                    </a:ln>
                  </pic:spPr>
                </pic:pic>
              </a:graphicData>
            </a:graphic>
          </wp:inline>
        </w:drawing>
      </w:r>
    </w:p>
    <w:p w:rsidR="00EB4327" w:rsidRDefault="00EB4327" w:rsidP="00EB4327">
      <w:pPr>
        <w:pStyle w:val="Caption"/>
      </w:pPr>
      <w:bookmarkStart w:id="14" w:name="_Ref14260016"/>
      <w:r w:rsidRPr="00522858">
        <w:t xml:space="preserve">Πίνακας </w:t>
      </w:r>
      <w:r w:rsidRPr="00522858">
        <w:rPr>
          <w:noProof/>
        </w:rPr>
        <w:fldChar w:fldCharType="begin"/>
      </w:r>
      <w:r w:rsidRPr="00522858">
        <w:rPr>
          <w:noProof/>
        </w:rPr>
        <w:instrText xml:space="preserve"> STYLEREF 1 \s </w:instrText>
      </w:r>
      <w:r w:rsidRPr="00522858">
        <w:rPr>
          <w:noProof/>
        </w:rPr>
        <w:fldChar w:fldCharType="separate"/>
      </w:r>
      <w:r w:rsidR="00332E24" w:rsidRPr="00522858">
        <w:rPr>
          <w:noProof/>
        </w:rPr>
        <w:t>3</w:t>
      </w:r>
      <w:r w:rsidRPr="00522858">
        <w:rPr>
          <w:noProof/>
        </w:rPr>
        <w:fldChar w:fldCharType="end"/>
      </w:r>
      <w:r w:rsidRPr="00522858">
        <w:noBreakHyphen/>
      </w:r>
      <w:r w:rsidRPr="00522858">
        <w:rPr>
          <w:noProof/>
        </w:rPr>
        <w:fldChar w:fldCharType="begin"/>
      </w:r>
      <w:r w:rsidRPr="00522858">
        <w:rPr>
          <w:noProof/>
        </w:rPr>
        <w:instrText xml:space="preserve"> SEQ Πίνακας \* ARABIC \s 1 </w:instrText>
      </w:r>
      <w:r w:rsidRPr="00522858">
        <w:rPr>
          <w:noProof/>
        </w:rPr>
        <w:fldChar w:fldCharType="separate"/>
      </w:r>
      <w:r w:rsidR="00332E24" w:rsidRPr="00522858">
        <w:rPr>
          <w:noProof/>
        </w:rPr>
        <w:t>4</w:t>
      </w:r>
      <w:r w:rsidRPr="00522858">
        <w:rPr>
          <w:noProof/>
        </w:rPr>
        <w:fldChar w:fldCharType="end"/>
      </w:r>
      <w:bookmarkEnd w:id="14"/>
      <w:r w:rsidRPr="00522858">
        <w:t>: Ποσοστιαία κατανομή των εντάξεων και πληρωμών (έως 31.12.2017) δράσεων που υποβλήθηκαν στο πλαίσιο Προσκλήσεων που αφορούν στην Επενδυτική Προτεραιότητα 1</w:t>
      </w:r>
      <w:r w:rsidRPr="00522858">
        <w:rPr>
          <w:lang w:val="en-US"/>
        </w:rPr>
        <w:t>b</w:t>
      </w:r>
      <w:r w:rsidRPr="00522858">
        <w:t xml:space="preserve"> ανά Τομέα Προτεραιότητας της RIS3</w:t>
      </w:r>
    </w:p>
    <w:p w:rsidR="00EB4327" w:rsidRDefault="00EB4327" w:rsidP="00EB4327">
      <w:pPr>
        <w:jc w:val="center"/>
      </w:pPr>
      <w:r>
        <w:rPr>
          <w:noProof/>
          <w:lang w:eastAsia="el-GR"/>
        </w:rPr>
        <w:drawing>
          <wp:inline distT="0" distB="0" distL="0" distR="0" wp14:anchorId="3B6FEB1F" wp14:editId="4F9BD676">
            <wp:extent cx="8862060" cy="139446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62060" cy="1394460"/>
                    </a:xfrm>
                    <a:prstGeom prst="rect">
                      <a:avLst/>
                    </a:prstGeom>
                    <a:noFill/>
                  </pic:spPr>
                </pic:pic>
              </a:graphicData>
            </a:graphic>
          </wp:inline>
        </w:drawing>
      </w:r>
    </w:p>
    <w:p w:rsidR="00104BC8" w:rsidRDefault="00104BC8" w:rsidP="00EB4327">
      <w:pPr>
        <w:pStyle w:val="Caption"/>
        <w:rPr>
          <w:highlight w:val="yellow"/>
        </w:rPr>
      </w:pPr>
      <w:bookmarkStart w:id="15" w:name="_Ref14260196"/>
    </w:p>
    <w:p w:rsidR="00EC6E73" w:rsidRDefault="00EC6E73">
      <w:pPr>
        <w:spacing w:before="0" w:after="160" w:line="259" w:lineRule="auto"/>
        <w:jc w:val="left"/>
        <w:rPr>
          <w:rFonts w:asciiTheme="minorHAnsi" w:eastAsiaTheme="minorHAnsi" w:hAnsiTheme="minorHAnsi" w:cstheme="minorBidi"/>
          <w:b/>
          <w:iCs/>
          <w:sz w:val="16"/>
          <w:szCs w:val="18"/>
          <w:highlight w:val="yellow"/>
        </w:rPr>
      </w:pPr>
      <w:r>
        <w:rPr>
          <w:highlight w:val="yellow"/>
        </w:rPr>
        <w:br w:type="page"/>
      </w:r>
    </w:p>
    <w:p w:rsidR="00EB4327" w:rsidRDefault="00EB4327" w:rsidP="00EB4327">
      <w:pPr>
        <w:pStyle w:val="Caption"/>
      </w:pPr>
      <w:r w:rsidRPr="00522858">
        <w:lastRenderedPageBreak/>
        <w:t xml:space="preserve">Πίνακας </w:t>
      </w:r>
      <w:r w:rsidRPr="00522858">
        <w:rPr>
          <w:noProof/>
        </w:rPr>
        <w:fldChar w:fldCharType="begin"/>
      </w:r>
      <w:r w:rsidRPr="00522858">
        <w:rPr>
          <w:noProof/>
        </w:rPr>
        <w:instrText xml:space="preserve"> STYLEREF 1 \s </w:instrText>
      </w:r>
      <w:r w:rsidRPr="00522858">
        <w:rPr>
          <w:noProof/>
        </w:rPr>
        <w:fldChar w:fldCharType="separate"/>
      </w:r>
      <w:r w:rsidR="00332E24" w:rsidRPr="00522858">
        <w:rPr>
          <w:noProof/>
        </w:rPr>
        <w:t>3</w:t>
      </w:r>
      <w:r w:rsidRPr="00522858">
        <w:rPr>
          <w:noProof/>
        </w:rPr>
        <w:fldChar w:fldCharType="end"/>
      </w:r>
      <w:r w:rsidRPr="00522858">
        <w:noBreakHyphen/>
      </w:r>
      <w:r w:rsidRPr="00522858">
        <w:rPr>
          <w:noProof/>
        </w:rPr>
        <w:fldChar w:fldCharType="begin"/>
      </w:r>
      <w:r w:rsidRPr="00522858">
        <w:rPr>
          <w:noProof/>
        </w:rPr>
        <w:instrText xml:space="preserve"> SEQ Πίνακας \* ARABIC \s 1 </w:instrText>
      </w:r>
      <w:r w:rsidRPr="00522858">
        <w:rPr>
          <w:noProof/>
        </w:rPr>
        <w:fldChar w:fldCharType="separate"/>
      </w:r>
      <w:r w:rsidR="00332E24" w:rsidRPr="00522858">
        <w:rPr>
          <w:noProof/>
        </w:rPr>
        <w:t>5</w:t>
      </w:r>
      <w:r w:rsidRPr="00522858">
        <w:rPr>
          <w:noProof/>
        </w:rPr>
        <w:fldChar w:fldCharType="end"/>
      </w:r>
      <w:bookmarkEnd w:id="15"/>
      <w:r w:rsidRPr="00522858">
        <w:t>: Στοιχεία υποβολών και εγκρί</w:t>
      </w:r>
      <w:r w:rsidR="00104BC8" w:rsidRPr="00522858">
        <w:t>σεων (έως 31.12.2017) προτάσεων</w:t>
      </w:r>
      <w:r w:rsidRPr="00522858">
        <w:t xml:space="preserve"> που υποβλήθηκαν στο πλαίσιο Προσκλήσεων που αφορούν στην Επενδυτική Προτεραιότητα 1b ανά Τομέα Προτεραιότητας της RIS3</w:t>
      </w:r>
    </w:p>
    <w:p w:rsidR="00EB4327" w:rsidRDefault="00480A65" w:rsidP="00EB4327">
      <w:pPr>
        <w:spacing w:after="160" w:line="259" w:lineRule="auto"/>
        <w:ind w:left="1440" w:hanging="1440"/>
      </w:pPr>
      <w:r w:rsidRPr="00480A65">
        <w:rPr>
          <w:noProof/>
          <w:lang w:eastAsia="el-GR"/>
        </w:rPr>
        <w:drawing>
          <wp:inline distT="0" distB="0" distL="0" distR="0">
            <wp:extent cx="8864600" cy="2324052"/>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864600" cy="2324052"/>
                    </a:xfrm>
                    <a:prstGeom prst="rect">
                      <a:avLst/>
                    </a:prstGeom>
                    <a:noFill/>
                    <a:ln>
                      <a:noFill/>
                    </a:ln>
                  </pic:spPr>
                </pic:pic>
              </a:graphicData>
            </a:graphic>
          </wp:inline>
        </w:drawing>
      </w:r>
    </w:p>
    <w:p w:rsidR="00104BC8" w:rsidRDefault="00104BC8" w:rsidP="00104BC8">
      <w:pPr>
        <w:pStyle w:val="Caption"/>
      </w:pPr>
      <w:r w:rsidRPr="00522858">
        <w:t xml:space="preserve">Πίνακας </w:t>
      </w:r>
      <w:r w:rsidRPr="00522858">
        <w:rPr>
          <w:noProof/>
        </w:rPr>
        <w:fldChar w:fldCharType="begin"/>
      </w:r>
      <w:r w:rsidRPr="00522858">
        <w:rPr>
          <w:noProof/>
        </w:rPr>
        <w:instrText xml:space="preserve"> STYLEREF 1 \s </w:instrText>
      </w:r>
      <w:r w:rsidRPr="00522858">
        <w:rPr>
          <w:noProof/>
        </w:rPr>
        <w:fldChar w:fldCharType="separate"/>
      </w:r>
      <w:r w:rsidR="00332E24" w:rsidRPr="00522858">
        <w:rPr>
          <w:noProof/>
        </w:rPr>
        <w:t>3</w:t>
      </w:r>
      <w:r w:rsidRPr="00522858">
        <w:rPr>
          <w:noProof/>
        </w:rPr>
        <w:fldChar w:fldCharType="end"/>
      </w:r>
      <w:r w:rsidRPr="00522858">
        <w:noBreakHyphen/>
      </w:r>
      <w:r w:rsidRPr="00522858">
        <w:rPr>
          <w:noProof/>
        </w:rPr>
        <w:t>6</w:t>
      </w:r>
      <w:r w:rsidRPr="00522858">
        <w:t>: Ποσοστιαία κατανομή υποβολών και εγκρίσεων (έως 31.12.2017) προτάσεων που υποβλήθηκαν στο πλαίσιο Προσκλήσεων που αφορούν στην Επενδυτική Προτεραιότητα 1b ανά Τομέα Προτεραιότητας της RIS3</w:t>
      </w:r>
    </w:p>
    <w:p w:rsidR="00104BC8" w:rsidRDefault="00104BC8" w:rsidP="00EB4327">
      <w:pPr>
        <w:spacing w:after="160" w:line="259" w:lineRule="auto"/>
        <w:ind w:left="1440" w:hanging="1440"/>
      </w:pPr>
      <w:r w:rsidRPr="00104BC8">
        <w:rPr>
          <w:noProof/>
          <w:lang w:eastAsia="el-GR"/>
        </w:rPr>
        <w:drawing>
          <wp:inline distT="0" distB="0" distL="0" distR="0">
            <wp:extent cx="8864600" cy="2357253"/>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64600" cy="2357253"/>
                    </a:xfrm>
                    <a:prstGeom prst="rect">
                      <a:avLst/>
                    </a:prstGeom>
                    <a:noFill/>
                    <a:ln>
                      <a:noFill/>
                    </a:ln>
                  </pic:spPr>
                </pic:pic>
              </a:graphicData>
            </a:graphic>
          </wp:inline>
        </w:drawing>
      </w:r>
    </w:p>
    <w:p w:rsidR="00104BC8" w:rsidRDefault="00104BC8" w:rsidP="00EB4327">
      <w:pPr>
        <w:spacing w:after="160" w:line="259" w:lineRule="auto"/>
        <w:ind w:left="1440" w:hanging="1440"/>
      </w:pPr>
    </w:p>
    <w:p w:rsidR="00104BC8" w:rsidRPr="00005738" w:rsidRDefault="00104BC8" w:rsidP="006D1C23">
      <w:pPr>
        <w:spacing w:after="160" w:line="259" w:lineRule="auto"/>
        <w:sectPr w:rsidR="00104BC8" w:rsidRPr="00005738" w:rsidSect="00E643A6">
          <w:headerReference w:type="default" r:id="rId24"/>
          <w:footerReference w:type="default" r:id="rId25"/>
          <w:pgSz w:w="16840" w:h="11907" w:orient="landscape" w:code="9"/>
          <w:pgMar w:top="1440" w:right="1440" w:bottom="1440" w:left="1440" w:header="720" w:footer="720" w:gutter="0"/>
          <w:cols w:space="720"/>
          <w:docGrid w:linePitch="360"/>
        </w:sectPr>
      </w:pPr>
    </w:p>
    <w:p w:rsidR="00EB4327" w:rsidRPr="004671C2" w:rsidRDefault="00EB4327" w:rsidP="00EB4327">
      <w:r w:rsidRPr="004671C2">
        <w:lastRenderedPageBreak/>
        <w:t>Παρακάτω, παρατίθεται συνοπτική παρουσίαση των Προσκλήσεων, η πρόοδος υλοποίησης των έργων τα οποία εντάχθηκαν στο πλαίσιο των εν λόγω προκλήσεων, καθώς και η συνέπειά τους ως προς τους</w:t>
      </w:r>
      <w:r>
        <w:t xml:space="preserve"> στόχους και του τομείς προτεραιότητας της Στρατηγικής </w:t>
      </w:r>
      <w:r>
        <w:rPr>
          <w:lang w:val="en-US"/>
        </w:rPr>
        <w:t>RIS</w:t>
      </w:r>
      <w:r w:rsidRPr="004671C2">
        <w:t>3.</w:t>
      </w:r>
    </w:p>
    <w:p w:rsidR="00EB4327" w:rsidRPr="00DF43D2" w:rsidRDefault="00EB4327" w:rsidP="00EB4327">
      <w:pPr>
        <w:pStyle w:val="Heading4"/>
        <w:rPr>
          <w:rFonts w:eastAsia="Calibri"/>
        </w:rPr>
      </w:pPr>
      <w:bookmarkStart w:id="16" w:name="_Toc14268840"/>
      <w:bookmarkStart w:id="17" w:name="_Toc22645110"/>
      <w:r w:rsidRPr="00E036BC">
        <w:rPr>
          <w:rFonts w:eastAsia="Calibri"/>
        </w:rPr>
        <w:t xml:space="preserve">«Ερευνώ – Δημιουργώ – Καινοτομώ» </w:t>
      </w:r>
      <w:r w:rsidRPr="00DF43D2">
        <w:rPr>
          <w:rFonts w:eastAsia="Calibri"/>
        </w:rPr>
        <w:t>(Α΄ κύκλος)</w:t>
      </w:r>
      <w:bookmarkEnd w:id="16"/>
      <w:bookmarkEnd w:id="17"/>
    </w:p>
    <w:p w:rsidR="00EB4327" w:rsidRPr="000D5F33" w:rsidRDefault="00EB4327" w:rsidP="00EB4327">
      <w:bookmarkStart w:id="18" w:name="_Hlk21693555"/>
      <w:r w:rsidRPr="000D5F33">
        <w:t>Βασικός στόχος της ενιαίας δράσης «Ερευνώ – Δημιουργώ – Καινοτομώ» είναι η σύνδεση της έρευνας και της καινοτομίας με την επιχειρηματικότητα και η ενίσχυση της ανταγωνιστικότητας, της παραγωγικότητας και της εξωστρέφειας των επιχειρήσεων προς διεθνείς αγορές, με σκοπό τη μετάβαση στην ποιοτική καινοτόμα επιχειρηματικότητα και την αύξηση της εγχώριας προστιθέμενης αξίας. Η δράση αυτή έχει ως σκοπό την άμεση και αποτελεσματική διοχέτευση των διαθέσιμων πόρων για την προώθηση ερευνητικών δραστηριοτήτων και την εφαρμογή καινοτομιών στις επιχειρήσεις και ιδιαίτερα στις μικρομεσαίες επιχειρήσεις μέσω μίας σειράς παρεμβάσεων. Στόχοι της δράσης είναι οι εξής:</w:t>
      </w:r>
    </w:p>
    <w:p w:rsidR="00EB4327" w:rsidRPr="000D5F33" w:rsidRDefault="00EB4327" w:rsidP="001B2DD1">
      <w:pPr>
        <w:pStyle w:val="ListParagraph"/>
        <w:numPr>
          <w:ilvl w:val="0"/>
          <w:numId w:val="23"/>
        </w:numPr>
      </w:pPr>
      <w:r w:rsidRPr="000D5F33">
        <w:t>Οικονομική ανάπτυξη βασισμένη στη γνώση και τη βιώσιμη εξειδίκευση</w:t>
      </w:r>
    </w:p>
    <w:p w:rsidR="00EB4327" w:rsidRPr="000D5F33" w:rsidRDefault="00EB4327" w:rsidP="001B2DD1">
      <w:pPr>
        <w:pStyle w:val="ListParagraph"/>
        <w:numPr>
          <w:ilvl w:val="0"/>
          <w:numId w:val="23"/>
        </w:numPr>
      </w:pPr>
      <w:r w:rsidRPr="000D5F33">
        <w:t>Ενσωμάτωση της νέας γνώσης και της καινοτομίας στα υπάρχοντα αλλά και σε νέα προϊόντα, υπηρεσίες, παραγωγικά συστήματα και αλυσίδες αξίας</w:t>
      </w:r>
    </w:p>
    <w:p w:rsidR="00EB4327" w:rsidRPr="000D5F33" w:rsidRDefault="00EB4327" w:rsidP="001B2DD1">
      <w:pPr>
        <w:pStyle w:val="ListParagraph"/>
        <w:numPr>
          <w:ilvl w:val="0"/>
          <w:numId w:val="23"/>
        </w:numPr>
        <w:rPr>
          <w:szCs w:val="18"/>
        </w:rPr>
      </w:pPr>
      <w:r w:rsidRPr="000D5F33">
        <w:t>Σύνδεση της ακαδημαϊκής έρευνας με τις ανάγκες της αγοράς και την οικονομία</w:t>
      </w:r>
      <w:r w:rsidRPr="000D5F33">
        <w:rPr>
          <w:szCs w:val="18"/>
        </w:rPr>
        <w:t>.</w:t>
      </w:r>
    </w:p>
    <w:p w:rsidR="00EB4327" w:rsidRPr="000D5F33" w:rsidRDefault="00EB4327" w:rsidP="00EB4327">
      <w:r w:rsidRPr="00E036BC">
        <w:rPr>
          <w:szCs w:val="18"/>
        </w:rPr>
        <w:t xml:space="preserve">Προϋπόθεση για την επίτευξη των στόχων της δράσης είναι η επικέντρωση των πόρων και των </w:t>
      </w:r>
      <w:r w:rsidRPr="000D5F33">
        <w:t>προσπαθειών σε επιλεγμένους τομείς οικονομικής δραστηριότητας και σε πεδία παρέμβασης, όπου ανιχνεύεται δυναμικό επιχειρηματικότητας και ερευνητικής αριστείας σύμφωνα με την εθνική στρατηγική έρευνας και καινοτομίας για έξυπνη εξειδίκευση (στρατηγική RIS3), σε εθνικό καθώς και σε περιφερειακό επίπεδο, με σκοπό τον εκσυγχρονισμό, τη διαφοροποίηση και την εκμετάλλευση νέων ευκαιριών στην ελληνική οικονομία.</w:t>
      </w:r>
    </w:p>
    <w:p w:rsidR="00EB4327" w:rsidRPr="000D5F33" w:rsidRDefault="00EB4327" w:rsidP="00EB4327">
      <w:r w:rsidRPr="000D5F33">
        <w:t>Η Δράση αποσκοπεί στην ικανοποίηση των αναγκών των επιχειρήσεων και των υπόλοιπων φορέων που δραστηριοποιούνται στο οικοσύστημα της έρευνας και καινοτομίας, καλύπτοντας το μέγιστο δυνατό φάσμα των δυνητικών Δικαιούχων. Οι προτάσεις που θα ενισχυθούν μπορούν να υποβάλλονται είτε από μεμονωμένες επιχειρήσεις, είτε από ομάδες επιχειρήσεων, είτε από συμπράξεις επιχειρήσεων με ερευνητικούς οργανισμούς.</w:t>
      </w:r>
    </w:p>
    <w:p w:rsidR="00EB4327" w:rsidRPr="000D5F33" w:rsidRDefault="00EB4327" w:rsidP="00EB4327">
      <w:r w:rsidRPr="000D5F33">
        <w:t>Οι αιτήσεις χρηματοδότησης που υποβάλλονται πρέπει να προωθούν την έρευνα, την τεχνολογική ανάπτυξη και την καινοτομία και να εντάσσονται σε μία από τις ακόλουθες 3 παρεμβάσεις:</w:t>
      </w:r>
    </w:p>
    <w:p w:rsidR="00EB4327" w:rsidRPr="000D5F33" w:rsidRDefault="00EB4327" w:rsidP="001B2DD1">
      <w:pPr>
        <w:pStyle w:val="ListParagraph"/>
        <w:numPr>
          <w:ilvl w:val="0"/>
          <w:numId w:val="23"/>
        </w:numPr>
      </w:pPr>
      <w:r w:rsidRPr="000D5F33">
        <w:t>Έρευνα και Ανάπτυξη από Μικρομεσαίες Επιχειρήσεις με στόχο την υποστήριξη της έρευνας, την προώθηση της καινοτομίας και την ενίσχυση της δικτύωσης σε μικρομεσαίες επιχειρήσεις.</w:t>
      </w:r>
    </w:p>
    <w:p w:rsidR="00EB4327" w:rsidRPr="000D5F33" w:rsidRDefault="00EB4327" w:rsidP="001B2DD1">
      <w:pPr>
        <w:pStyle w:val="ListParagraph"/>
        <w:numPr>
          <w:ilvl w:val="0"/>
          <w:numId w:val="23"/>
        </w:numPr>
      </w:pPr>
      <w:r w:rsidRPr="000D5F33">
        <w:t>Συμπράξεις Επιχειρήσεων με Ερευνητικούς Οργανισμούς με στόχο την συνεργασία μεταξύ των επιχειρήσεων και των ερευνητικών οργανισμών.</w:t>
      </w:r>
    </w:p>
    <w:p w:rsidR="00EB4327" w:rsidRPr="000D5F33" w:rsidRDefault="00EB4327" w:rsidP="001B2DD1">
      <w:pPr>
        <w:pStyle w:val="ListParagraph"/>
        <w:numPr>
          <w:ilvl w:val="0"/>
          <w:numId w:val="23"/>
        </w:numPr>
      </w:pPr>
      <w:r w:rsidRPr="000D5F33">
        <w:t>Αξιοποίηση Ερευνητικών Αποτελεσμάτων με στόχο την προώθηση της έρευνας σε επόμενο επίπεδο τεχνολογικής ετοιμότητας, έχοντας ως βάση αποτελέσματα που έχουν παραχθεί σε προηγούμενα ερευνητικά έργα.</w:t>
      </w:r>
    </w:p>
    <w:p w:rsidR="00EB4327" w:rsidRPr="000D5F33" w:rsidRDefault="00EB4327" w:rsidP="00EB4327">
      <w:r w:rsidRPr="000D5F33">
        <w:t>Στις 10.03.2017 δημοσιεύθηκε η προκήρυξη</w:t>
      </w:r>
      <w:r>
        <w:t xml:space="preserve"> </w:t>
      </w:r>
      <w:r w:rsidRPr="000D5F33">
        <w:t>(αρ. πρωτ. 1180/356/Α2) της Ενιαίας Δράσης Κρατικών Ενισχύσεων Έρευνας, Τεχνολογικής Ανάπτυξης &amp; Καινοτομίας «ΕΡΕΥΝΩ – ΔΗΜΙΟΥΡΓΩ – ΚΑΙΝΟΤΟΜΩ», στο πλα</w:t>
      </w:r>
      <w:r w:rsidR="00625E8D">
        <w:t>ίσιο του ΕΠΑνΕΚ, στον Άξονα Προ</w:t>
      </w:r>
      <w:r w:rsidRPr="000D5F33">
        <w:t xml:space="preserve">τεραιότητας 1 «Ανάπτυξη επιχειρηματικότητας με τομεακές προτεραιότητες» και στον Άξονα Προτεραιότητας 1Σ «Ανάπτυξη επιχειρηματικότητας με τομεακές προτεραιότητες (Στερεά Ελλάδα, Νότιο Αιγαίο)» και συγκεκριμένα στο Θεματικό Στόχο 1 – Επενδυτική Προτεραιότητα 1b και στον Ειδικό Στόχο 1.1 «Αύξηση επιχειρηματικών πρωτοβουλιών και συνεργασιών για την ανάπτυξη καινοτόμου επιχειρηματικότητας σύμφωνα με την εθνική στρατηγική έρευνας και καινοτομίας για έξυπνη εξειδίκευση». Ο προϋπολογισμός της Πρόσκλησης ανέρχονταν σε 410.000.000 € (ΔΔ). Η καταληκτική ημερομηνία υποβολής προτάσεων ήταν η 15.06.2017.  </w:t>
      </w:r>
    </w:p>
    <w:bookmarkEnd w:id="18"/>
    <w:p w:rsidR="00EB4327" w:rsidRPr="007B2A94" w:rsidRDefault="00EB4327" w:rsidP="00EB4327">
      <w:r w:rsidRPr="007B2A94">
        <w:lastRenderedPageBreak/>
        <w:t>Το μεγαλύτερο ποσοστό του προϋπολογισμού της Πρόσκλησης</w:t>
      </w:r>
      <w:r w:rsidR="00625E8D">
        <w:t xml:space="preserve"> αφορούσε</w:t>
      </w:r>
      <w:r w:rsidRPr="007B2A94">
        <w:t xml:space="preserve"> στις λιγότερο ανεπτυγμένες </w:t>
      </w:r>
      <w:r w:rsidR="00522858">
        <w:t>Π</w:t>
      </w:r>
      <w:r w:rsidRPr="007B2A94">
        <w:t>εριφέρειες (47,56%), ακολ</w:t>
      </w:r>
      <w:r w:rsidR="00625E8D">
        <w:t>ούθησαν</w:t>
      </w:r>
      <w:r w:rsidRPr="007B2A94">
        <w:t xml:space="preserve"> οι περισσότερο ανεπτυγμένες Περιφέρειες (36,59%) και οι Περιφέρειες σε μετάβαση (15,85%). Έως τις 31.12.2017, δεν υπήρχε καμία ένταξη πράξεων.</w:t>
      </w:r>
    </w:p>
    <w:p w:rsidR="00EB4327" w:rsidRDefault="00EB4327" w:rsidP="00EB4327">
      <w:pPr>
        <w:spacing w:before="0" w:after="160" w:line="259" w:lineRule="auto"/>
        <w:jc w:val="left"/>
        <w:rPr>
          <w:rFonts w:asciiTheme="minorHAnsi" w:eastAsiaTheme="minorHAnsi" w:hAnsiTheme="minorHAnsi" w:cstheme="minorBidi"/>
          <w:b/>
          <w:iCs/>
          <w:sz w:val="16"/>
          <w:szCs w:val="18"/>
        </w:rPr>
      </w:pPr>
    </w:p>
    <w:p w:rsidR="00EB4327" w:rsidRPr="0061319E" w:rsidRDefault="00EB4327" w:rsidP="00EB4327">
      <w:pPr>
        <w:pStyle w:val="Caption"/>
      </w:pPr>
      <w:bookmarkStart w:id="19" w:name="_Ref14259977"/>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fldChar w:fldCharType="begin"/>
      </w:r>
      <w:r>
        <w:rPr>
          <w:noProof/>
        </w:rPr>
        <w:instrText xml:space="preserve"> SEQ Πίνακας \* ARABIC \s 1 </w:instrText>
      </w:r>
      <w:r>
        <w:rPr>
          <w:noProof/>
        </w:rPr>
        <w:fldChar w:fldCharType="separate"/>
      </w:r>
      <w:r w:rsidR="00332E24">
        <w:rPr>
          <w:noProof/>
        </w:rPr>
        <w:t>6</w:t>
      </w:r>
      <w:r>
        <w:rPr>
          <w:noProof/>
        </w:rPr>
        <w:fldChar w:fldCharType="end"/>
      </w:r>
      <w:bookmarkEnd w:id="19"/>
      <w:r w:rsidRPr="00C80E86">
        <w:rPr>
          <w:noProof/>
        </w:rPr>
        <w:t>:</w:t>
      </w:r>
      <w:r>
        <w:t xml:space="preserve"> </w:t>
      </w:r>
      <w:r w:rsidRPr="0061319E">
        <w:t>Στοιχεία εντάξεων και πληρωμών (έως 31.12.201</w:t>
      </w:r>
      <w:r>
        <w:t>7</w:t>
      </w:r>
      <w:r w:rsidRPr="0061319E">
        <w:t>) δράσεων που υποβλήθηκαν στο πλαίσιο της Πρόσκλησης για το πρόγραμμα Ερευνώ-Δημιουργών-Καινοτομώ (Α’ Κύκλος)</w:t>
      </w:r>
    </w:p>
    <w:tbl>
      <w:tblPr>
        <w:tblStyle w:val="TableGrid1"/>
        <w:tblW w:w="935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977"/>
        <w:gridCol w:w="1690"/>
        <w:gridCol w:w="1544"/>
        <w:gridCol w:w="1540"/>
        <w:gridCol w:w="1601"/>
      </w:tblGrid>
      <w:tr w:rsidR="00EB4327" w:rsidRPr="008B45A0" w:rsidTr="00B43049">
        <w:trPr>
          <w:trHeight w:val="825"/>
          <w:jc w:val="center"/>
        </w:trPr>
        <w:tc>
          <w:tcPr>
            <w:tcW w:w="2977" w:type="dxa"/>
            <w:shd w:val="clear" w:color="auto" w:fill="800000"/>
            <w:vAlign w:val="center"/>
            <w:hideMark/>
          </w:tcPr>
          <w:p w:rsidR="00EB4327" w:rsidRPr="00DF43D2" w:rsidRDefault="00EB4327" w:rsidP="00B43049">
            <w:pPr>
              <w:jc w:val="center"/>
              <w:rPr>
                <w:rFonts w:cs="Calibri"/>
                <w:b/>
                <w:bCs/>
                <w:color w:val="C00000"/>
                <w:sz w:val="16"/>
                <w:szCs w:val="16"/>
              </w:rPr>
            </w:pPr>
            <w:r w:rsidRPr="009538AB">
              <w:rPr>
                <w:rFonts w:cs="Calibri"/>
                <w:b/>
                <w:bCs/>
                <w:sz w:val="16"/>
                <w:szCs w:val="16"/>
              </w:rPr>
              <w:t>Ερευνώ-Δημιουργώ-Καινοτομώ</w:t>
            </w:r>
            <w:r>
              <w:rPr>
                <w:rFonts w:cs="Calibri"/>
                <w:b/>
                <w:bCs/>
                <w:sz w:val="16"/>
                <w:szCs w:val="16"/>
              </w:rPr>
              <w:t xml:space="preserve"> (Α’ Κύκλος)</w:t>
            </w:r>
          </w:p>
        </w:tc>
        <w:tc>
          <w:tcPr>
            <w:tcW w:w="1690"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Σύνολο</w:t>
            </w:r>
          </w:p>
        </w:tc>
        <w:tc>
          <w:tcPr>
            <w:tcW w:w="1544"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Περισσότερο Ανεπτυγμένες Περιφέρειες</w:t>
            </w:r>
          </w:p>
        </w:tc>
        <w:tc>
          <w:tcPr>
            <w:tcW w:w="1540"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Περιφέρειες σε Μετάβαση</w:t>
            </w:r>
          </w:p>
        </w:tc>
        <w:tc>
          <w:tcPr>
            <w:tcW w:w="1601"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Λιγότερο Ανεπτυγμένες Περιφέρειες</w:t>
            </w:r>
          </w:p>
        </w:tc>
      </w:tr>
      <w:tr w:rsidR="00EB4327" w:rsidRPr="008B45A0" w:rsidTr="00B43049">
        <w:trPr>
          <w:trHeight w:val="28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Προϋπ/σμός πρόσκλησης (ΔΔ):</w:t>
            </w:r>
          </w:p>
        </w:tc>
        <w:tc>
          <w:tcPr>
            <w:tcW w:w="1690" w:type="dxa"/>
            <w:vAlign w:val="center"/>
            <w:hideMark/>
          </w:tcPr>
          <w:p w:rsidR="00EB4327" w:rsidRPr="0031198E" w:rsidRDefault="00EB4327" w:rsidP="00B43049">
            <w:pPr>
              <w:jc w:val="center"/>
              <w:rPr>
                <w:rFonts w:cs="Calibri"/>
                <w:b/>
                <w:bCs/>
                <w:sz w:val="16"/>
                <w:szCs w:val="16"/>
              </w:rPr>
            </w:pPr>
            <w:r w:rsidRPr="0031198E">
              <w:rPr>
                <w:b/>
                <w:sz w:val="16"/>
                <w:szCs w:val="16"/>
              </w:rPr>
              <w:t>410</w:t>
            </w:r>
            <w:r>
              <w:rPr>
                <w:b/>
                <w:sz w:val="16"/>
                <w:szCs w:val="16"/>
              </w:rPr>
              <w:t>.</w:t>
            </w:r>
            <w:r w:rsidRPr="0031198E">
              <w:rPr>
                <w:b/>
                <w:sz w:val="16"/>
                <w:szCs w:val="16"/>
              </w:rPr>
              <w:t>000</w:t>
            </w:r>
            <w:r>
              <w:rPr>
                <w:b/>
                <w:sz w:val="16"/>
                <w:szCs w:val="16"/>
              </w:rPr>
              <w:t>.</w:t>
            </w:r>
            <w:r w:rsidRPr="0031198E">
              <w:rPr>
                <w:b/>
                <w:sz w:val="16"/>
                <w:szCs w:val="16"/>
              </w:rPr>
              <w:t>000</w:t>
            </w:r>
            <w:r>
              <w:rPr>
                <w:b/>
                <w:sz w:val="16"/>
                <w:szCs w:val="16"/>
              </w:rPr>
              <w:t>,</w:t>
            </w:r>
            <w:r w:rsidRPr="0031198E">
              <w:rPr>
                <w:b/>
                <w:sz w:val="16"/>
                <w:szCs w:val="16"/>
              </w:rPr>
              <w:t>00 €</w:t>
            </w:r>
          </w:p>
        </w:tc>
        <w:tc>
          <w:tcPr>
            <w:tcW w:w="1544" w:type="dxa"/>
            <w:vAlign w:val="center"/>
            <w:hideMark/>
          </w:tcPr>
          <w:p w:rsidR="00EB4327" w:rsidRPr="0031198E" w:rsidRDefault="00EB4327" w:rsidP="00B43049">
            <w:pPr>
              <w:jc w:val="center"/>
              <w:rPr>
                <w:rFonts w:cs="Calibri"/>
                <w:sz w:val="16"/>
                <w:szCs w:val="16"/>
              </w:rPr>
            </w:pPr>
            <w:r w:rsidRPr="0031198E">
              <w:rPr>
                <w:sz w:val="16"/>
                <w:szCs w:val="16"/>
              </w:rPr>
              <w:t>150</w:t>
            </w:r>
            <w:r>
              <w:rPr>
                <w:sz w:val="16"/>
                <w:szCs w:val="16"/>
              </w:rPr>
              <w:t>.</w:t>
            </w:r>
            <w:r w:rsidRPr="0031198E">
              <w:rPr>
                <w:sz w:val="16"/>
                <w:szCs w:val="16"/>
              </w:rPr>
              <w:t>000</w:t>
            </w:r>
            <w:r>
              <w:rPr>
                <w:sz w:val="16"/>
                <w:szCs w:val="16"/>
              </w:rPr>
              <w:t>.</w:t>
            </w:r>
            <w:r w:rsidRPr="0031198E">
              <w:rPr>
                <w:sz w:val="16"/>
                <w:szCs w:val="16"/>
              </w:rPr>
              <w:t>000</w:t>
            </w:r>
            <w:r>
              <w:rPr>
                <w:sz w:val="16"/>
                <w:szCs w:val="16"/>
              </w:rPr>
              <w:t>,</w:t>
            </w:r>
            <w:r w:rsidRPr="0031198E">
              <w:rPr>
                <w:sz w:val="16"/>
                <w:szCs w:val="16"/>
              </w:rPr>
              <w:t>00 €</w:t>
            </w:r>
          </w:p>
        </w:tc>
        <w:tc>
          <w:tcPr>
            <w:tcW w:w="1540" w:type="dxa"/>
            <w:vAlign w:val="center"/>
            <w:hideMark/>
          </w:tcPr>
          <w:p w:rsidR="00EB4327" w:rsidRPr="0031198E" w:rsidRDefault="00EB4327" w:rsidP="00B43049">
            <w:pPr>
              <w:jc w:val="center"/>
              <w:rPr>
                <w:rFonts w:cs="Calibri"/>
                <w:sz w:val="16"/>
                <w:szCs w:val="16"/>
              </w:rPr>
            </w:pPr>
            <w:r w:rsidRPr="0031198E">
              <w:rPr>
                <w:sz w:val="16"/>
                <w:szCs w:val="16"/>
              </w:rPr>
              <w:t>65</w:t>
            </w:r>
            <w:r>
              <w:rPr>
                <w:sz w:val="16"/>
                <w:szCs w:val="16"/>
              </w:rPr>
              <w:t>.</w:t>
            </w:r>
            <w:r w:rsidRPr="0031198E">
              <w:rPr>
                <w:sz w:val="16"/>
                <w:szCs w:val="16"/>
              </w:rPr>
              <w:t>000</w:t>
            </w:r>
            <w:r>
              <w:rPr>
                <w:sz w:val="16"/>
                <w:szCs w:val="16"/>
              </w:rPr>
              <w:t>.</w:t>
            </w:r>
            <w:r w:rsidRPr="0031198E">
              <w:rPr>
                <w:sz w:val="16"/>
                <w:szCs w:val="16"/>
              </w:rPr>
              <w:t>000</w:t>
            </w:r>
            <w:r>
              <w:rPr>
                <w:sz w:val="16"/>
                <w:szCs w:val="16"/>
              </w:rPr>
              <w:t>,</w:t>
            </w:r>
            <w:r w:rsidRPr="0031198E">
              <w:rPr>
                <w:sz w:val="16"/>
                <w:szCs w:val="16"/>
              </w:rPr>
              <w:t>00 €</w:t>
            </w:r>
          </w:p>
        </w:tc>
        <w:tc>
          <w:tcPr>
            <w:tcW w:w="1601" w:type="dxa"/>
            <w:vAlign w:val="center"/>
            <w:hideMark/>
          </w:tcPr>
          <w:p w:rsidR="00EB4327" w:rsidRPr="0031198E" w:rsidRDefault="00EB4327" w:rsidP="00B43049">
            <w:pPr>
              <w:jc w:val="center"/>
              <w:rPr>
                <w:rFonts w:cs="Calibri"/>
                <w:sz w:val="16"/>
                <w:szCs w:val="16"/>
              </w:rPr>
            </w:pPr>
            <w:r w:rsidRPr="0031198E">
              <w:rPr>
                <w:sz w:val="16"/>
                <w:szCs w:val="16"/>
              </w:rPr>
              <w:t>195</w:t>
            </w:r>
            <w:r>
              <w:rPr>
                <w:sz w:val="16"/>
                <w:szCs w:val="16"/>
              </w:rPr>
              <w:t>.</w:t>
            </w:r>
            <w:r w:rsidRPr="0031198E">
              <w:rPr>
                <w:sz w:val="16"/>
                <w:szCs w:val="16"/>
              </w:rPr>
              <w:t>000</w:t>
            </w:r>
            <w:r>
              <w:rPr>
                <w:sz w:val="16"/>
                <w:szCs w:val="16"/>
              </w:rPr>
              <w:t>.</w:t>
            </w:r>
            <w:r w:rsidRPr="0031198E">
              <w:rPr>
                <w:sz w:val="16"/>
                <w:szCs w:val="16"/>
              </w:rPr>
              <w:t>000</w:t>
            </w:r>
            <w:r>
              <w:rPr>
                <w:sz w:val="16"/>
                <w:szCs w:val="16"/>
              </w:rPr>
              <w:t>,</w:t>
            </w:r>
            <w:r w:rsidRPr="0031198E">
              <w:rPr>
                <w:sz w:val="16"/>
                <w:szCs w:val="16"/>
              </w:rPr>
              <w:t>00 €</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 xml:space="preserve">Προϋπ/σμός ενταγμένων έργων (ΔΔ): </w:t>
            </w:r>
          </w:p>
        </w:tc>
        <w:tc>
          <w:tcPr>
            <w:tcW w:w="1690" w:type="dxa"/>
            <w:vAlign w:val="center"/>
          </w:tcPr>
          <w:p w:rsidR="00EB4327" w:rsidRPr="0031198E" w:rsidRDefault="00EB4327" w:rsidP="00B43049">
            <w:pPr>
              <w:jc w:val="center"/>
              <w:rPr>
                <w:rFonts w:cs="Calibri"/>
                <w:b/>
                <w:bCs/>
                <w:sz w:val="16"/>
                <w:szCs w:val="16"/>
              </w:rPr>
            </w:pPr>
            <w:r>
              <w:rPr>
                <w:rFonts w:cs="Calibri"/>
                <w:b/>
                <w:bCs/>
                <w:sz w:val="16"/>
                <w:szCs w:val="16"/>
              </w:rPr>
              <w:t>-</w:t>
            </w:r>
          </w:p>
        </w:tc>
        <w:tc>
          <w:tcPr>
            <w:tcW w:w="1544" w:type="dxa"/>
            <w:vAlign w:val="center"/>
          </w:tcPr>
          <w:p w:rsidR="00EB4327" w:rsidRPr="0031198E" w:rsidRDefault="00EB4327" w:rsidP="00B43049">
            <w:pPr>
              <w:jc w:val="center"/>
              <w:rPr>
                <w:rFonts w:cs="Calibri"/>
                <w:sz w:val="16"/>
                <w:szCs w:val="16"/>
              </w:rPr>
            </w:pPr>
            <w:r>
              <w:rPr>
                <w:rFonts w:cs="Calibri"/>
                <w:sz w:val="16"/>
                <w:szCs w:val="16"/>
              </w:rPr>
              <w:t>-</w:t>
            </w:r>
          </w:p>
        </w:tc>
        <w:tc>
          <w:tcPr>
            <w:tcW w:w="1540" w:type="dxa"/>
            <w:vAlign w:val="center"/>
          </w:tcPr>
          <w:p w:rsidR="00EB4327" w:rsidRPr="0031198E" w:rsidRDefault="00EB4327" w:rsidP="00B43049">
            <w:pPr>
              <w:jc w:val="center"/>
              <w:rPr>
                <w:rFonts w:cs="Calibri"/>
                <w:sz w:val="16"/>
                <w:szCs w:val="16"/>
              </w:rPr>
            </w:pPr>
            <w:r>
              <w:rPr>
                <w:rFonts w:cs="Calibri"/>
                <w:sz w:val="16"/>
                <w:szCs w:val="16"/>
              </w:rPr>
              <w:t>-</w:t>
            </w:r>
          </w:p>
        </w:tc>
        <w:tc>
          <w:tcPr>
            <w:tcW w:w="1601" w:type="dxa"/>
            <w:vAlign w:val="center"/>
          </w:tcPr>
          <w:p w:rsidR="00EB4327" w:rsidRPr="0031198E" w:rsidRDefault="00EB4327" w:rsidP="00B43049">
            <w:pPr>
              <w:jc w:val="center"/>
              <w:rPr>
                <w:rFonts w:cs="Calibri"/>
                <w:sz w:val="16"/>
                <w:szCs w:val="16"/>
              </w:rPr>
            </w:pPr>
            <w:r>
              <w:rPr>
                <w:rFonts w:cs="Calibri"/>
                <w:sz w:val="16"/>
                <w:szCs w:val="16"/>
              </w:rPr>
              <w:t>-</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 xml:space="preserve">Δαπάνες έργων (ΔΔ): </w:t>
            </w:r>
          </w:p>
        </w:tc>
        <w:tc>
          <w:tcPr>
            <w:tcW w:w="1690" w:type="dxa"/>
            <w:vAlign w:val="center"/>
          </w:tcPr>
          <w:p w:rsidR="00EB4327" w:rsidRPr="0031198E" w:rsidRDefault="00EB4327" w:rsidP="00B43049">
            <w:pPr>
              <w:jc w:val="center"/>
              <w:rPr>
                <w:rFonts w:cs="Calibri"/>
                <w:b/>
                <w:bCs/>
                <w:sz w:val="16"/>
                <w:szCs w:val="16"/>
              </w:rPr>
            </w:pPr>
            <w:r>
              <w:rPr>
                <w:rFonts w:cs="Calibri"/>
                <w:b/>
                <w:bCs/>
                <w:sz w:val="16"/>
                <w:szCs w:val="16"/>
              </w:rPr>
              <w:t>-</w:t>
            </w:r>
          </w:p>
        </w:tc>
        <w:tc>
          <w:tcPr>
            <w:tcW w:w="1544" w:type="dxa"/>
            <w:vAlign w:val="center"/>
          </w:tcPr>
          <w:p w:rsidR="00EB4327" w:rsidRPr="0031198E" w:rsidRDefault="00EB4327" w:rsidP="00B43049">
            <w:pPr>
              <w:jc w:val="center"/>
              <w:rPr>
                <w:rFonts w:cs="Calibri"/>
                <w:sz w:val="16"/>
                <w:szCs w:val="16"/>
              </w:rPr>
            </w:pPr>
            <w:r>
              <w:rPr>
                <w:rFonts w:cs="Calibri"/>
                <w:sz w:val="16"/>
                <w:szCs w:val="16"/>
              </w:rPr>
              <w:t>-</w:t>
            </w:r>
          </w:p>
        </w:tc>
        <w:tc>
          <w:tcPr>
            <w:tcW w:w="1540" w:type="dxa"/>
            <w:vAlign w:val="center"/>
          </w:tcPr>
          <w:p w:rsidR="00EB4327" w:rsidRPr="0031198E" w:rsidRDefault="00EB4327" w:rsidP="00B43049">
            <w:pPr>
              <w:jc w:val="center"/>
              <w:rPr>
                <w:rFonts w:cs="Calibri"/>
                <w:sz w:val="16"/>
                <w:szCs w:val="16"/>
              </w:rPr>
            </w:pPr>
            <w:r>
              <w:rPr>
                <w:rFonts w:cs="Calibri"/>
                <w:sz w:val="16"/>
                <w:szCs w:val="16"/>
              </w:rPr>
              <w:t>-</w:t>
            </w:r>
          </w:p>
        </w:tc>
        <w:tc>
          <w:tcPr>
            <w:tcW w:w="1601" w:type="dxa"/>
            <w:vAlign w:val="center"/>
          </w:tcPr>
          <w:p w:rsidR="00EB4327" w:rsidRPr="0031198E" w:rsidRDefault="00EB4327" w:rsidP="00B43049">
            <w:pPr>
              <w:jc w:val="center"/>
              <w:rPr>
                <w:rFonts w:cs="Calibri"/>
                <w:sz w:val="16"/>
                <w:szCs w:val="16"/>
              </w:rPr>
            </w:pPr>
            <w:r>
              <w:rPr>
                <w:rFonts w:cs="Calibri"/>
                <w:sz w:val="16"/>
                <w:szCs w:val="16"/>
              </w:rPr>
              <w:t>-</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Αριθμ. ενταγμένων πράξεων:</w:t>
            </w:r>
          </w:p>
        </w:tc>
        <w:tc>
          <w:tcPr>
            <w:tcW w:w="1690" w:type="dxa"/>
            <w:vAlign w:val="center"/>
          </w:tcPr>
          <w:p w:rsidR="00EB4327" w:rsidRPr="0031198E" w:rsidRDefault="00EB4327" w:rsidP="00B43049">
            <w:pPr>
              <w:jc w:val="center"/>
              <w:rPr>
                <w:rFonts w:cs="Calibri"/>
                <w:b/>
                <w:bCs/>
                <w:sz w:val="16"/>
                <w:szCs w:val="16"/>
              </w:rPr>
            </w:pPr>
            <w:r>
              <w:rPr>
                <w:rFonts w:cs="Calibri"/>
                <w:b/>
                <w:bCs/>
                <w:sz w:val="16"/>
                <w:szCs w:val="16"/>
              </w:rPr>
              <w:t>-</w:t>
            </w:r>
          </w:p>
        </w:tc>
        <w:tc>
          <w:tcPr>
            <w:tcW w:w="1544" w:type="dxa"/>
            <w:vAlign w:val="center"/>
          </w:tcPr>
          <w:p w:rsidR="00EB4327" w:rsidRPr="0031198E" w:rsidRDefault="00EB4327" w:rsidP="00B43049">
            <w:pPr>
              <w:jc w:val="center"/>
              <w:rPr>
                <w:rFonts w:cs="Calibri"/>
                <w:sz w:val="16"/>
                <w:szCs w:val="16"/>
              </w:rPr>
            </w:pPr>
            <w:r>
              <w:rPr>
                <w:rFonts w:cs="Calibri"/>
                <w:sz w:val="16"/>
                <w:szCs w:val="16"/>
              </w:rPr>
              <w:t>-</w:t>
            </w:r>
          </w:p>
        </w:tc>
        <w:tc>
          <w:tcPr>
            <w:tcW w:w="1540" w:type="dxa"/>
            <w:vAlign w:val="center"/>
          </w:tcPr>
          <w:p w:rsidR="00EB4327" w:rsidRPr="0031198E" w:rsidRDefault="00EB4327" w:rsidP="00B43049">
            <w:pPr>
              <w:jc w:val="center"/>
              <w:rPr>
                <w:rFonts w:cs="Calibri"/>
                <w:sz w:val="16"/>
                <w:szCs w:val="16"/>
              </w:rPr>
            </w:pPr>
            <w:r>
              <w:rPr>
                <w:rFonts w:cs="Calibri"/>
                <w:sz w:val="16"/>
                <w:szCs w:val="16"/>
              </w:rPr>
              <w:t>-</w:t>
            </w:r>
          </w:p>
        </w:tc>
        <w:tc>
          <w:tcPr>
            <w:tcW w:w="1601" w:type="dxa"/>
            <w:vAlign w:val="center"/>
          </w:tcPr>
          <w:p w:rsidR="00EB4327" w:rsidRPr="0031198E" w:rsidRDefault="00EB4327" w:rsidP="00B43049">
            <w:pPr>
              <w:jc w:val="center"/>
              <w:rPr>
                <w:rFonts w:cs="Calibri"/>
                <w:sz w:val="16"/>
                <w:szCs w:val="16"/>
              </w:rPr>
            </w:pPr>
            <w:r>
              <w:rPr>
                <w:rFonts w:cs="Calibri"/>
                <w:sz w:val="16"/>
                <w:szCs w:val="16"/>
              </w:rPr>
              <w:t>-</w:t>
            </w:r>
          </w:p>
        </w:tc>
      </w:tr>
      <w:tr w:rsidR="00EB4327" w:rsidRPr="008B45A0" w:rsidTr="00B43049">
        <w:trPr>
          <w:trHeight w:val="255"/>
          <w:jc w:val="center"/>
        </w:trPr>
        <w:tc>
          <w:tcPr>
            <w:tcW w:w="2977" w:type="dxa"/>
            <w:vAlign w:val="center"/>
            <w:hideMark/>
          </w:tcPr>
          <w:p w:rsidR="00EB4327" w:rsidRPr="00DF43D2" w:rsidRDefault="00EB4327" w:rsidP="00B43049">
            <w:pPr>
              <w:rPr>
                <w:rFonts w:cs="Calibri"/>
                <w:sz w:val="16"/>
                <w:szCs w:val="16"/>
              </w:rPr>
            </w:pPr>
            <w:r w:rsidRPr="00DF43D2">
              <w:rPr>
                <w:rFonts w:cs="Calibri"/>
                <w:sz w:val="16"/>
                <w:szCs w:val="16"/>
              </w:rPr>
              <w:t>Αριθμ. συμμετοχών:</w:t>
            </w:r>
          </w:p>
        </w:tc>
        <w:tc>
          <w:tcPr>
            <w:tcW w:w="1690" w:type="dxa"/>
            <w:vAlign w:val="center"/>
          </w:tcPr>
          <w:p w:rsidR="00EB4327" w:rsidRPr="0031198E" w:rsidRDefault="00EB4327" w:rsidP="00B43049">
            <w:pPr>
              <w:jc w:val="center"/>
              <w:rPr>
                <w:rFonts w:cs="Calibri"/>
                <w:b/>
                <w:bCs/>
                <w:sz w:val="16"/>
                <w:szCs w:val="16"/>
              </w:rPr>
            </w:pPr>
            <w:r>
              <w:rPr>
                <w:rFonts w:cs="Calibri"/>
                <w:b/>
                <w:bCs/>
                <w:sz w:val="16"/>
                <w:szCs w:val="16"/>
              </w:rPr>
              <w:t>-</w:t>
            </w:r>
          </w:p>
        </w:tc>
        <w:tc>
          <w:tcPr>
            <w:tcW w:w="1544" w:type="dxa"/>
            <w:vAlign w:val="center"/>
          </w:tcPr>
          <w:p w:rsidR="00EB4327" w:rsidRPr="00ED30D5" w:rsidRDefault="00EB4327" w:rsidP="00B43049">
            <w:pPr>
              <w:jc w:val="center"/>
              <w:rPr>
                <w:rFonts w:cs="Calibri"/>
                <w:sz w:val="16"/>
                <w:szCs w:val="16"/>
              </w:rPr>
            </w:pPr>
            <w:r>
              <w:rPr>
                <w:rFonts w:cs="Calibri"/>
                <w:sz w:val="16"/>
                <w:szCs w:val="16"/>
              </w:rPr>
              <w:t>-</w:t>
            </w:r>
          </w:p>
        </w:tc>
        <w:tc>
          <w:tcPr>
            <w:tcW w:w="1540" w:type="dxa"/>
            <w:vAlign w:val="center"/>
          </w:tcPr>
          <w:p w:rsidR="00EB4327" w:rsidRPr="00ED30D5" w:rsidRDefault="00EB4327" w:rsidP="00B43049">
            <w:pPr>
              <w:jc w:val="center"/>
              <w:rPr>
                <w:rFonts w:cs="Calibri"/>
                <w:sz w:val="16"/>
                <w:szCs w:val="16"/>
              </w:rPr>
            </w:pPr>
            <w:r>
              <w:rPr>
                <w:rFonts w:cs="Calibri"/>
                <w:sz w:val="16"/>
                <w:szCs w:val="16"/>
              </w:rPr>
              <w:t>-</w:t>
            </w:r>
          </w:p>
        </w:tc>
        <w:tc>
          <w:tcPr>
            <w:tcW w:w="1601" w:type="dxa"/>
            <w:vAlign w:val="center"/>
          </w:tcPr>
          <w:p w:rsidR="00EB4327" w:rsidRPr="00ED30D5" w:rsidRDefault="00EB4327" w:rsidP="00B43049">
            <w:pPr>
              <w:jc w:val="center"/>
              <w:rPr>
                <w:rFonts w:cs="Calibri"/>
                <w:sz w:val="16"/>
                <w:szCs w:val="16"/>
              </w:rPr>
            </w:pPr>
            <w:r>
              <w:rPr>
                <w:rFonts w:cs="Calibri"/>
                <w:sz w:val="16"/>
                <w:szCs w:val="16"/>
              </w:rPr>
              <w:t>-</w:t>
            </w:r>
          </w:p>
        </w:tc>
      </w:tr>
    </w:tbl>
    <w:p w:rsidR="00EB4327" w:rsidRDefault="00EB4327" w:rsidP="00EB4327">
      <w:pPr>
        <w:ind w:left="1440" w:hanging="1440"/>
        <w:rPr>
          <w:b/>
          <w:sz w:val="16"/>
          <w:szCs w:val="16"/>
        </w:rPr>
      </w:pPr>
    </w:p>
    <w:p w:rsidR="00EB4327" w:rsidRPr="0061319E" w:rsidRDefault="00EB4327" w:rsidP="00EB4327">
      <w:pPr>
        <w:pStyle w:val="Caption"/>
      </w:pPr>
      <w:r w:rsidRPr="00AD4482">
        <w:t xml:space="preserve">Πίνακας </w:t>
      </w:r>
      <w:r w:rsidRPr="00AD4482">
        <w:rPr>
          <w:noProof/>
        </w:rPr>
        <w:fldChar w:fldCharType="begin"/>
      </w:r>
      <w:r w:rsidRPr="00AD4482">
        <w:rPr>
          <w:noProof/>
        </w:rPr>
        <w:instrText xml:space="preserve"> STYLEREF 1 \s </w:instrText>
      </w:r>
      <w:r w:rsidRPr="00AD4482">
        <w:rPr>
          <w:noProof/>
        </w:rPr>
        <w:fldChar w:fldCharType="separate"/>
      </w:r>
      <w:r w:rsidR="00332E24">
        <w:rPr>
          <w:noProof/>
        </w:rPr>
        <w:t>3</w:t>
      </w:r>
      <w:r w:rsidRPr="00AD4482">
        <w:rPr>
          <w:noProof/>
        </w:rPr>
        <w:fldChar w:fldCharType="end"/>
      </w:r>
      <w:r w:rsidRPr="00AD4482">
        <w:noBreakHyphen/>
      </w:r>
      <w:r w:rsidRPr="00AD4482">
        <w:rPr>
          <w:noProof/>
        </w:rPr>
        <w:fldChar w:fldCharType="begin"/>
      </w:r>
      <w:r w:rsidRPr="00AD4482">
        <w:rPr>
          <w:noProof/>
        </w:rPr>
        <w:instrText xml:space="preserve"> SEQ Πίνακας \* ARABIC \s 1 </w:instrText>
      </w:r>
      <w:r w:rsidRPr="00AD4482">
        <w:rPr>
          <w:noProof/>
        </w:rPr>
        <w:fldChar w:fldCharType="separate"/>
      </w:r>
      <w:r w:rsidR="00332E24">
        <w:rPr>
          <w:noProof/>
        </w:rPr>
        <w:t>7</w:t>
      </w:r>
      <w:r w:rsidRPr="00AD4482">
        <w:rPr>
          <w:noProof/>
        </w:rPr>
        <w:fldChar w:fldCharType="end"/>
      </w:r>
      <w:r w:rsidRPr="00AD4482">
        <w:rPr>
          <w:noProof/>
        </w:rPr>
        <w:t>:</w:t>
      </w:r>
      <w:r w:rsidRPr="00AD4482">
        <w:t xml:space="preserve"> Ποσοστιαία κατανομή εντάξεων και πληρωμών (έως 31.12.2017) δράσεων που υποβλήθηκαν στο πλαίσιο της Πρόσκλησης για το πρόγραμμα Ερευνώ-Δημιουργών-Καινοτομώ (Α’ Κύκλος)</w:t>
      </w:r>
    </w:p>
    <w:tbl>
      <w:tblPr>
        <w:tblStyle w:val="TableGrid1"/>
        <w:tblW w:w="944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804"/>
        <w:gridCol w:w="1522"/>
        <w:gridCol w:w="1522"/>
        <w:gridCol w:w="1594"/>
      </w:tblGrid>
      <w:tr w:rsidR="00EB4327" w:rsidRPr="008B45A0" w:rsidTr="00B43049">
        <w:trPr>
          <w:trHeight w:val="510"/>
          <w:jc w:val="center"/>
        </w:trPr>
        <w:tc>
          <w:tcPr>
            <w:tcW w:w="4804" w:type="dxa"/>
            <w:shd w:val="clear" w:color="auto" w:fill="800000"/>
            <w:vAlign w:val="center"/>
            <w:hideMark/>
          </w:tcPr>
          <w:p w:rsidR="00EB4327" w:rsidRPr="00DF43D2" w:rsidRDefault="00EB4327" w:rsidP="00B43049">
            <w:pPr>
              <w:jc w:val="center"/>
              <w:rPr>
                <w:rFonts w:cs="Calibri"/>
                <w:b/>
                <w:bCs/>
                <w:color w:val="C00000"/>
                <w:sz w:val="16"/>
                <w:szCs w:val="16"/>
              </w:rPr>
            </w:pPr>
            <w:r w:rsidRPr="009538AB">
              <w:rPr>
                <w:rFonts w:cs="Calibri"/>
                <w:b/>
                <w:bCs/>
                <w:sz w:val="16"/>
                <w:szCs w:val="16"/>
              </w:rPr>
              <w:t>Ερευνώ-Δημιουργώ-Καινοτομώ</w:t>
            </w:r>
            <w:r>
              <w:rPr>
                <w:rFonts w:cs="Calibri"/>
                <w:b/>
                <w:bCs/>
                <w:sz w:val="16"/>
                <w:szCs w:val="16"/>
              </w:rPr>
              <w:t xml:space="preserve"> (Α’ Κύκλος)</w:t>
            </w:r>
          </w:p>
        </w:tc>
        <w:tc>
          <w:tcPr>
            <w:tcW w:w="1522"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Περισσότερο Ανεπτυγμένες Περιφέρειες</w:t>
            </w:r>
          </w:p>
        </w:tc>
        <w:tc>
          <w:tcPr>
            <w:tcW w:w="1522"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Περιφέρειες σε Μετάβαση</w:t>
            </w:r>
          </w:p>
        </w:tc>
        <w:tc>
          <w:tcPr>
            <w:tcW w:w="1594"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Λιγότερο Ανεπτυγμένες Περιφέρειες</w:t>
            </w:r>
          </w:p>
        </w:tc>
      </w:tr>
      <w:tr w:rsidR="00EB4327" w:rsidRPr="008B45A0" w:rsidTr="00B43049">
        <w:trPr>
          <w:trHeight w:val="645"/>
          <w:jc w:val="center"/>
        </w:trPr>
        <w:tc>
          <w:tcPr>
            <w:tcW w:w="4804" w:type="dxa"/>
            <w:vAlign w:val="center"/>
            <w:hideMark/>
          </w:tcPr>
          <w:p w:rsidR="00EB4327" w:rsidRPr="00DF43D2" w:rsidRDefault="00EB4327" w:rsidP="00B43049">
            <w:pPr>
              <w:rPr>
                <w:rFonts w:cs="Calibri"/>
                <w:sz w:val="16"/>
                <w:szCs w:val="16"/>
              </w:rPr>
            </w:pPr>
            <w:r w:rsidRPr="00DF43D2">
              <w:rPr>
                <w:rFonts w:cs="Calibri"/>
                <w:sz w:val="16"/>
                <w:szCs w:val="16"/>
              </w:rPr>
              <w:t>Ποσοστό προϋπ/σμού της Πρόσκλησης που αφορά στην κατηγορία Περιφέρειας</w:t>
            </w:r>
          </w:p>
        </w:tc>
        <w:tc>
          <w:tcPr>
            <w:tcW w:w="1522" w:type="dxa"/>
            <w:vAlign w:val="center"/>
          </w:tcPr>
          <w:p w:rsidR="00EB4327" w:rsidRPr="00AD4482" w:rsidRDefault="00EB4327" w:rsidP="00B43049">
            <w:pPr>
              <w:jc w:val="center"/>
              <w:rPr>
                <w:sz w:val="16"/>
                <w:szCs w:val="16"/>
              </w:rPr>
            </w:pPr>
            <w:r w:rsidRPr="00AD4482">
              <w:rPr>
                <w:sz w:val="16"/>
                <w:szCs w:val="16"/>
              </w:rPr>
              <w:t>36,59%</w:t>
            </w:r>
          </w:p>
        </w:tc>
        <w:tc>
          <w:tcPr>
            <w:tcW w:w="1522" w:type="dxa"/>
            <w:vAlign w:val="center"/>
          </w:tcPr>
          <w:p w:rsidR="00EB4327" w:rsidRPr="00AD4482" w:rsidRDefault="00EB4327" w:rsidP="00B43049">
            <w:pPr>
              <w:jc w:val="center"/>
              <w:rPr>
                <w:sz w:val="16"/>
                <w:szCs w:val="16"/>
              </w:rPr>
            </w:pPr>
            <w:r w:rsidRPr="00AD4482">
              <w:rPr>
                <w:sz w:val="16"/>
                <w:szCs w:val="16"/>
              </w:rPr>
              <w:t>15,85%</w:t>
            </w:r>
          </w:p>
        </w:tc>
        <w:tc>
          <w:tcPr>
            <w:tcW w:w="1594" w:type="dxa"/>
            <w:vAlign w:val="center"/>
          </w:tcPr>
          <w:p w:rsidR="00EB4327" w:rsidRPr="00AD4482" w:rsidRDefault="00EB4327" w:rsidP="00B43049">
            <w:pPr>
              <w:jc w:val="center"/>
              <w:rPr>
                <w:sz w:val="16"/>
                <w:szCs w:val="16"/>
              </w:rPr>
            </w:pPr>
            <w:r w:rsidRPr="00AD4482">
              <w:rPr>
                <w:sz w:val="16"/>
                <w:szCs w:val="16"/>
              </w:rPr>
              <w:t>47,56%</w:t>
            </w:r>
          </w:p>
        </w:tc>
      </w:tr>
      <w:tr w:rsidR="00EB4327" w:rsidRPr="008B45A0" w:rsidTr="00B43049">
        <w:trPr>
          <w:trHeight w:val="510"/>
          <w:jc w:val="center"/>
        </w:trPr>
        <w:tc>
          <w:tcPr>
            <w:tcW w:w="4804" w:type="dxa"/>
            <w:vAlign w:val="center"/>
            <w:hideMark/>
          </w:tcPr>
          <w:p w:rsidR="00EB4327" w:rsidRPr="00DF43D2" w:rsidRDefault="00EB4327" w:rsidP="00B43049">
            <w:pPr>
              <w:rPr>
                <w:rFonts w:cs="Calibri"/>
                <w:sz w:val="16"/>
                <w:szCs w:val="16"/>
              </w:rPr>
            </w:pPr>
            <w:r w:rsidRPr="00DF43D2">
              <w:rPr>
                <w:rFonts w:cs="Calibri"/>
                <w:sz w:val="16"/>
                <w:szCs w:val="16"/>
              </w:rPr>
              <w:t xml:space="preserve">Ποσοστό προϋπ/σμού ενταγμένων </w:t>
            </w:r>
            <w:r>
              <w:rPr>
                <w:rFonts w:cs="Calibri"/>
                <w:sz w:val="16"/>
                <w:szCs w:val="16"/>
              </w:rPr>
              <w:t>έργων ανά κατηγορία Περιφερειών</w:t>
            </w:r>
          </w:p>
        </w:tc>
        <w:tc>
          <w:tcPr>
            <w:tcW w:w="1522" w:type="dxa"/>
            <w:vAlign w:val="center"/>
          </w:tcPr>
          <w:p w:rsidR="00EB4327" w:rsidRPr="00CC3C66" w:rsidRDefault="00EB4327" w:rsidP="00B43049">
            <w:pPr>
              <w:jc w:val="center"/>
              <w:rPr>
                <w:sz w:val="16"/>
                <w:szCs w:val="16"/>
              </w:rPr>
            </w:pPr>
            <w:r w:rsidRPr="00CC3C66">
              <w:rPr>
                <w:sz w:val="16"/>
                <w:szCs w:val="16"/>
              </w:rPr>
              <w:t>0,00%</w:t>
            </w:r>
          </w:p>
        </w:tc>
        <w:tc>
          <w:tcPr>
            <w:tcW w:w="1522" w:type="dxa"/>
            <w:vAlign w:val="center"/>
          </w:tcPr>
          <w:p w:rsidR="00EB4327" w:rsidRPr="00CC3C66" w:rsidRDefault="00EB4327" w:rsidP="00B43049">
            <w:pPr>
              <w:jc w:val="center"/>
              <w:rPr>
                <w:sz w:val="16"/>
                <w:szCs w:val="16"/>
              </w:rPr>
            </w:pPr>
            <w:r w:rsidRPr="00CC3C66">
              <w:rPr>
                <w:sz w:val="16"/>
                <w:szCs w:val="16"/>
              </w:rPr>
              <w:t>0,00%</w:t>
            </w:r>
          </w:p>
        </w:tc>
        <w:tc>
          <w:tcPr>
            <w:tcW w:w="1594" w:type="dxa"/>
            <w:vAlign w:val="center"/>
          </w:tcPr>
          <w:p w:rsidR="00EB4327" w:rsidRPr="00CC3C66" w:rsidRDefault="00EB4327" w:rsidP="00B43049">
            <w:pPr>
              <w:jc w:val="center"/>
              <w:rPr>
                <w:sz w:val="16"/>
                <w:szCs w:val="16"/>
              </w:rPr>
            </w:pPr>
            <w:r w:rsidRPr="00CC3C66">
              <w:rPr>
                <w:sz w:val="16"/>
                <w:szCs w:val="16"/>
              </w:rPr>
              <w:t>0,00%</w:t>
            </w:r>
          </w:p>
        </w:tc>
      </w:tr>
      <w:tr w:rsidR="00EB4327" w:rsidRPr="008B45A0" w:rsidTr="00B43049">
        <w:trPr>
          <w:trHeight w:val="690"/>
          <w:jc w:val="center"/>
        </w:trPr>
        <w:tc>
          <w:tcPr>
            <w:tcW w:w="4804" w:type="dxa"/>
            <w:vAlign w:val="center"/>
            <w:hideMark/>
          </w:tcPr>
          <w:p w:rsidR="00EB4327" w:rsidRPr="00DF43D2" w:rsidRDefault="00EB4327" w:rsidP="00B43049">
            <w:pPr>
              <w:rPr>
                <w:rFonts w:cs="Calibri"/>
                <w:color w:val="000000"/>
                <w:sz w:val="16"/>
                <w:szCs w:val="16"/>
              </w:rPr>
            </w:pPr>
            <w:r w:rsidRPr="00DF43D2">
              <w:rPr>
                <w:rFonts w:cs="Calibri"/>
                <w:color w:val="000000"/>
                <w:sz w:val="16"/>
                <w:szCs w:val="16"/>
              </w:rPr>
              <w:t xml:space="preserve">Κατανομή του προϋπ/σμού (ΔΔ) των ενταγμένων </w:t>
            </w:r>
            <w:r>
              <w:rPr>
                <w:rFonts w:cs="Calibri"/>
                <w:color w:val="000000"/>
                <w:sz w:val="16"/>
                <w:szCs w:val="16"/>
              </w:rPr>
              <w:t>έργων ανά κατηγορία Περιφερειών</w:t>
            </w:r>
          </w:p>
        </w:tc>
        <w:tc>
          <w:tcPr>
            <w:tcW w:w="1522" w:type="dxa"/>
            <w:vAlign w:val="center"/>
          </w:tcPr>
          <w:p w:rsidR="00EB4327" w:rsidRPr="00CC3C66" w:rsidRDefault="00EB4327" w:rsidP="00B43049">
            <w:pPr>
              <w:jc w:val="center"/>
              <w:rPr>
                <w:sz w:val="16"/>
                <w:szCs w:val="16"/>
              </w:rPr>
            </w:pPr>
            <w:r w:rsidRPr="00CC3C66">
              <w:rPr>
                <w:sz w:val="16"/>
                <w:szCs w:val="16"/>
              </w:rPr>
              <w:t>0,00%</w:t>
            </w:r>
          </w:p>
        </w:tc>
        <w:tc>
          <w:tcPr>
            <w:tcW w:w="1522" w:type="dxa"/>
            <w:vAlign w:val="center"/>
          </w:tcPr>
          <w:p w:rsidR="00EB4327" w:rsidRPr="00CC3C66" w:rsidRDefault="00EB4327" w:rsidP="00B43049">
            <w:pPr>
              <w:jc w:val="center"/>
              <w:rPr>
                <w:sz w:val="16"/>
                <w:szCs w:val="16"/>
              </w:rPr>
            </w:pPr>
            <w:r w:rsidRPr="00CC3C66">
              <w:rPr>
                <w:sz w:val="16"/>
                <w:szCs w:val="16"/>
              </w:rPr>
              <w:t>0,00%</w:t>
            </w:r>
          </w:p>
        </w:tc>
        <w:tc>
          <w:tcPr>
            <w:tcW w:w="1594" w:type="dxa"/>
            <w:vAlign w:val="center"/>
          </w:tcPr>
          <w:p w:rsidR="00EB4327" w:rsidRPr="00CC3C66" w:rsidRDefault="00EB4327" w:rsidP="00B43049">
            <w:pPr>
              <w:jc w:val="center"/>
              <w:rPr>
                <w:sz w:val="16"/>
                <w:szCs w:val="16"/>
              </w:rPr>
            </w:pPr>
            <w:r w:rsidRPr="00CC3C66">
              <w:rPr>
                <w:sz w:val="16"/>
                <w:szCs w:val="16"/>
              </w:rPr>
              <w:t>0,00%</w:t>
            </w:r>
          </w:p>
        </w:tc>
      </w:tr>
      <w:tr w:rsidR="00EB4327" w:rsidRPr="008B45A0" w:rsidTr="00B43049">
        <w:trPr>
          <w:trHeight w:val="510"/>
          <w:jc w:val="center"/>
        </w:trPr>
        <w:tc>
          <w:tcPr>
            <w:tcW w:w="4804" w:type="dxa"/>
            <w:vAlign w:val="center"/>
            <w:hideMark/>
          </w:tcPr>
          <w:p w:rsidR="00EB4327" w:rsidRPr="00DF43D2" w:rsidRDefault="00EB4327" w:rsidP="00B43049">
            <w:pPr>
              <w:rPr>
                <w:rFonts w:cs="Calibri"/>
                <w:color w:val="000000"/>
                <w:sz w:val="16"/>
                <w:szCs w:val="16"/>
              </w:rPr>
            </w:pPr>
            <w:r w:rsidRPr="00DF43D2">
              <w:rPr>
                <w:rFonts w:cs="Calibri"/>
                <w:color w:val="000000"/>
                <w:sz w:val="16"/>
                <w:szCs w:val="16"/>
              </w:rPr>
              <w:t>Κατανομή των δαπανών (Δ</w:t>
            </w:r>
            <w:r>
              <w:rPr>
                <w:rFonts w:cs="Calibri"/>
                <w:color w:val="000000"/>
                <w:sz w:val="16"/>
                <w:szCs w:val="16"/>
              </w:rPr>
              <w:t xml:space="preserve">Δ) στις κατηγορίες Περιφερειών </w:t>
            </w:r>
          </w:p>
        </w:tc>
        <w:tc>
          <w:tcPr>
            <w:tcW w:w="1522" w:type="dxa"/>
            <w:vAlign w:val="center"/>
            <w:hideMark/>
          </w:tcPr>
          <w:p w:rsidR="00EB4327" w:rsidRPr="00CC3C66" w:rsidRDefault="00EB4327" w:rsidP="00B43049">
            <w:pPr>
              <w:jc w:val="center"/>
              <w:rPr>
                <w:sz w:val="16"/>
                <w:szCs w:val="16"/>
              </w:rPr>
            </w:pPr>
            <w:r w:rsidRPr="00CC3C66">
              <w:rPr>
                <w:sz w:val="16"/>
                <w:szCs w:val="16"/>
              </w:rPr>
              <w:t>0,00%</w:t>
            </w:r>
          </w:p>
        </w:tc>
        <w:tc>
          <w:tcPr>
            <w:tcW w:w="1522" w:type="dxa"/>
            <w:vAlign w:val="center"/>
            <w:hideMark/>
          </w:tcPr>
          <w:p w:rsidR="00EB4327" w:rsidRPr="00CC3C66" w:rsidRDefault="00EB4327" w:rsidP="00B43049">
            <w:pPr>
              <w:jc w:val="center"/>
              <w:rPr>
                <w:sz w:val="16"/>
                <w:szCs w:val="16"/>
              </w:rPr>
            </w:pPr>
            <w:r w:rsidRPr="00CC3C66">
              <w:rPr>
                <w:sz w:val="16"/>
                <w:szCs w:val="16"/>
              </w:rPr>
              <w:t>0,00%</w:t>
            </w:r>
          </w:p>
        </w:tc>
        <w:tc>
          <w:tcPr>
            <w:tcW w:w="1594" w:type="dxa"/>
            <w:vAlign w:val="center"/>
            <w:hideMark/>
          </w:tcPr>
          <w:p w:rsidR="00EB4327" w:rsidRPr="00CC3C66" w:rsidRDefault="00EB4327" w:rsidP="00B43049">
            <w:pPr>
              <w:jc w:val="center"/>
              <w:rPr>
                <w:sz w:val="16"/>
                <w:szCs w:val="16"/>
              </w:rPr>
            </w:pPr>
            <w:r w:rsidRPr="00CC3C66">
              <w:rPr>
                <w:sz w:val="16"/>
                <w:szCs w:val="16"/>
              </w:rPr>
              <w:t>0,00%</w:t>
            </w:r>
          </w:p>
        </w:tc>
      </w:tr>
    </w:tbl>
    <w:p w:rsidR="00EB4327" w:rsidRPr="0061319E" w:rsidRDefault="00EB4327" w:rsidP="00EB4327">
      <w:pPr>
        <w:pStyle w:val="Caption"/>
      </w:pPr>
    </w:p>
    <w:p w:rsidR="00EB4327" w:rsidRPr="007B2A94" w:rsidRDefault="00EB4327" w:rsidP="00EB4327">
      <w:r w:rsidRPr="007B2A94">
        <w:t xml:space="preserve">Όσον αφορά στις υποβολές και εγκρίσεις προτάσεων/δράσεων ως προς τους Τομείς Προτεραιότητας της RIS3 και ως προς τις Περιφέρειες για την πρόσκληση υποβολής αιτήσεων χρηματοδότησης ερευνητικών έργων στην Ενιαία Δράση Κρατικών Ενισχύσεων Έρευνας, Τεχνολογικής Ανάπτυξης &amp; Καινοτομίας «ΕΡΕΥΝΩ – ΔΗΜΙΟΥΡΓΩ – ΚΑΙΝΟΤΟΜΩ», προκύπτουν τα εξής: </w:t>
      </w:r>
    </w:p>
    <w:p w:rsidR="009B3991" w:rsidRPr="007B2A94" w:rsidRDefault="009B3991" w:rsidP="00EB4327">
      <w:r w:rsidRPr="007B2A94">
        <w:t>Η συνολική δημόσια δαπάνη των υποβληθεισών προτάσεων ανήλθε στο εξαιρετικά υψηλό ποσό των 1.386.643.579</w:t>
      </w:r>
      <w:r w:rsidR="00522858">
        <w:t xml:space="preserve"> </w:t>
      </w:r>
      <w:r w:rsidR="00B80675" w:rsidRPr="007B2A94">
        <w:rPr>
          <w:rFonts w:ascii="Calibri" w:hAnsi="Calibri"/>
        </w:rPr>
        <w:t>€</w:t>
      </w:r>
      <w:r w:rsidRPr="007B2A94">
        <w:t xml:space="preserve"> δηλαδή </w:t>
      </w:r>
      <w:r w:rsidR="007E35DC" w:rsidRPr="007B2A94">
        <w:t>338</w:t>
      </w:r>
      <w:r w:rsidRPr="007B2A94">
        <w:t xml:space="preserve">% του αντίστοιχου προϋπολογισμού της Πρόσκλησης </w:t>
      </w:r>
      <w:r w:rsidRPr="007B2A94">
        <w:rPr>
          <w:b/>
        </w:rPr>
        <w:t>αποδεικνύοντας το ισχυρό ενδιαφέρον των δυνητικών δικαιούχων για τη δράση</w:t>
      </w:r>
      <w:r w:rsidRPr="007B2A94">
        <w:t xml:space="preserve">. </w:t>
      </w:r>
      <w:r w:rsidR="00B80675" w:rsidRPr="007B2A94">
        <w:t>Ο</w:t>
      </w:r>
      <w:r w:rsidRPr="007B2A94">
        <w:t xml:space="preserve"> ΕΦΔ </w:t>
      </w:r>
      <w:r w:rsidR="006B07AB" w:rsidRPr="007B2A94">
        <w:t xml:space="preserve">(ΕΥΔΕ-ΕΤΑΚ) </w:t>
      </w:r>
      <w:r w:rsidRPr="007B2A94">
        <w:t>προχώρησε</w:t>
      </w:r>
      <w:r w:rsidR="00B80675" w:rsidRPr="007B2A94">
        <w:t xml:space="preserve">, μετά την ολοκλήρωση της διαδικασίας αξιολόγησης, </w:t>
      </w:r>
      <w:r w:rsidRPr="007B2A94">
        <w:t xml:space="preserve"> σε έγκριση έργων συνολικού προϋπολογισμού </w:t>
      </w:r>
      <w:r w:rsidR="00B80675" w:rsidRPr="007B2A94">
        <w:t>372.973.491</w:t>
      </w:r>
      <w:r w:rsidR="00522858">
        <w:t xml:space="preserve"> </w:t>
      </w:r>
      <w:r w:rsidR="00B80675" w:rsidRPr="007B2A94">
        <w:t xml:space="preserve">€, δηλαδή στο 91% της Πρόσκλησης, </w:t>
      </w:r>
      <w:r w:rsidR="007E35DC" w:rsidRPr="007B2A94">
        <w:t>και</w:t>
      </w:r>
      <w:r w:rsidR="00B80675" w:rsidRPr="007B2A94">
        <w:t xml:space="preserve"> μόλις </w:t>
      </w:r>
      <w:r w:rsidR="007E35DC" w:rsidRPr="007B2A94">
        <w:t xml:space="preserve">στο </w:t>
      </w:r>
      <w:r w:rsidR="00B80675" w:rsidRPr="007B2A94">
        <w:t xml:space="preserve">27% </w:t>
      </w:r>
      <w:r w:rsidR="007E35DC" w:rsidRPr="007B2A94">
        <w:t>του αντίστοιχου προϋπολογισμού υποβολής.</w:t>
      </w:r>
    </w:p>
    <w:p w:rsidR="00522858" w:rsidRDefault="00522858">
      <w:pPr>
        <w:spacing w:before="0" w:after="160" w:line="259" w:lineRule="auto"/>
        <w:jc w:val="left"/>
        <w:rPr>
          <w:b/>
          <w:u w:val="single"/>
        </w:rPr>
      </w:pPr>
      <w:r>
        <w:rPr>
          <w:b/>
          <w:u w:val="single"/>
        </w:rPr>
        <w:br w:type="page"/>
      </w:r>
    </w:p>
    <w:p w:rsidR="007E35DC" w:rsidRPr="007B2A94" w:rsidRDefault="00F200DD" w:rsidP="00342978">
      <w:pPr>
        <w:spacing w:before="240" w:after="240"/>
        <w:rPr>
          <w:b/>
          <w:u w:val="single"/>
        </w:rPr>
      </w:pPr>
      <w:r w:rsidRPr="007B2A94">
        <w:rPr>
          <w:b/>
          <w:u w:val="single"/>
        </w:rPr>
        <w:lastRenderedPageBreak/>
        <w:t xml:space="preserve">Ως προς τον προϋπολογισμό δημόσιας δαπάνης των υποβληθεισών </w:t>
      </w:r>
      <w:r w:rsidR="00342978" w:rsidRPr="007B2A94">
        <w:rPr>
          <w:b/>
          <w:u w:val="single"/>
        </w:rPr>
        <w:t>προτάσεων:</w:t>
      </w:r>
    </w:p>
    <w:p w:rsidR="00361A05" w:rsidRPr="007B2A94" w:rsidRDefault="00361A05" w:rsidP="00361A05">
      <w:pPr>
        <w:rPr>
          <w:u w:val="single"/>
        </w:rPr>
      </w:pPr>
      <w:r w:rsidRPr="007B2A94">
        <w:rPr>
          <w:u w:val="single"/>
        </w:rPr>
        <w:t>Γενικά</w:t>
      </w:r>
    </w:p>
    <w:p w:rsidR="00F200DD" w:rsidRPr="007B2A94" w:rsidRDefault="00F200DD" w:rsidP="001B2DD1">
      <w:pPr>
        <w:pStyle w:val="ListParagraph"/>
        <w:numPr>
          <w:ilvl w:val="0"/>
          <w:numId w:val="23"/>
        </w:numPr>
      </w:pPr>
      <w:r w:rsidRPr="007B2A94">
        <w:t>Οι Περιφέρειες Αττικής και Κ. Μακεδονίας συγκ</w:t>
      </w:r>
      <w:r w:rsidR="005669D2" w:rsidRPr="007B2A94">
        <w:t xml:space="preserve">έντρωσαν αθροιστικά το 64%, ενώ καμία άλλη Περιφέρεια δεν συγκεντρώνει πάνω από 10% </w:t>
      </w:r>
      <w:r w:rsidR="007B2A94" w:rsidRPr="007B2A94">
        <w:t xml:space="preserve">σε </w:t>
      </w:r>
      <w:r w:rsidR="005669D2" w:rsidRPr="007B2A94">
        <w:t>αντίστοιχο ποσοστό, με τη Δ. Ελλάδα να έχει το μεγαλύτερο (8,2%) και το Ν. Αιγαίο το μικρότερο (0,4%).</w:t>
      </w:r>
    </w:p>
    <w:p w:rsidR="005669D2" w:rsidRPr="007B2A94" w:rsidRDefault="005669D2" w:rsidP="001B2DD1">
      <w:pPr>
        <w:pStyle w:val="ListParagraph"/>
        <w:numPr>
          <w:ilvl w:val="0"/>
          <w:numId w:val="23"/>
        </w:numPr>
      </w:pPr>
      <w:r w:rsidRPr="007B2A94">
        <w:t xml:space="preserve">Ο </w:t>
      </w:r>
      <w:r w:rsidR="00522858">
        <w:t>τ</w:t>
      </w:r>
      <w:r w:rsidRPr="007B2A94">
        <w:t xml:space="preserve">ομέας </w:t>
      </w:r>
      <w:r w:rsidR="00522858">
        <w:t>προτεραιότητας «</w:t>
      </w:r>
      <w:r w:rsidRPr="007B2A94">
        <w:t>Αγροδιατροφή</w:t>
      </w:r>
      <w:r w:rsidR="00522858">
        <w:t>»</w:t>
      </w:r>
      <w:r w:rsidRPr="007B2A94">
        <w:t xml:space="preserve"> συγκέντρωσε το μεγαλύτερο ποσοστό προϋπολογισμού δημόσιας δαπάνης (</w:t>
      </w:r>
      <w:r w:rsidR="00D5687C" w:rsidRPr="007B2A94">
        <w:t xml:space="preserve">20,1%), ενώ οι τομείς </w:t>
      </w:r>
      <w:r w:rsidR="00522858">
        <w:t>«</w:t>
      </w:r>
      <w:r w:rsidR="00361A05" w:rsidRPr="007B2A94">
        <w:t>Τεχνολογίες Πληροφορικής-Τηλεπικοινωνιών</w:t>
      </w:r>
      <w:r w:rsidR="00522858">
        <w:t>»</w:t>
      </w:r>
      <w:r w:rsidR="00361A05" w:rsidRPr="007B2A94">
        <w:t xml:space="preserve"> και </w:t>
      </w:r>
      <w:r w:rsidR="00522858">
        <w:t>«</w:t>
      </w:r>
      <w:r w:rsidR="00361A05" w:rsidRPr="007B2A94">
        <w:t>Υγεία-Φάρμακα</w:t>
      </w:r>
      <w:r w:rsidR="00522858">
        <w:t>»</w:t>
      </w:r>
      <w:r w:rsidR="00361A05" w:rsidRPr="007B2A94">
        <w:t xml:space="preserve"> ακολουθούν σε ποσοστά που ανέρχονται στο 19% και 18,5% αντίστοιχα.</w:t>
      </w:r>
    </w:p>
    <w:p w:rsidR="00361A05" w:rsidRPr="007B2A94" w:rsidRDefault="00361A05" w:rsidP="00AA2E65">
      <w:pPr>
        <w:spacing w:after="120"/>
        <w:ind w:left="357"/>
        <w:rPr>
          <w:u w:val="single"/>
        </w:rPr>
      </w:pPr>
      <w:r w:rsidRPr="007B2A94">
        <w:rPr>
          <w:u w:val="single"/>
        </w:rPr>
        <w:t xml:space="preserve">Σε επίπεδο </w:t>
      </w:r>
      <w:r w:rsidR="00522858">
        <w:rPr>
          <w:u w:val="single"/>
        </w:rPr>
        <w:t>Π</w:t>
      </w:r>
      <w:r w:rsidRPr="007B2A94">
        <w:rPr>
          <w:u w:val="single"/>
        </w:rPr>
        <w:t>εριφέρειας</w:t>
      </w:r>
      <w:r w:rsidR="00FA4730" w:rsidRPr="007B2A94">
        <w:rPr>
          <w:u w:val="single"/>
        </w:rPr>
        <w:t xml:space="preserve">, οι </w:t>
      </w:r>
      <w:r w:rsidR="00522858">
        <w:rPr>
          <w:u w:val="single"/>
        </w:rPr>
        <w:t>τ</w:t>
      </w:r>
      <w:r w:rsidR="00FA4730" w:rsidRPr="007B2A94">
        <w:rPr>
          <w:u w:val="single"/>
        </w:rPr>
        <w:t xml:space="preserve">ομείς </w:t>
      </w:r>
      <w:r w:rsidR="00522858">
        <w:rPr>
          <w:u w:val="single"/>
        </w:rPr>
        <w:t>π</w:t>
      </w:r>
      <w:r w:rsidR="00FA4730" w:rsidRPr="007B2A94">
        <w:rPr>
          <w:u w:val="single"/>
        </w:rPr>
        <w:t xml:space="preserve">ροτεραιότητας </w:t>
      </w:r>
      <w:r w:rsidR="00FA4730" w:rsidRPr="007B2A94">
        <w:rPr>
          <w:u w:val="single"/>
          <w:lang w:val="en-US"/>
        </w:rPr>
        <w:t>RIS</w:t>
      </w:r>
      <w:r w:rsidR="00FA4730" w:rsidRPr="007B2A94">
        <w:rPr>
          <w:u w:val="single"/>
        </w:rPr>
        <w:t>3 με τη μεγαλύτερη ζήτηση ήταν οι εξής</w:t>
      </w:r>
      <w:r w:rsidRPr="007B2A94">
        <w:rPr>
          <w:u w:val="single"/>
        </w:rPr>
        <w:t>:</w:t>
      </w:r>
    </w:p>
    <w:p w:rsidR="00361A05" w:rsidRPr="007B2A94" w:rsidRDefault="00361A05" w:rsidP="001B2DD1">
      <w:pPr>
        <w:pStyle w:val="ListParagraph"/>
        <w:numPr>
          <w:ilvl w:val="0"/>
          <w:numId w:val="23"/>
        </w:numPr>
      </w:pPr>
      <w:r w:rsidRPr="007B2A94">
        <w:t xml:space="preserve">Στην Περιφέρεια Ανατολικής Μακεδονίας Θράκης, </w:t>
      </w:r>
      <w:r w:rsidR="00135C62" w:rsidRPr="007B2A94">
        <w:t xml:space="preserve">τα υψηλότερα ποσοστά δημόσιας δαπάνης της ζήτησης συγκεντρώνουν οι </w:t>
      </w:r>
      <w:r w:rsidR="00522858">
        <w:t>τ</w:t>
      </w:r>
      <w:r w:rsidR="00963CB0" w:rsidRPr="007B2A94">
        <w:t xml:space="preserve">ομείς </w:t>
      </w:r>
      <w:r w:rsidR="00135C62" w:rsidRPr="007B2A94">
        <w:t>Τεχνολογίες Πληροφορικής-Τηλεπικοινωνιών (22,1%) και Αγροδ</w:t>
      </w:r>
      <w:r w:rsidR="00963CB0" w:rsidRPr="007B2A94">
        <w:t>ιατροφή -</w:t>
      </w:r>
      <w:r w:rsidR="00135C62" w:rsidRPr="007B2A94">
        <w:t>Βιομηχανία τροφίμων (22%)</w:t>
      </w:r>
      <w:r w:rsidR="00FA4730" w:rsidRPr="007B2A94">
        <w:t>.</w:t>
      </w:r>
    </w:p>
    <w:p w:rsidR="00FA4730" w:rsidRPr="007B2A94" w:rsidRDefault="00FA4730" w:rsidP="001B2DD1">
      <w:pPr>
        <w:pStyle w:val="ListParagraph"/>
        <w:numPr>
          <w:ilvl w:val="0"/>
          <w:numId w:val="23"/>
        </w:numPr>
      </w:pPr>
      <w:r w:rsidRPr="007B2A94">
        <w:t xml:space="preserve">Στην Περιφέρεια Αττικής, μεγαλύτερη ζήτηση (σε όρους δημόσιας δαπάνης) παρουσιάζουν οι </w:t>
      </w:r>
      <w:r w:rsidR="00522858">
        <w:t>τ</w:t>
      </w:r>
      <w:r w:rsidRPr="007B2A94">
        <w:t>ομείς Τεχνολογίες Πληροφορικής-Τηλεπικοινωνιών (21,8%), Υγεία και Φάρμακα (21,4&amp;) και Αγροδιατροφή και Βιομηχανία τροφίμων (14,1%)</w:t>
      </w:r>
    </w:p>
    <w:p w:rsidR="00FA4730" w:rsidRPr="007B2A94" w:rsidRDefault="00FA4730" w:rsidP="001B2DD1">
      <w:pPr>
        <w:pStyle w:val="ListParagraph"/>
        <w:numPr>
          <w:ilvl w:val="0"/>
          <w:numId w:val="23"/>
        </w:numPr>
      </w:pPr>
      <w:r w:rsidRPr="007B2A94">
        <w:t xml:space="preserve">Στην Περιφέρεια Β. Αιγαίου, τα υψηλότερα αντίστοιχα ποσοστά παρουσιάζουν </w:t>
      </w:r>
      <w:r w:rsidR="00522858">
        <w:t>οι</w:t>
      </w:r>
      <w:r w:rsidRPr="007B2A94">
        <w:t xml:space="preserve"> </w:t>
      </w:r>
      <w:r w:rsidR="00522858">
        <w:t>τ</w:t>
      </w:r>
      <w:r w:rsidRPr="007B2A94">
        <w:t>ομείς Τουρισμός Πολιτισμός και Δημιουργικές Βιομηχανίες (28%), Τεχνολογίες Πληροφορικής-Τηλεπικοινωνιών (17,1%) και Περιβάλλον και Βιώσιμη Ανάπτυξη (16%).</w:t>
      </w:r>
    </w:p>
    <w:p w:rsidR="00FA4730" w:rsidRPr="007B2A94" w:rsidRDefault="00FA4730" w:rsidP="001B2DD1">
      <w:pPr>
        <w:pStyle w:val="ListParagraph"/>
        <w:numPr>
          <w:ilvl w:val="0"/>
          <w:numId w:val="23"/>
        </w:numPr>
      </w:pPr>
      <w:r w:rsidRPr="007B2A94">
        <w:t>Στην Περιφέρεια Δ. Ελλάδας, τα υψηλότερα α</w:t>
      </w:r>
      <w:r w:rsidR="007E0497" w:rsidRPr="007B2A94">
        <w:t xml:space="preserve">ντίστοιχα ποσοστά παρουσιάζουν </w:t>
      </w:r>
      <w:r w:rsidRPr="007B2A94">
        <w:t xml:space="preserve">οι </w:t>
      </w:r>
      <w:r w:rsidR="00522858">
        <w:t>τ</w:t>
      </w:r>
      <w:r w:rsidRPr="007B2A94">
        <w:t>ομείς Τεχνολογίες Πληροφορικής-Τηλεπικοινωνιών (24,4%), Αγροδιατροφή και Βιομηχανία τροφίμων (16,6%) και Υγεία και Φάρμακα(15,9%).</w:t>
      </w:r>
    </w:p>
    <w:p w:rsidR="00A7406B" w:rsidRPr="007B2A94" w:rsidRDefault="00A7406B" w:rsidP="001B2DD1">
      <w:pPr>
        <w:pStyle w:val="ListParagraph"/>
        <w:numPr>
          <w:ilvl w:val="0"/>
          <w:numId w:val="23"/>
        </w:numPr>
      </w:pPr>
      <w:r w:rsidRPr="007B2A94">
        <w:t xml:space="preserve">Στην Περιφέρεια Δ. Μακεδονίας, τα υψηλότερα αντίστοιχα ποσοστά παρουσιάζουν οι </w:t>
      </w:r>
      <w:r w:rsidR="00522858">
        <w:t>τ</w:t>
      </w:r>
      <w:r w:rsidRPr="007B2A94">
        <w:t>ομείς Τεχνολογίες Πληροφορικής-Τηλεπικοινωνιών (20,3%), Αγροδιατροφή και Βιομηχανία τροφίμων (18,5%) και Περιβάλλον και Βιώσιμη Ανάπτυξη (18,2%).</w:t>
      </w:r>
    </w:p>
    <w:p w:rsidR="00A7406B" w:rsidRPr="007B2A94" w:rsidRDefault="00A7406B" w:rsidP="001B2DD1">
      <w:pPr>
        <w:pStyle w:val="ListParagraph"/>
        <w:numPr>
          <w:ilvl w:val="0"/>
          <w:numId w:val="23"/>
        </w:numPr>
      </w:pPr>
      <w:r w:rsidRPr="007B2A94">
        <w:t xml:space="preserve">Στην Περιφέρεια Ηπείρου, τα υψηλότερα αντίστοιχα ποσοστά παρουσιάζουν οι </w:t>
      </w:r>
      <w:r w:rsidR="00522858">
        <w:t>τ</w:t>
      </w:r>
      <w:r w:rsidRPr="007B2A94">
        <w:t>ομείς Υγεία και Φάρμακα (27,6%), Αγροδιατροφή και Βιομηχανία τροφίμων (23%) και Τεχνολογίες Πληροφορικής-Τηλεπικοινωνιών (15,3%).</w:t>
      </w:r>
    </w:p>
    <w:p w:rsidR="00A7406B" w:rsidRPr="007B2A94" w:rsidRDefault="00A7406B" w:rsidP="001B2DD1">
      <w:pPr>
        <w:pStyle w:val="ListParagraph"/>
        <w:numPr>
          <w:ilvl w:val="0"/>
          <w:numId w:val="23"/>
        </w:numPr>
      </w:pPr>
      <w:r w:rsidRPr="007B2A94">
        <w:t xml:space="preserve">Στην Περιφέρεια Θεσσαλίας, τα υψηλότερα αντίστοιχα ποσοστά παρουσιάζουν οι </w:t>
      </w:r>
      <w:r w:rsidR="00522858">
        <w:t>τ</w:t>
      </w:r>
      <w:r w:rsidRPr="007B2A94">
        <w:t>ομείς Αγροδιατροφή και Βιομηχανία τροφίμων (43,3%),</w:t>
      </w:r>
      <w:r w:rsidR="0038573F" w:rsidRPr="007B2A94">
        <w:t xml:space="preserve"> Υγεία και Φάρμακα (18,1%) και</w:t>
      </w:r>
      <w:r w:rsidRPr="007B2A94">
        <w:t xml:space="preserve"> Τεχνολογίες Πλ</w:t>
      </w:r>
      <w:r w:rsidR="0038573F" w:rsidRPr="007B2A94">
        <w:t>ηροφορικής-Τηλεπικοινωνιών (8,8</w:t>
      </w:r>
      <w:r w:rsidRPr="007B2A94">
        <w:t>%</w:t>
      </w:r>
      <w:r w:rsidR="0038573F" w:rsidRPr="007B2A94">
        <w:t>).</w:t>
      </w:r>
    </w:p>
    <w:p w:rsidR="0038573F" w:rsidRPr="007B2A94" w:rsidRDefault="0038573F" w:rsidP="001B2DD1">
      <w:pPr>
        <w:pStyle w:val="ListParagraph"/>
        <w:numPr>
          <w:ilvl w:val="0"/>
          <w:numId w:val="23"/>
        </w:numPr>
      </w:pPr>
      <w:r w:rsidRPr="007B2A94">
        <w:t>Στην Περιφέρεια Ιονίων Νήσων, τα υψηλότερα αντίστοιχα ποσοστά παρουσιάζουν οι</w:t>
      </w:r>
      <w:r w:rsidR="00522858">
        <w:t xml:space="preserve"> τ</w:t>
      </w:r>
      <w:r w:rsidRPr="007B2A94">
        <w:t>ομείς Τουρισμός Πολιτισμός και Δημιουργικές Βιομηχανίες (50,4%) και Τεχνολογίες Πληροφορικής-Τηλεπικοινωνιών (19,3%).</w:t>
      </w:r>
    </w:p>
    <w:p w:rsidR="0038573F" w:rsidRPr="007B2A94" w:rsidRDefault="0038573F" w:rsidP="001B2DD1">
      <w:pPr>
        <w:pStyle w:val="ListParagraph"/>
        <w:numPr>
          <w:ilvl w:val="0"/>
          <w:numId w:val="23"/>
        </w:numPr>
      </w:pPr>
      <w:r w:rsidRPr="007B2A94">
        <w:t xml:space="preserve">Στην Περιφέρεια Κ. Μακεδονίας, τα υψηλότερα αντίστοιχα ποσοστά παρουσιάζουν οι </w:t>
      </w:r>
      <w:r w:rsidR="00522858">
        <w:t>τ</w:t>
      </w:r>
      <w:r w:rsidRPr="007B2A94">
        <w:t>ομείς Αγροδιατροφή και Βιομηχανία τροφίμων (25,8%), Υγεία και Φάρμακα (15,4%) και Τεχνολογίες Πληροφορικής-Τηλεπικοινωνιών (14,9%).</w:t>
      </w:r>
    </w:p>
    <w:p w:rsidR="0038573F" w:rsidRPr="007B2A94" w:rsidRDefault="0038573F" w:rsidP="001B2DD1">
      <w:pPr>
        <w:pStyle w:val="ListParagraph"/>
        <w:numPr>
          <w:ilvl w:val="0"/>
          <w:numId w:val="23"/>
        </w:numPr>
      </w:pPr>
      <w:r w:rsidRPr="007B2A94">
        <w:t xml:space="preserve">Στην Περιφέρεια Κρήτης, τα υψηλότερα αντίστοιχα ποσοστά παρουσιάζουν οι </w:t>
      </w:r>
      <w:r w:rsidR="00522858">
        <w:t>τ</w:t>
      </w:r>
      <w:r w:rsidRPr="007B2A94">
        <w:t>ομείς Αγροδιατροφή και Βιομηχανία τροφίμων (20,5%), Υγεία και Φάρμακα (19,7%) και Τεχνολογίες Πληροφορικής-Τηλεπικοινωνιών (18,8%).</w:t>
      </w:r>
    </w:p>
    <w:p w:rsidR="0038573F" w:rsidRPr="007B2A94" w:rsidRDefault="0038573F" w:rsidP="001B2DD1">
      <w:pPr>
        <w:pStyle w:val="ListParagraph"/>
        <w:numPr>
          <w:ilvl w:val="0"/>
          <w:numId w:val="23"/>
        </w:numPr>
      </w:pPr>
      <w:r w:rsidRPr="007B2A94">
        <w:t xml:space="preserve">Στην Περιφέρεια </w:t>
      </w:r>
      <w:r w:rsidR="007C4A09" w:rsidRPr="007B2A94">
        <w:t>Ν. Αιγαίου</w:t>
      </w:r>
      <w:r w:rsidRPr="007B2A94">
        <w:t>, τα υψηλότερα αντίστοιχα ποσοστά παρουσιάζουν οι</w:t>
      </w:r>
      <w:r w:rsidR="007C4A09" w:rsidRPr="007B2A94">
        <w:t xml:space="preserve"> </w:t>
      </w:r>
      <w:r w:rsidR="00522858">
        <w:t>τ</w:t>
      </w:r>
      <w:r w:rsidR="007C4A09" w:rsidRPr="007B2A94">
        <w:t>ομείς Τουρισμός Πολιτισμός και Δημιουργικές Βιομηχανίες (38,7%), Περιβάλλον και Βιώσιμη Ανάπτυξη (27,4%) και Αγροδιατροφή και Βιομηχανία τροφίμων (22,7%).</w:t>
      </w:r>
    </w:p>
    <w:p w:rsidR="007C4A09" w:rsidRPr="007B2A94" w:rsidRDefault="007C4A09" w:rsidP="001B2DD1">
      <w:pPr>
        <w:pStyle w:val="ListParagraph"/>
        <w:numPr>
          <w:ilvl w:val="0"/>
          <w:numId w:val="23"/>
        </w:numPr>
      </w:pPr>
      <w:r w:rsidRPr="007B2A94">
        <w:lastRenderedPageBreak/>
        <w:t xml:space="preserve">Στην Περιφέρεια Πελοποννήσου, τα υψηλότερα αντίστοιχα ποσοστά παρουσιάζουν οι </w:t>
      </w:r>
      <w:r w:rsidR="00522858">
        <w:t>τ</w:t>
      </w:r>
      <w:r w:rsidRPr="007B2A94">
        <w:t>ομείς Αγροδιατροφή και Βιομηχανία τροφίμων (31,8%), Τουρισμός Πολιτισμός και Δημιουργικές Βιομηχανίες (21,5%) και Τεχνολογίες Πληροφορικής-Τηλεπικοινωνιών (15,1%).</w:t>
      </w:r>
    </w:p>
    <w:p w:rsidR="00AA2E65" w:rsidRPr="007B2A94" w:rsidRDefault="00AA2E65" w:rsidP="001B2DD1">
      <w:pPr>
        <w:pStyle w:val="ListParagraph"/>
        <w:numPr>
          <w:ilvl w:val="0"/>
          <w:numId w:val="23"/>
        </w:numPr>
      </w:pPr>
      <w:r w:rsidRPr="007B2A94">
        <w:t xml:space="preserve">Στην Περιφέρεια Σ. Ελλάδας, τα υψηλότερα αντίστοιχα ποσοστά παρουσιάζουν οι </w:t>
      </w:r>
      <w:r w:rsidR="00522858">
        <w:t>τ</w:t>
      </w:r>
      <w:r w:rsidRPr="007B2A94">
        <w:t>ομείς Αγροδιατροφή και Βιομηχανία τροφίμων (21,3%), Υγεία και Φάρμακα (20,1%) και Τεχνολογίες Πληροφορικής-Τηλεπικοινωνιών (17%).</w:t>
      </w:r>
    </w:p>
    <w:p w:rsidR="00AA2E65" w:rsidRPr="007B2A94" w:rsidRDefault="00AA2E65" w:rsidP="00AA2E65">
      <w:pPr>
        <w:spacing w:after="120"/>
        <w:ind w:left="357"/>
        <w:rPr>
          <w:u w:val="single"/>
        </w:rPr>
      </w:pPr>
      <w:r w:rsidRPr="007B2A94">
        <w:rPr>
          <w:u w:val="single"/>
        </w:rPr>
        <w:t xml:space="preserve">Σε επίπεδο </w:t>
      </w:r>
      <w:r w:rsidR="00522858">
        <w:rPr>
          <w:u w:val="single"/>
        </w:rPr>
        <w:t>τ</w:t>
      </w:r>
      <w:r w:rsidRPr="007B2A94">
        <w:rPr>
          <w:u w:val="single"/>
        </w:rPr>
        <w:t xml:space="preserve">ομέα </w:t>
      </w:r>
      <w:r w:rsidR="00522858">
        <w:rPr>
          <w:u w:val="single"/>
        </w:rPr>
        <w:t>π</w:t>
      </w:r>
      <w:r w:rsidRPr="007B2A94">
        <w:rPr>
          <w:u w:val="single"/>
        </w:rPr>
        <w:t xml:space="preserve">ροτεραιότητας </w:t>
      </w:r>
      <w:r w:rsidRPr="007B2A94">
        <w:rPr>
          <w:u w:val="single"/>
          <w:lang w:val="en-US"/>
        </w:rPr>
        <w:t>RIS</w:t>
      </w:r>
      <w:r w:rsidRPr="007B2A94">
        <w:rPr>
          <w:u w:val="single"/>
        </w:rPr>
        <w:t>3, οι Περιφέρειες με τη μεγαλύτερη ζήτηση ήταν οι εξής:</w:t>
      </w:r>
    </w:p>
    <w:p w:rsidR="007C4A09" w:rsidRPr="007B2A94" w:rsidRDefault="00602E3D" w:rsidP="001B2DD1">
      <w:pPr>
        <w:pStyle w:val="ListParagraph"/>
        <w:numPr>
          <w:ilvl w:val="0"/>
          <w:numId w:val="23"/>
        </w:numPr>
      </w:pPr>
      <w:r w:rsidRPr="007B2A94">
        <w:t xml:space="preserve">Το μεγαλύτερο ποσοστό του προϋπολογισμού δημόσιας δαπάνης της ζήτησης στον </w:t>
      </w:r>
      <w:r w:rsidR="00522858">
        <w:t>τ</w:t>
      </w:r>
      <w:r w:rsidRPr="007B2A94">
        <w:t>ομέα Υλικά – Κατασκευές</w:t>
      </w:r>
      <w:r w:rsidR="00DC1029" w:rsidRPr="007B2A94">
        <w:t>,</w:t>
      </w:r>
      <w:r w:rsidRPr="007B2A94">
        <w:t xml:space="preserve"> συγκεντρώνεται στην Αττική (38,4%) και στην Κ. Μακεδονία (23,6%).</w:t>
      </w:r>
    </w:p>
    <w:p w:rsidR="00602E3D" w:rsidRPr="007B2A94" w:rsidRDefault="00DC1029" w:rsidP="001B2DD1">
      <w:pPr>
        <w:pStyle w:val="ListParagraph"/>
        <w:numPr>
          <w:ilvl w:val="0"/>
          <w:numId w:val="23"/>
        </w:numPr>
      </w:pPr>
      <w:r w:rsidRPr="007B2A94">
        <w:t xml:space="preserve">Αντίστοιχα, για τον </w:t>
      </w:r>
      <w:r w:rsidR="00522858">
        <w:t>τ</w:t>
      </w:r>
      <w:r w:rsidRPr="007B2A94">
        <w:t>ομέα Τουρισμός Πολιτισμός και Δημιουργικές Βιομηχανίες, το υψηλότερο ποσοστό συγκεντρώνουν οι Περιφέρειες Αττικής και Κ. Μακεδονίας (44,3% και 14,6% αντίστοιχα).</w:t>
      </w:r>
    </w:p>
    <w:p w:rsidR="00DC1029" w:rsidRPr="007B2A94" w:rsidRDefault="00DC1029" w:rsidP="001B2DD1">
      <w:pPr>
        <w:pStyle w:val="ListParagraph"/>
        <w:numPr>
          <w:ilvl w:val="0"/>
          <w:numId w:val="23"/>
        </w:numPr>
      </w:pPr>
      <w:r w:rsidRPr="007B2A94">
        <w:t xml:space="preserve">Για τον </w:t>
      </w:r>
      <w:r w:rsidR="00522858">
        <w:t>τ</w:t>
      </w:r>
      <w:r w:rsidRPr="007B2A94">
        <w:t>ομέα Αγροδιατροφή και Βιομηχανία τροφίμων, τα αντίστοιχα ποσοστά είναι 29,7% για την Αττική και 27,7% για την Κ. Μακεδονία.</w:t>
      </w:r>
    </w:p>
    <w:p w:rsidR="00DC1029" w:rsidRPr="007B2A94" w:rsidRDefault="00DC1029" w:rsidP="001B2DD1">
      <w:pPr>
        <w:pStyle w:val="ListParagraph"/>
        <w:numPr>
          <w:ilvl w:val="0"/>
          <w:numId w:val="23"/>
        </w:numPr>
      </w:pPr>
      <w:r w:rsidRPr="007B2A94">
        <w:t>Για τον Τομέα Περιβάλλον και Βιώσιμη ανάπτυξη, η υψηλότερη συγκέντρωση αιτούμενης δημόσιας δαπάνης παρουσιάστηκε στην Αττική (39,7%) και Κ. Μακεδονία (26,1%).</w:t>
      </w:r>
    </w:p>
    <w:p w:rsidR="00DC1029" w:rsidRPr="007B2A94" w:rsidRDefault="00DC1029" w:rsidP="001B2DD1">
      <w:pPr>
        <w:pStyle w:val="ListParagraph"/>
        <w:numPr>
          <w:ilvl w:val="0"/>
          <w:numId w:val="23"/>
        </w:numPr>
      </w:pPr>
      <w:r w:rsidRPr="007B2A94">
        <w:t xml:space="preserve">Για τον </w:t>
      </w:r>
      <w:r w:rsidR="00522858">
        <w:t>τ</w:t>
      </w:r>
      <w:r w:rsidRPr="007B2A94">
        <w:t>ομέα Υγεία και Φάρμακα, η υψηλότερη συγκέντρωση αιτούμενης δημόσιας δαπάνης παρουσιάστηκε στην Αττική (49 %) και Κ. Μακεδονία (17,1%).</w:t>
      </w:r>
    </w:p>
    <w:p w:rsidR="00DC1029" w:rsidRPr="007B2A94" w:rsidRDefault="00DC1029" w:rsidP="001B2DD1">
      <w:pPr>
        <w:pStyle w:val="ListParagraph"/>
        <w:numPr>
          <w:ilvl w:val="0"/>
          <w:numId w:val="23"/>
        </w:numPr>
      </w:pPr>
      <w:r w:rsidRPr="007B2A94">
        <w:t xml:space="preserve">Για τον </w:t>
      </w:r>
      <w:r w:rsidR="00522858">
        <w:t>τ</w:t>
      </w:r>
      <w:r w:rsidRPr="007B2A94">
        <w:t>ομέα Μεταφορές και Εφοδιαστική Αλυσίδα, η υψηλότερη συγκέντρωση αιτούμενης δημόσιας δαπάνης παρουσιάστηκε στην Αττική (51,4 %) και Κ. Μακεδονία (20,6%).</w:t>
      </w:r>
    </w:p>
    <w:p w:rsidR="00DC1029" w:rsidRPr="007B2A94" w:rsidRDefault="00DC1029" w:rsidP="001B2DD1">
      <w:pPr>
        <w:pStyle w:val="ListParagraph"/>
        <w:numPr>
          <w:ilvl w:val="0"/>
          <w:numId w:val="23"/>
        </w:numPr>
      </w:pPr>
      <w:r w:rsidRPr="007B2A94">
        <w:t xml:space="preserve">Για τον </w:t>
      </w:r>
      <w:r w:rsidR="00522858">
        <w:t>τ</w:t>
      </w:r>
      <w:r w:rsidRPr="007B2A94">
        <w:t>ομέα Ενέργεια, η υψηλότερη συγκέντρωση αιτούμενης δημόσιας δαπάνης παρουσιάστηκε στην Αττική (42,7 %) και Κ. Μακεδονία (29,1%).</w:t>
      </w:r>
    </w:p>
    <w:p w:rsidR="00DC1029" w:rsidRPr="007B2A94" w:rsidRDefault="00DC1029" w:rsidP="001B2DD1">
      <w:pPr>
        <w:pStyle w:val="ListParagraph"/>
        <w:numPr>
          <w:ilvl w:val="0"/>
          <w:numId w:val="23"/>
        </w:numPr>
      </w:pPr>
      <w:r w:rsidRPr="007B2A94">
        <w:t xml:space="preserve">Τέλος για τον </w:t>
      </w:r>
      <w:r w:rsidR="00522858">
        <w:t>τ</w:t>
      </w:r>
      <w:r w:rsidRPr="007B2A94">
        <w:t>ομέα ΤΠΕ, η υψηλότερη συγκέντρωση αιτούμενης δημόσιας δαπάνης παρουσιάστηκε στην Αττική (</w:t>
      </w:r>
      <w:r w:rsidR="00C51442" w:rsidRPr="007B2A94">
        <w:t>48,8</w:t>
      </w:r>
      <w:r w:rsidRPr="007B2A94">
        <w:t xml:space="preserve"> %) και Κ. Μακεδονία (16,9%).</w:t>
      </w:r>
    </w:p>
    <w:p w:rsidR="00963CB0" w:rsidRPr="007B2A94" w:rsidRDefault="00963CB0" w:rsidP="00342978">
      <w:pPr>
        <w:spacing w:before="240" w:after="240"/>
        <w:rPr>
          <w:b/>
          <w:u w:val="single"/>
        </w:rPr>
      </w:pPr>
      <w:r w:rsidRPr="007B2A94">
        <w:rPr>
          <w:b/>
          <w:u w:val="single"/>
        </w:rPr>
        <w:t xml:space="preserve">Ως προς τον προϋπολογισμό δημόσιας δαπάνης των εγκεκριμένων </w:t>
      </w:r>
      <w:r w:rsidR="00342978" w:rsidRPr="007B2A94">
        <w:rPr>
          <w:b/>
          <w:u w:val="single"/>
        </w:rPr>
        <w:t>προτάσεων:</w:t>
      </w:r>
    </w:p>
    <w:p w:rsidR="00963CB0" w:rsidRPr="007B2A94" w:rsidRDefault="00963CB0" w:rsidP="00963CB0">
      <w:pPr>
        <w:rPr>
          <w:u w:val="single"/>
        </w:rPr>
      </w:pPr>
      <w:r w:rsidRPr="007B2A94">
        <w:rPr>
          <w:u w:val="single"/>
        </w:rPr>
        <w:t>Γενικά</w:t>
      </w:r>
    </w:p>
    <w:p w:rsidR="00963CB0" w:rsidRPr="007B2A94" w:rsidRDefault="00963CB0" w:rsidP="001B2DD1">
      <w:pPr>
        <w:pStyle w:val="ListParagraph"/>
        <w:numPr>
          <w:ilvl w:val="0"/>
          <w:numId w:val="23"/>
        </w:numPr>
      </w:pPr>
      <w:r w:rsidRPr="007B2A94">
        <w:t>Οι Περιφέρειες Αττικής και Κ. Μακεδονίας συγκέντρωσαν αθροιστικά το 61%, ενώ καμία άλλη Περιφέρεια δεν συγκεντρώνει πάνω από 10% στο αντίστοιχο ποσοστό, με την Περιφέρεια Κρήτης να έχει το μεγαλύτερο (9,8%) και το Ν. Αιγαίο το μικρότερο (0,3%).</w:t>
      </w:r>
    </w:p>
    <w:p w:rsidR="00963CB0" w:rsidRPr="007B2A94" w:rsidRDefault="00963CB0" w:rsidP="001B2DD1">
      <w:pPr>
        <w:pStyle w:val="ListParagraph"/>
        <w:numPr>
          <w:ilvl w:val="0"/>
          <w:numId w:val="23"/>
        </w:numPr>
      </w:pPr>
      <w:r w:rsidRPr="007B2A94">
        <w:t xml:space="preserve">Ο </w:t>
      </w:r>
      <w:r w:rsidR="00522858">
        <w:t>τ</w:t>
      </w:r>
      <w:r w:rsidRPr="007B2A94">
        <w:t>ομέας της Υγεία-Φάρμακα συγκέντρωσε το μεγαλύτερο ποσοστό προϋπολογισμού δημόσιας δαπάνης (20,4%), ενώ οι τομείς Αγροδιατροφή και Τεχνολογίες Πληροφορικής-Τηλεπικοινωνιών ακολουθούν σε ποσοστά που ανέρχονται στο 17,4% και 16,9% αντίστοιχα).</w:t>
      </w:r>
    </w:p>
    <w:p w:rsidR="00963CB0" w:rsidRPr="007B2A94" w:rsidRDefault="00963CB0" w:rsidP="00963CB0">
      <w:pPr>
        <w:spacing w:after="120"/>
        <w:ind w:left="357"/>
        <w:rPr>
          <w:u w:val="single"/>
        </w:rPr>
      </w:pPr>
      <w:r w:rsidRPr="007B2A94">
        <w:rPr>
          <w:u w:val="single"/>
        </w:rPr>
        <w:t xml:space="preserve">Σε επίπεδο περιφέρειας, οι Τομείς Προτεραιότητας </w:t>
      </w:r>
      <w:r w:rsidRPr="007B2A94">
        <w:rPr>
          <w:u w:val="single"/>
          <w:lang w:val="en-US"/>
        </w:rPr>
        <w:t>RIS</w:t>
      </w:r>
      <w:r w:rsidRPr="007B2A94">
        <w:rPr>
          <w:u w:val="single"/>
        </w:rPr>
        <w:t>3 που συγκέντρωσαν υψηλό εγκεκριμένο προϋπολογισμό ήταν οι εξής:</w:t>
      </w:r>
    </w:p>
    <w:p w:rsidR="00963CB0" w:rsidRPr="007B2A94" w:rsidRDefault="00963CB0" w:rsidP="001B2DD1">
      <w:pPr>
        <w:pStyle w:val="ListParagraph"/>
        <w:numPr>
          <w:ilvl w:val="0"/>
          <w:numId w:val="23"/>
        </w:numPr>
      </w:pPr>
      <w:r w:rsidRPr="007B2A94">
        <w:t xml:space="preserve">Στην Περιφέρεια Ανατολικής Μακεδονίας Θράκης, τα υψηλότερα ποσοστά εγκεκριμένης δημόσιας δαπάνης συγκεντρώνουν οι </w:t>
      </w:r>
      <w:r w:rsidR="00543DA9">
        <w:t>τ</w:t>
      </w:r>
      <w:r w:rsidRPr="007B2A94">
        <w:t>ομείς Τεχνολογίες Πληροφορικής-Τηλεπικοινωνιών</w:t>
      </w:r>
      <w:r w:rsidR="00DF48B3" w:rsidRPr="007B2A94">
        <w:t xml:space="preserve"> (26,8</w:t>
      </w:r>
      <w:r w:rsidRPr="007B2A94">
        <w:t>%) και Αγροδιατ</w:t>
      </w:r>
      <w:r w:rsidR="00DF48B3" w:rsidRPr="007B2A94">
        <w:t>ροφή και Βιομηχανία τροφίμων (23,8</w:t>
      </w:r>
      <w:r w:rsidRPr="007B2A94">
        <w:t>%).</w:t>
      </w:r>
    </w:p>
    <w:p w:rsidR="00963CB0" w:rsidRPr="007B2A94" w:rsidRDefault="00963CB0" w:rsidP="001B2DD1">
      <w:pPr>
        <w:pStyle w:val="ListParagraph"/>
        <w:numPr>
          <w:ilvl w:val="0"/>
          <w:numId w:val="23"/>
        </w:numPr>
      </w:pPr>
      <w:r w:rsidRPr="007B2A94">
        <w:t xml:space="preserve">Στην Περιφέρεια Αττικής, μεγαλύτερη ζήτηση (σε όρους δημόσιας δαπάνης) παρουσιάζουν οι </w:t>
      </w:r>
      <w:r w:rsidR="00543DA9">
        <w:t>τ</w:t>
      </w:r>
      <w:r w:rsidRPr="007B2A94">
        <w:t xml:space="preserve">ομείς </w:t>
      </w:r>
      <w:r w:rsidR="00DF48B3" w:rsidRPr="007B2A94">
        <w:t xml:space="preserve">Υγεία και Φάρμακα (26,3%, </w:t>
      </w:r>
      <w:r w:rsidRPr="007B2A94">
        <w:t>Τεχνολογίες Πληροφορικής-Τηλεπικοινωνιών</w:t>
      </w:r>
      <w:r w:rsidR="00DF48B3" w:rsidRPr="007B2A94">
        <w:t xml:space="preserve"> (18</w:t>
      </w:r>
      <w:r w:rsidRPr="007B2A94">
        <w:t xml:space="preserve">%), και </w:t>
      </w:r>
      <w:r w:rsidR="00DF48B3" w:rsidRPr="007B2A94">
        <w:t>Τουρισμός Πολιτισμός και Δημιουργικές Βιομηχανίες</w:t>
      </w:r>
      <w:r w:rsidRPr="007B2A94">
        <w:t xml:space="preserve"> (14,1%)</w:t>
      </w:r>
    </w:p>
    <w:p w:rsidR="00963CB0" w:rsidRPr="007B2A94" w:rsidRDefault="00963CB0" w:rsidP="001B2DD1">
      <w:pPr>
        <w:pStyle w:val="ListParagraph"/>
        <w:numPr>
          <w:ilvl w:val="0"/>
          <w:numId w:val="23"/>
        </w:numPr>
      </w:pPr>
      <w:r w:rsidRPr="007B2A94">
        <w:lastRenderedPageBreak/>
        <w:t>Στην Περιφέρεια Β. Αιγαίου, τα υψηλότερα αντίστοιχα ποσοστά παρουσι</w:t>
      </w:r>
      <w:r w:rsidR="00DF48B3" w:rsidRPr="007B2A94">
        <w:t xml:space="preserve">άζουν </w:t>
      </w:r>
      <w:r w:rsidRPr="007B2A94">
        <w:t xml:space="preserve">οι </w:t>
      </w:r>
      <w:r w:rsidR="00543DA9">
        <w:t>τ</w:t>
      </w:r>
      <w:r w:rsidRPr="007B2A94">
        <w:t>ομείς Τουρισμός Πολιτισμός και Δημιουργικές Βιομηχανίες (28</w:t>
      </w:r>
      <w:r w:rsidR="00DF48B3" w:rsidRPr="007B2A94">
        <w:t>,6</w:t>
      </w:r>
      <w:r w:rsidRPr="007B2A94">
        <w:t xml:space="preserve">%), </w:t>
      </w:r>
      <w:r w:rsidR="00DF48B3" w:rsidRPr="007B2A94">
        <w:t xml:space="preserve">Μεταφορές και Εφοδιαστική Αλυσίδα </w:t>
      </w:r>
      <w:r w:rsidRPr="007B2A94">
        <w:t>(</w:t>
      </w:r>
      <w:r w:rsidR="00DF48B3" w:rsidRPr="007B2A94">
        <w:t>21,9</w:t>
      </w:r>
      <w:r w:rsidRPr="007B2A94">
        <w:t xml:space="preserve">%) και </w:t>
      </w:r>
      <w:r w:rsidR="00DF48B3" w:rsidRPr="007B2A94">
        <w:t>Περιβάλλον και Βιώσιμη Ανάπτυξη (12,4</w:t>
      </w:r>
      <w:r w:rsidRPr="007B2A94">
        <w:t>%).</w:t>
      </w:r>
    </w:p>
    <w:p w:rsidR="00963CB0" w:rsidRPr="007B2A94" w:rsidRDefault="00963CB0" w:rsidP="001B2DD1">
      <w:pPr>
        <w:pStyle w:val="ListParagraph"/>
        <w:numPr>
          <w:ilvl w:val="0"/>
          <w:numId w:val="23"/>
        </w:numPr>
      </w:pPr>
      <w:r w:rsidRPr="007B2A94">
        <w:t xml:space="preserve">Στην Περιφέρεια Δ. Ελλάδας, τα υψηλότερα αντίστοιχα ποσοστά παρουσιάζουν οι </w:t>
      </w:r>
      <w:r w:rsidR="00543DA9">
        <w:t>τ</w:t>
      </w:r>
      <w:r w:rsidRPr="007B2A94">
        <w:t xml:space="preserve">ομείς Τεχνολογίες </w:t>
      </w:r>
      <w:r w:rsidR="00DF48B3" w:rsidRPr="007B2A94">
        <w:t>Πληροφορικής-Τηλεπικοινωνιών (26,1</w:t>
      </w:r>
      <w:r w:rsidRPr="007B2A94">
        <w:t>%), Αγροδιατροφή και Βιομηχανία τροφίμων</w:t>
      </w:r>
      <w:r w:rsidR="00DF48B3" w:rsidRPr="007B2A94">
        <w:t xml:space="preserve"> (15</w:t>
      </w:r>
      <w:r w:rsidRPr="007B2A94">
        <w:t>%) και Υγεία και Φάρμακα</w:t>
      </w:r>
      <w:r w:rsidR="00DF48B3" w:rsidRPr="007B2A94">
        <w:t>(14,7</w:t>
      </w:r>
      <w:r w:rsidRPr="007B2A94">
        <w:t>%).</w:t>
      </w:r>
    </w:p>
    <w:p w:rsidR="00963CB0" w:rsidRPr="007B2A94" w:rsidRDefault="00963CB0" w:rsidP="001B2DD1">
      <w:pPr>
        <w:pStyle w:val="ListParagraph"/>
        <w:numPr>
          <w:ilvl w:val="0"/>
          <w:numId w:val="23"/>
        </w:numPr>
      </w:pPr>
      <w:r w:rsidRPr="007B2A94">
        <w:t xml:space="preserve">Στην Περιφέρεια Δ. Μακεδονίας, τα υψηλότερα αντίστοιχα ποσοστά παρουσιάζουν οι </w:t>
      </w:r>
      <w:r w:rsidR="00543DA9">
        <w:t>τ</w:t>
      </w:r>
      <w:r w:rsidR="00543DA9" w:rsidRPr="007B2A94">
        <w:t xml:space="preserve">ομείς </w:t>
      </w:r>
      <w:r w:rsidRPr="007B2A94">
        <w:t>Αγροδιατροφή και Βιομηχανία τροφίμων (</w:t>
      </w:r>
      <w:r w:rsidR="0044610A" w:rsidRPr="007B2A94">
        <w:t>38,1</w:t>
      </w:r>
      <w:r w:rsidRPr="007B2A94">
        <w:t>%)</w:t>
      </w:r>
      <w:r w:rsidR="0044610A" w:rsidRPr="007B2A94">
        <w:t xml:space="preserve">, Ενέργεια (25,7%) </w:t>
      </w:r>
      <w:r w:rsidRPr="007B2A94">
        <w:t xml:space="preserve"> και Περιβάλλον και Βιώσιμη Ανάπτυξη (</w:t>
      </w:r>
      <w:r w:rsidR="0044610A" w:rsidRPr="007B2A94">
        <w:t>15,6</w:t>
      </w:r>
      <w:r w:rsidRPr="007B2A94">
        <w:t>%).</w:t>
      </w:r>
    </w:p>
    <w:p w:rsidR="00963CB0" w:rsidRPr="007B2A94" w:rsidRDefault="00963CB0" w:rsidP="001B2DD1">
      <w:pPr>
        <w:pStyle w:val="ListParagraph"/>
        <w:numPr>
          <w:ilvl w:val="0"/>
          <w:numId w:val="23"/>
        </w:numPr>
      </w:pPr>
      <w:r w:rsidRPr="007B2A94">
        <w:t xml:space="preserve">Στην Περιφέρεια Ηπείρου, τα υψηλότερα αντίστοιχα ποσοστά παρουσιάζουν οι </w:t>
      </w:r>
      <w:r w:rsidR="00543DA9">
        <w:t>τ</w:t>
      </w:r>
      <w:r w:rsidR="00543DA9" w:rsidRPr="007B2A94">
        <w:t xml:space="preserve">ομείς </w:t>
      </w:r>
      <w:r w:rsidR="0044610A" w:rsidRPr="007B2A94">
        <w:t xml:space="preserve">Αγροδιατροφή και Βιομηχανία τροφίμων (28,1%), </w:t>
      </w:r>
      <w:r w:rsidRPr="007B2A94">
        <w:t xml:space="preserve">Υγεία και Φάρμακα </w:t>
      </w:r>
      <w:r w:rsidR="0044610A" w:rsidRPr="007B2A94">
        <w:t>(19,8</w:t>
      </w:r>
      <w:r w:rsidRPr="007B2A94">
        <w:t xml:space="preserve">%), και Τεχνολογίες </w:t>
      </w:r>
      <w:r w:rsidR="0044610A" w:rsidRPr="007B2A94">
        <w:t>Πληροφορικής-Τηλεπικοινωνιών (16,4</w:t>
      </w:r>
      <w:r w:rsidRPr="007B2A94">
        <w:t>%).</w:t>
      </w:r>
    </w:p>
    <w:p w:rsidR="00963CB0" w:rsidRPr="007B2A94" w:rsidRDefault="00963CB0" w:rsidP="001B2DD1">
      <w:pPr>
        <w:pStyle w:val="ListParagraph"/>
        <w:numPr>
          <w:ilvl w:val="0"/>
          <w:numId w:val="23"/>
        </w:numPr>
      </w:pPr>
      <w:r w:rsidRPr="007B2A94">
        <w:t xml:space="preserve">Στην Περιφέρεια Θεσσαλίας, τα υψηλότερα αντίστοιχα ποσοστά παρουσιάζουν οι </w:t>
      </w:r>
      <w:r w:rsidR="00543DA9">
        <w:t>τ</w:t>
      </w:r>
      <w:r w:rsidR="00543DA9" w:rsidRPr="007B2A94">
        <w:t xml:space="preserve">ομείς </w:t>
      </w:r>
      <w:r w:rsidRPr="007B2A94">
        <w:t xml:space="preserve">Αγροδιατροφή και Βιομηχανία τροφίμων </w:t>
      </w:r>
      <w:r w:rsidR="0044610A" w:rsidRPr="007B2A94">
        <w:t>(37,3</w:t>
      </w:r>
      <w:r w:rsidRPr="007B2A94">
        <w:t>%), Υγεία και Φάρμακα</w:t>
      </w:r>
      <w:r w:rsidR="0044610A" w:rsidRPr="007B2A94">
        <w:t xml:space="preserve"> (22,4</w:t>
      </w:r>
      <w:r w:rsidRPr="007B2A94">
        <w:t xml:space="preserve">%) και </w:t>
      </w:r>
      <w:r w:rsidR="0044610A" w:rsidRPr="007B2A94">
        <w:t>Τουρισμός Πολιτισμός και Δημιουργικές Βιομηχανίες (11,4</w:t>
      </w:r>
      <w:r w:rsidRPr="007B2A94">
        <w:t>%).</w:t>
      </w:r>
    </w:p>
    <w:p w:rsidR="00963CB0" w:rsidRPr="007B2A94" w:rsidRDefault="00963CB0" w:rsidP="001B2DD1">
      <w:pPr>
        <w:pStyle w:val="ListParagraph"/>
        <w:numPr>
          <w:ilvl w:val="0"/>
          <w:numId w:val="23"/>
        </w:numPr>
      </w:pPr>
      <w:r w:rsidRPr="007B2A94">
        <w:t xml:space="preserve">Στην Περιφέρεια Ιονίων Νήσων, τα υψηλότερα αντίστοιχα ποσοστά παρουσιάζουν οι </w:t>
      </w:r>
      <w:r w:rsidR="00543DA9">
        <w:t>τ</w:t>
      </w:r>
      <w:r w:rsidR="00543DA9" w:rsidRPr="007B2A94">
        <w:t xml:space="preserve">ομείς </w:t>
      </w:r>
      <w:r w:rsidRPr="007B2A94">
        <w:t>Τουρισμός Πολιτισμός και Δημιουργικές Βιομηχανίες (</w:t>
      </w:r>
      <w:r w:rsidR="0044610A" w:rsidRPr="007B2A94">
        <w:t>51,7</w:t>
      </w:r>
      <w:r w:rsidRPr="007B2A94">
        <w:t xml:space="preserve">%) και </w:t>
      </w:r>
      <w:r w:rsidR="0044610A" w:rsidRPr="007B2A94">
        <w:t xml:space="preserve">Υλικά – Κατασκευές </w:t>
      </w:r>
      <w:r w:rsidRPr="007B2A94">
        <w:t>(</w:t>
      </w:r>
      <w:r w:rsidR="0044610A" w:rsidRPr="007B2A94">
        <w:t>22,4</w:t>
      </w:r>
      <w:r w:rsidRPr="007B2A94">
        <w:t>%).</w:t>
      </w:r>
    </w:p>
    <w:p w:rsidR="00963CB0" w:rsidRPr="007B2A94" w:rsidRDefault="00963CB0" w:rsidP="001B2DD1">
      <w:pPr>
        <w:pStyle w:val="ListParagraph"/>
        <w:numPr>
          <w:ilvl w:val="0"/>
          <w:numId w:val="23"/>
        </w:numPr>
      </w:pPr>
      <w:r w:rsidRPr="007B2A94">
        <w:t xml:space="preserve">Στην Περιφέρεια Κ. Μακεδονίας, τα υψηλότερα αντίστοιχα ποσοστά παρουσιάζουν οι </w:t>
      </w:r>
      <w:r w:rsidR="00543DA9">
        <w:t>τ</w:t>
      </w:r>
      <w:r w:rsidR="00543DA9" w:rsidRPr="007B2A94">
        <w:t xml:space="preserve">ομείς </w:t>
      </w:r>
      <w:r w:rsidRPr="007B2A94">
        <w:t xml:space="preserve">Αγροδιατροφή και Βιομηχανία τροφίμων </w:t>
      </w:r>
      <w:r w:rsidR="0044610A" w:rsidRPr="007B2A94">
        <w:t>(18,2</w:t>
      </w:r>
      <w:r w:rsidRPr="007B2A94">
        <w:t xml:space="preserve">%), Υγεία και Φάρμακα </w:t>
      </w:r>
      <w:r w:rsidR="0044610A" w:rsidRPr="007B2A94">
        <w:t>(16,8</w:t>
      </w:r>
      <w:r w:rsidRPr="007B2A94">
        <w:t xml:space="preserve">%) και Τεχνολογίες </w:t>
      </w:r>
      <w:r w:rsidR="0044610A" w:rsidRPr="007B2A94">
        <w:t>Πληροφορικής-Τηλεπικοινωνιών (15,1</w:t>
      </w:r>
      <w:r w:rsidRPr="007B2A94">
        <w:t>%).</w:t>
      </w:r>
    </w:p>
    <w:p w:rsidR="00963CB0" w:rsidRPr="007B2A94" w:rsidRDefault="00963CB0" w:rsidP="001B2DD1">
      <w:pPr>
        <w:pStyle w:val="ListParagraph"/>
        <w:numPr>
          <w:ilvl w:val="0"/>
          <w:numId w:val="23"/>
        </w:numPr>
      </w:pPr>
      <w:r w:rsidRPr="007B2A94">
        <w:t xml:space="preserve">Στην Περιφέρεια Κρήτης, τα υψηλότερα αντίστοιχα ποσοστά παρουσιάζουν οι </w:t>
      </w:r>
      <w:r w:rsidR="00543DA9">
        <w:t>τ</w:t>
      </w:r>
      <w:r w:rsidR="00543DA9" w:rsidRPr="007B2A94">
        <w:t xml:space="preserve">ομείς </w:t>
      </w:r>
      <w:r w:rsidR="0044610A" w:rsidRPr="007B2A94">
        <w:t xml:space="preserve">Υγεία και Φάρμακα (25,4%): Τουρισμός Πολιτισμός και Δημιουργικές Βιομηχανίες </w:t>
      </w:r>
      <w:r w:rsidR="00331CFC" w:rsidRPr="007B2A94">
        <w:t>(15,1</w:t>
      </w:r>
      <w:r w:rsidRPr="007B2A94">
        <w:t>%), και Τεχνολογίες Πληροφορικής-Τηλεπικοινωνιών (1</w:t>
      </w:r>
      <w:r w:rsidR="00331CFC" w:rsidRPr="007B2A94">
        <w:t>5,1</w:t>
      </w:r>
      <w:r w:rsidRPr="007B2A94">
        <w:t>%).</w:t>
      </w:r>
    </w:p>
    <w:p w:rsidR="00963CB0" w:rsidRPr="007B2A94" w:rsidRDefault="00963CB0" w:rsidP="001B2DD1">
      <w:pPr>
        <w:pStyle w:val="ListParagraph"/>
        <w:numPr>
          <w:ilvl w:val="0"/>
          <w:numId w:val="23"/>
        </w:numPr>
      </w:pPr>
      <w:r w:rsidRPr="007B2A94">
        <w:t xml:space="preserve">Στην Περιφέρεια Ν. Αιγαίου, τα υψηλότερα αντίστοιχα ποσοστά παρουσιάζουν οι </w:t>
      </w:r>
      <w:r w:rsidR="00543DA9">
        <w:t>τ</w:t>
      </w:r>
      <w:r w:rsidR="00543DA9" w:rsidRPr="007B2A94">
        <w:t xml:space="preserve">ομείς </w:t>
      </w:r>
      <w:r w:rsidRPr="007B2A94">
        <w:t>Τουρισμός Πολιτισμός και Δημιουργικές Βιομηχανίες (</w:t>
      </w:r>
      <w:r w:rsidR="008D0BBB" w:rsidRPr="007B2A94">
        <w:t>65,1%) και</w:t>
      </w:r>
      <w:r w:rsidRPr="007B2A94">
        <w:t xml:space="preserve"> Περιβάλλον και Βιώσιμη Ανάπτυξη</w:t>
      </w:r>
      <w:r w:rsidR="008D0BBB" w:rsidRPr="007B2A94">
        <w:t xml:space="preserve"> (24,1%)</w:t>
      </w:r>
      <w:r w:rsidRPr="007B2A94">
        <w:t>.</w:t>
      </w:r>
    </w:p>
    <w:p w:rsidR="00963CB0" w:rsidRPr="007B2A94" w:rsidRDefault="00963CB0" w:rsidP="001B2DD1">
      <w:pPr>
        <w:pStyle w:val="ListParagraph"/>
        <w:numPr>
          <w:ilvl w:val="0"/>
          <w:numId w:val="23"/>
        </w:numPr>
      </w:pPr>
      <w:r w:rsidRPr="007B2A94">
        <w:t xml:space="preserve">Στην Περιφέρεια Πελοποννήσου, τα υψηλότερα αντίστοιχα ποσοστά παρουσιάζουν οι </w:t>
      </w:r>
      <w:r w:rsidR="00543DA9">
        <w:t>τ</w:t>
      </w:r>
      <w:r w:rsidR="00543DA9" w:rsidRPr="007B2A94">
        <w:t xml:space="preserve">ομείς </w:t>
      </w:r>
      <w:r w:rsidR="008D0BBB" w:rsidRPr="007B2A94">
        <w:t>Τεχνολογίες Πληροφορικής-Τηλεπικοινωνιών (26,1%), Τουρισμός Πολιτισμός και Δημιουργικές Βιομηχανίες (25%) και Αγροδιατροφή -</w:t>
      </w:r>
      <w:r w:rsidRPr="007B2A94">
        <w:t xml:space="preserve"> Βιομηχανία τροφίμων (</w:t>
      </w:r>
      <w:r w:rsidR="008D0BBB" w:rsidRPr="007B2A94">
        <w:t>19,9</w:t>
      </w:r>
      <w:r w:rsidRPr="007B2A94">
        <w:t xml:space="preserve">%), και </w:t>
      </w:r>
    </w:p>
    <w:p w:rsidR="00FA4730" w:rsidRPr="007B2A94" w:rsidRDefault="00963CB0" w:rsidP="001B2DD1">
      <w:pPr>
        <w:pStyle w:val="ListParagraph"/>
        <w:numPr>
          <w:ilvl w:val="0"/>
          <w:numId w:val="23"/>
        </w:numPr>
      </w:pPr>
      <w:r w:rsidRPr="007B2A94">
        <w:t xml:space="preserve">Στην Περιφέρεια Σ. Ελλάδας, τα υψηλότερα αντίστοιχα ποσοστά παρουσιάζουν οι </w:t>
      </w:r>
      <w:r w:rsidR="00543DA9">
        <w:t>τ</w:t>
      </w:r>
      <w:r w:rsidR="00543DA9" w:rsidRPr="007B2A94">
        <w:t xml:space="preserve">ομείς </w:t>
      </w:r>
      <w:r w:rsidRPr="007B2A94">
        <w:t xml:space="preserve">Αγροδιατροφή και Βιομηχανία τροφίμων </w:t>
      </w:r>
      <w:r w:rsidR="008D0BBB" w:rsidRPr="007B2A94">
        <w:t>(26,7%), Υγεία και Φάρμακα (19</w:t>
      </w:r>
      <w:r w:rsidRPr="007B2A94">
        <w:t xml:space="preserve">%) και </w:t>
      </w:r>
      <w:r w:rsidR="008D0BBB" w:rsidRPr="007B2A94">
        <w:t xml:space="preserve">Μεταφορές και Εφοδιαστική Αλυσίδα </w:t>
      </w:r>
      <w:r w:rsidRPr="007B2A94">
        <w:t>(</w:t>
      </w:r>
      <w:r w:rsidR="008D0BBB" w:rsidRPr="007B2A94">
        <w:t>14,7</w:t>
      </w:r>
      <w:r w:rsidRPr="007B2A94">
        <w:t>%).</w:t>
      </w:r>
    </w:p>
    <w:p w:rsidR="006B07AB" w:rsidRPr="007B2A94" w:rsidRDefault="006B07AB" w:rsidP="006B07AB">
      <w:pPr>
        <w:spacing w:after="120"/>
        <w:ind w:left="357"/>
        <w:rPr>
          <w:u w:val="single"/>
        </w:rPr>
      </w:pPr>
      <w:r w:rsidRPr="007B2A94">
        <w:rPr>
          <w:u w:val="single"/>
        </w:rPr>
        <w:t xml:space="preserve">Σε επίπεδο Τομέα Προτεραιότητας </w:t>
      </w:r>
      <w:r w:rsidRPr="007B2A94">
        <w:rPr>
          <w:u w:val="single"/>
          <w:lang w:val="en-US"/>
        </w:rPr>
        <w:t>RIS</w:t>
      </w:r>
      <w:r w:rsidRPr="007B2A94">
        <w:rPr>
          <w:u w:val="single"/>
        </w:rPr>
        <w:t>3, οι Περιφέρειες με τη μεγαλύτερη εγκεκριμένη δημόσια δαπάνη ήταν οι εξής:</w:t>
      </w:r>
    </w:p>
    <w:p w:rsidR="006B07AB" w:rsidRPr="007B2A94" w:rsidRDefault="006B07AB" w:rsidP="001B2DD1">
      <w:pPr>
        <w:pStyle w:val="ListParagraph"/>
        <w:numPr>
          <w:ilvl w:val="0"/>
          <w:numId w:val="23"/>
        </w:numPr>
      </w:pPr>
      <w:r w:rsidRPr="007B2A94">
        <w:t xml:space="preserve">Το μεγαλύτερο ποσοστό του προϋπολογισμού εγκεκριμένης δημόσιας δαπάνης στον </w:t>
      </w:r>
      <w:r w:rsidR="00543DA9">
        <w:t>τ</w:t>
      </w:r>
      <w:r w:rsidRPr="007B2A94">
        <w:t>ομέα Υλικά – Κατασκευές, συγκεντρώνεται στην Αττική (34,4%) και στην Κ. Μακεδονία (23,5%).</w:t>
      </w:r>
    </w:p>
    <w:p w:rsidR="006B07AB" w:rsidRPr="007B2A94" w:rsidRDefault="006B07AB" w:rsidP="001B2DD1">
      <w:pPr>
        <w:pStyle w:val="ListParagraph"/>
        <w:numPr>
          <w:ilvl w:val="0"/>
          <w:numId w:val="23"/>
        </w:numPr>
      </w:pPr>
      <w:r w:rsidRPr="007B2A94">
        <w:t xml:space="preserve">Αντίστοιχα, για τον </w:t>
      </w:r>
      <w:r w:rsidR="00543DA9">
        <w:t>τ</w:t>
      </w:r>
      <w:r w:rsidR="00543DA9" w:rsidRPr="007B2A94">
        <w:t xml:space="preserve">ομέα </w:t>
      </w:r>
      <w:r w:rsidRPr="007B2A94">
        <w:t>Τουρισμός Πολιτισμός και Δημιουργικές Βιομηχανίες, το υψηλότερο ποσοστό εγκεκριμένης δημόσιας δαπάνης συγκεντρώνουν οι Περιφέρειες Αττικής και Κ. Μακεδονίας (35,5% και 23,2% αντίστοιχα).</w:t>
      </w:r>
    </w:p>
    <w:p w:rsidR="006B07AB" w:rsidRPr="007B2A94" w:rsidRDefault="006B07AB" w:rsidP="001B2DD1">
      <w:pPr>
        <w:pStyle w:val="ListParagraph"/>
        <w:numPr>
          <w:ilvl w:val="0"/>
          <w:numId w:val="23"/>
        </w:numPr>
      </w:pPr>
      <w:r w:rsidRPr="007B2A94">
        <w:t xml:space="preserve">Για τον </w:t>
      </w:r>
      <w:r w:rsidR="00543DA9">
        <w:t>τ</w:t>
      </w:r>
      <w:r w:rsidR="00543DA9" w:rsidRPr="007B2A94">
        <w:t xml:space="preserve">ομέα </w:t>
      </w:r>
      <w:r w:rsidRPr="007B2A94">
        <w:t xml:space="preserve">Αγροδιατροφή και Βιομηχανία τροφίμων, τα αντίστοιχα ποσοστά είναι </w:t>
      </w:r>
      <w:r w:rsidR="009F7691" w:rsidRPr="007B2A94">
        <w:t>28,8</w:t>
      </w:r>
      <w:r w:rsidRPr="007B2A94">
        <w:t>% για την Αττικ</w:t>
      </w:r>
      <w:r w:rsidR="009F7691" w:rsidRPr="007B2A94">
        <w:t>ή και 26,9</w:t>
      </w:r>
      <w:r w:rsidRPr="007B2A94">
        <w:t>% για την Κ. Μακεδονία.</w:t>
      </w:r>
    </w:p>
    <w:p w:rsidR="006B07AB" w:rsidRPr="007B2A94" w:rsidRDefault="006B07AB" w:rsidP="001B2DD1">
      <w:pPr>
        <w:pStyle w:val="ListParagraph"/>
        <w:numPr>
          <w:ilvl w:val="0"/>
          <w:numId w:val="23"/>
        </w:numPr>
      </w:pPr>
      <w:r w:rsidRPr="007B2A94">
        <w:t xml:space="preserve">Για τον </w:t>
      </w:r>
      <w:r w:rsidR="00543DA9">
        <w:t>τ</w:t>
      </w:r>
      <w:r w:rsidR="00543DA9" w:rsidRPr="007B2A94">
        <w:t xml:space="preserve">ομέα </w:t>
      </w:r>
      <w:r w:rsidRPr="007B2A94">
        <w:t xml:space="preserve">Περιβάλλον και Βιώσιμη ανάπτυξη, η υψηλότερη συγκέντρωση </w:t>
      </w:r>
      <w:r w:rsidR="009F7691" w:rsidRPr="007B2A94">
        <w:t>εγκεκριμένης</w:t>
      </w:r>
      <w:r w:rsidRPr="007B2A94">
        <w:t xml:space="preserve"> δημόσιας δαπάν</w:t>
      </w:r>
      <w:r w:rsidR="00C51442" w:rsidRPr="007B2A94">
        <w:t>ης παρουσιάστηκε στην Αττική (35,3</w:t>
      </w:r>
      <w:r w:rsidRPr="007B2A94">
        <w:t>%) και Κ. Μακεδονία (</w:t>
      </w:r>
      <w:r w:rsidR="00C51442" w:rsidRPr="007B2A94">
        <w:t>31,2</w:t>
      </w:r>
      <w:r w:rsidRPr="007B2A94">
        <w:t>%).</w:t>
      </w:r>
    </w:p>
    <w:p w:rsidR="006B07AB" w:rsidRPr="007B2A94" w:rsidRDefault="006B07AB" w:rsidP="001B2DD1">
      <w:pPr>
        <w:pStyle w:val="ListParagraph"/>
        <w:numPr>
          <w:ilvl w:val="0"/>
          <w:numId w:val="23"/>
        </w:numPr>
      </w:pPr>
      <w:r w:rsidRPr="007B2A94">
        <w:lastRenderedPageBreak/>
        <w:t xml:space="preserve">Για τον </w:t>
      </w:r>
      <w:r w:rsidR="00543DA9">
        <w:t>τ</w:t>
      </w:r>
      <w:r w:rsidR="00543DA9" w:rsidRPr="007B2A94">
        <w:t xml:space="preserve">ομέα </w:t>
      </w:r>
      <w:r w:rsidRPr="007B2A94">
        <w:t xml:space="preserve">Υγεία και Φάρμακα, η υψηλότερη συγκέντρωση </w:t>
      </w:r>
      <w:r w:rsidR="009F7691" w:rsidRPr="007B2A94">
        <w:t>εγκεκριμένης</w:t>
      </w:r>
      <w:r w:rsidRPr="007B2A94">
        <w:t xml:space="preserve"> δημόσιας δαπάνης παρουσιάστηκε στην Αττική (49 %) και Κ. Μακεδονία (17,1%).</w:t>
      </w:r>
    </w:p>
    <w:p w:rsidR="006B07AB" w:rsidRPr="007B2A94" w:rsidRDefault="006B07AB" w:rsidP="001B2DD1">
      <w:pPr>
        <w:pStyle w:val="ListParagraph"/>
        <w:numPr>
          <w:ilvl w:val="0"/>
          <w:numId w:val="23"/>
        </w:numPr>
      </w:pPr>
      <w:r w:rsidRPr="007B2A94">
        <w:t xml:space="preserve">Για τον </w:t>
      </w:r>
      <w:r w:rsidR="00543DA9">
        <w:t>τ</w:t>
      </w:r>
      <w:r w:rsidR="00543DA9" w:rsidRPr="007B2A94">
        <w:t xml:space="preserve">ομέα </w:t>
      </w:r>
      <w:r w:rsidRPr="007B2A94">
        <w:t xml:space="preserve">Μεταφορές και Εφοδιαστική Αλυσίδα, η υψηλότερη συγκέντρωση </w:t>
      </w:r>
      <w:r w:rsidR="00C51442" w:rsidRPr="007B2A94">
        <w:t>εγκεκριμένης</w:t>
      </w:r>
      <w:r w:rsidRPr="007B2A94">
        <w:t xml:space="preserve"> δημόσιας δαπάνης παρουσιάστηκε στην Αττική (</w:t>
      </w:r>
      <w:r w:rsidR="00C51442" w:rsidRPr="007B2A94">
        <w:t>45,2</w:t>
      </w:r>
      <w:r w:rsidRPr="007B2A94">
        <w:t xml:space="preserve"> %) και Κ. Μακεδονία (</w:t>
      </w:r>
      <w:r w:rsidR="00C51442" w:rsidRPr="007B2A94">
        <w:t>21,2</w:t>
      </w:r>
      <w:r w:rsidRPr="007B2A94">
        <w:t>%).</w:t>
      </w:r>
    </w:p>
    <w:p w:rsidR="006B07AB" w:rsidRPr="007B2A94" w:rsidRDefault="006B07AB" w:rsidP="001B2DD1">
      <w:pPr>
        <w:pStyle w:val="ListParagraph"/>
        <w:numPr>
          <w:ilvl w:val="0"/>
          <w:numId w:val="23"/>
        </w:numPr>
      </w:pPr>
      <w:r w:rsidRPr="007B2A94">
        <w:t xml:space="preserve">Για τον </w:t>
      </w:r>
      <w:r w:rsidR="00543DA9">
        <w:t>τ</w:t>
      </w:r>
      <w:r w:rsidR="00543DA9" w:rsidRPr="007B2A94">
        <w:t xml:space="preserve">ομέα </w:t>
      </w:r>
      <w:r w:rsidRPr="007B2A94">
        <w:t xml:space="preserve">Ενέργεια, η υψηλότερη συγκέντρωση </w:t>
      </w:r>
      <w:r w:rsidR="00C51442" w:rsidRPr="007B2A94">
        <w:t>εγκεκριμένης</w:t>
      </w:r>
      <w:r w:rsidRPr="007B2A94">
        <w:t xml:space="preserve"> δημόσιας δαπάνης παρουσιάστηκε στην Αττική (</w:t>
      </w:r>
      <w:r w:rsidR="00C51442" w:rsidRPr="007B2A94">
        <w:t>24,6</w:t>
      </w:r>
      <w:r w:rsidRPr="007B2A94">
        <w:t xml:space="preserve"> %) και Κ. Μακεδονία (</w:t>
      </w:r>
      <w:r w:rsidR="00C51442" w:rsidRPr="007B2A94">
        <w:t>40,7</w:t>
      </w:r>
      <w:r w:rsidRPr="007B2A94">
        <w:t>%).</w:t>
      </w:r>
    </w:p>
    <w:p w:rsidR="006B07AB" w:rsidRPr="007B2A94" w:rsidRDefault="006B07AB" w:rsidP="001B2DD1">
      <w:pPr>
        <w:pStyle w:val="ListParagraph"/>
        <w:numPr>
          <w:ilvl w:val="0"/>
          <w:numId w:val="23"/>
        </w:numPr>
      </w:pPr>
      <w:r w:rsidRPr="007B2A94">
        <w:t xml:space="preserve">Τέλος για τον </w:t>
      </w:r>
      <w:r w:rsidR="00543DA9">
        <w:t>τ</w:t>
      </w:r>
      <w:r w:rsidR="00543DA9" w:rsidRPr="007B2A94">
        <w:t xml:space="preserve">ομέα </w:t>
      </w:r>
      <w:r w:rsidRPr="007B2A94">
        <w:t xml:space="preserve">ΤΠΕ, η υψηλότερη συγκέντρωση </w:t>
      </w:r>
      <w:r w:rsidR="00C51442" w:rsidRPr="007B2A94">
        <w:t>εγκεκριμένης</w:t>
      </w:r>
      <w:r w:rsidRPr="007B2A94">
        <w:t xml:space="preserve"> δημόσιας δαπάνης παρουσιάστηκε στην Αττική (</w:t>
      </w:r>
      <w:r w:rsidR="00C51442" w:rsidRPr="007B2A94">
        <w:t>37,2</w:t>
      </w:r>
      <w:r w:rsidRPr="007B2A94">
        <w:t>%) και Κ. Μακεδονία (</w:t>
      </w:r>
      <w:r w:rsidR="00C51442" w:rsidRPr="007B2A94">
        <w:t>23</w:t>
      </w:r>
      <w:r w:rsidRPr="007B2A94">
        <w:t>%).</w:t>
      </w:r>
    </w:p>
    <w:p w:rsidR="00342978" w:rsidRPr="007B2A94" w:rsidRDefault="00342978" w:rsidP="00342978">
      <w:pPr>
        <w:spacing w:before="240" w:after="240"/>
        <w:rPr>
          <w:b/>
          <w:u w:val="single"/>
        </w:rPr>
      </w:pPr>
      <w:r w:rsidRPr="007B2A94">
        <w:rPr>
          <w:b/>
          <w:u w:val="single"/>
        </w:rPr>
        <w:t xml:space="preserve">Ως προς </w:t>
      </w:r>
      <w:r w:rsidR="004E7006" w:rsidRPr="007B2A94">
        <w:rPr>
          <w:b/>
          <w:u w:val="single"/>
        </w:rPr>
        <w:t>τη σύγκριση ζήτησης - έγκρισης</w:t>
      </w:r>
      <w:r w:rsidRPr="007B2A94">
        <w:rPr>
          <w:b/>
          <w:u w:val="single"/>
        </w:rPr>
        <w:t>.</w:t>
      </w:r>
    </w:p>
    <w:p w:rsidR="006B07AB" w:rsidRPr="007B2A94" w:rsidRDefault="004E7006" w:rsidP="00342978">
      <w:r w:rsidRPr="007B2A94">
        <w:t>Για τη σχέση μεταξύ αιτούμενου και εγκεκριμένου προϋπολογισμού δημόσιας δαπάνης, μπορούν να διατυπωθούν τα εξής συμπεράσματα.</w:t>
      </w:r>
    </w:p>
    <w:p w:rsidR="004E7006" w:rsidRPr="007B2A94" w:rsidRDefault="004E7006" w:rsidP="001B2DD1">
      <w:pPr>
        <w:pStyle w:val="ListParagraph"/>
        <w:numPr>
          <w:ilvl w:val="0"/>
          <w:numId w:val="23"/>
        </w:numPr>
      </w:pPr>
      <w:r w:rsidRPr="007B2A94">
        <w:t>Οι τρεις (3) Περιφέρειες όπου το ποσοστό εγκρίσεων έναντι του προϋπολογισμού υποβολής είναι το χαμηλότερο, είναι αυτές του Β. Αιγαίου (11,7%), Ν. Αιγαίου (18,1%</w:t>
      </w:r>
      <w:r w:rsidR="00625E8D">
        <w:t>)</w:t>
      </w:r>
      <w:r w:rsidRPr="007B2A94">
        <w:t xml:space="preserve"> και Δ. Μακεδονίας (19,3%). Οι Περιφέρειες αυτές παρουσίασαν τη μεγαλύτερη απόκλιση ανάμεσα στον αιτούμενο και εγκεκριμένο προϋπολογισμό. Αντίθετα, οι Περιφέρειες Κρήτης (37,5%) Πελοποννήσου (35,3%) και Κ. Μακεδονίας (</w:t>
      </w:r>
      <w:r w:rsidR="00D217B1" w:rsidRPr="007B2A94">
        <w:t>32,1%) παρουσίασαν την μικρότερη αντίστοιχη απόκλιση.</w:t>
      </w:r>
    </w:p>
    <w:p w:rsidR="00FA4730" w:rsidRPr="007B2A94" w:rsidRDefault="00D217B1" w:rsidP="001B2DD1">
      <w:pPr>
        <w:pStyle w:val="ListParagraph"/>
        <w:numPr>
          <w:ilvl w:val="0"/>
          <w:numId w:val="23"/>
        </w:numPr>
      </w:pPr>
      <w:r w:rsidRPr="007B2A94">
        <w:t xml:space="preserve">Δεν παρατηρούνται ισχυρές διαφοροποιήσεις των ποσοστών εγκρίσεων έναντι το προϋπολογισμού υποβολής για τους οχτώ (8) </w:t>
      </w:r>
      <w:r w:rsidR="00543DA9">
        <w:t>τ</w:t>
      </w:r>
      <w:r w:rsidRPr="007B2A94">
        <w:t xml:space="preserve">ομείς </w:t>
      </w:r>
      <w:r w:rsidR="00543DA9">
        <w:t>π</w:t>
      </w:r>
      <w:r w:rsidRPr="007B2A94">
        <w:t xml:space="preserve">ροτεραιότητας </w:t>
      </w:r>
      <w:r w:rsidRPr="007B2A94">
        <w:rPr>
          <w:lang w:val="en-US"/>
        </w:rPr>
        <w:t>RIS</w:t>
      </w:r>
      <w:r w:rsidRPr="007B2A94">
        <w:t xml:space="preserve">3 (24-31%), πλην του </w:t>
      </w:r>
      <w:r w:rsidR="00543DA9">
        <w:t>τ</w:t>
      </w:r>
      <w:r w:rsidRPr="007B2A94">
        <w:t>ομέα Μεταφορές-Εφοδιαστική Αλυσίδα όπου το συγκεκριμένο ποσοστό ανήλθε στα 38%.</w:t>
      </w:r>
    </w:p>
    <w:p w:rsidR="00EB4327" w:rsidRPr="00D5687C" w:rsidRDefault="00D217B1" w:rsidP="00EB4327">
      <w:pPr>
        <w:rPr>
          <w:color w:val="FFFFFF" w:themeColor="background1"/>
          <w:szCs w:val="18"/>
        </w:rPr>
        <w:sectPr w:rsidR="00EB4327" w:rsidRPr="00D5687C" w:rsidSect="005476F0">
          <w:headerReference w:type="default" r:id="rId26"/>
          <w:footerReference w:type="default" r:id="rId27"/>
          <w:pgSz w:w="12240" w:h="15840"/>
          <w:pgMar w:top="1440" w:right="1247" w:bottom="1440" w:left="1247" w:header="720" w:footer="720" w:gutter="0"/>
          <w:cols w:space="720"/>
          <w:docGrid w:linePitch="360"/>
        </w:sectPr>
      </w:pPr>
      <w:r w:rsidRPr="007B2A94">
        <w:t>Τα παραπάνω τεκμηριώνονται στους πίνακες και διαγράμματα που ακολουθούν και αφορούν στην κατανομή δημόσιας δαπάνης σε επίπεδο αιτήσεων χρηματοδότησης (υποβολές) και εγκρίσεων.</w:t>
      </w:r>
      <w:r w:rsidR="00EB4327" w:rsidRPr="00D5687C">
        <w:rPr>
          <w:color w:val="FFFFFF" w:themeColor="background1"/>
          <w:szCs w:val="18"/>
        </w:rPr>
        <w:t xml:space="preserve">………………………. </w:t>
      </w:r>
    </w:p>
    <w:p w:rsidR="001A010E" w:rsidRDefault="001A010E" w:rsidP="00EB4327">
      <w:pPr>
        <w:pStyle w:val="Caption"/>
      </w:pPr>
    </w:p>
    <w:p w:rsidR="00EB4327" w:rsidRDefault="00EB4327" w:rsidP="00EB4327">
      <w:pPr>
        <w:pStyle w:val="Caption"/>
      </w:pPr>
      <w:r w:rsidRPr="00907772">
        <w:t xml:space="preserve">Πίνακας </w:t>
      </w:r>
      <w:r w:rsidRPr="00907772">
        <w:rPr>
          <w:noProof/>
        </w:rPr>
        <w:fldChar w:fldCharType="begin"/>
      </w:r>
      <w:r w:rsidRPr="00907772">
        <w:rPr>
          <w:noProof/>
        </w:rPr>
        <w:instrText xml:space="preserve"> STYLEREF 1 \s </w:instrText>
      </w:r>
      <w:r w:rsidRPr="00907772">
        <w:rPr>
          <w:noProof/>
        </w:rPr>
        <w:fldChar w:fldCharType="separate"/>
      </w:r>
      <w:r w:rsidR="00332E24">
        <w:rPr>
          <w:noProof/>
        </w:rPr>
        <w:t>3</w:t>
      </w:r>
      <w:r w:rsidRPr="00907772">
        <w:rPr>
          <w:noProof/>
        </w:rPr>
        <w:fldChar w:fldCharType="end"/>
      </w:r>
      <w:r w:rsidRPr="00907772">
        <w:noBreakHyphen/>
      </w:r>
      <w:r w:rsidRPr="00907772">
        <w:rPr>
          <w:noProof/>
        </w:rPr>
        <w:fldChar w:fldCharType="begin"/>
      </w:r>
      <w:r w:rsidRPr="00907772">
        <w:rPr>
          <w:noProof/>
        </w:rPr>
        <w:instrText xml:space="preserve"> SEQ Πίνακας \* ARABIC \s 1 </w:instrText>
      </w:r>
      <w:r w:rsidRPr="00907772">
        <w:rPr>
          <w:noProof/>
        </w:rPr>
        <w:fldChar w:fldCharType="separate"/>
      </w:r>
      <w:r w:rsidR="00332E24">
        <w:rPr>
          <w:noProof/>
        </w:rPr>
        <w:t>8</w:t>
      </w:r>
      <w:r w:rsidRPr="00907772">
        <w:rPr>
          <w:noProof/>
        </w:rPr>
        <w:fldChar w:fldCharType="end"/>
      </w:r>
      <w:r w:rsidRPr="00907772">
        <w:rPr>
          <w:noProof/>
        </w:rPr>
        <w:t>:</w:t>
      </w:r>
      <w:r w:rsidRPr="00907772">
        <w:t xml:space="preserve"> Στοιχεία υποβολών </w:t>
      </w:r>
      <w:r w:rsidR="00907772" w:rsidRPr="00907772">
        <w:t xml:space="preserve">προτάσεων </w:t>
      </w:r>
      <w:r w:rsidRPr="00907772">
        <w:t xml:space="preserve">που υποβλήθηκαν στο πλαίσιο της Πρόσκλησης για το πρόγραμμα «ΕΡΕΥΝΩ-ΔΗΜΙΟΥΓΩ-ΚΑΙΝΟΤΟΜΩ» (Α΄ κύκλος) </w:t>
      </w:r>
    </w:p>
    <w:p w:rsidR="00EB4327" w:rsidRDefault="00E86243" w:rsidP="00EB4327">
      <w:pPr>
        <w:rPr>
          <w:szCs w:val="18"/>
        </w:rPr>
      </w:pPr>
      <w:r w:rsidRPr="00E86243">
        <w:rPr>
          <w:noProof/>
          <w:lang w:eastAsia="el-GR"/>
        </w:rPr>
        <w:drawing>
          <wp:inline distT="0" distB="0" distL="0" distR="0">
            <wp:extent cx="8228965" cy="400050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232962" cy="4002443"/>
                    </a:xfrm>
                    <a:prstGeom prst="rect">
                      <a:avLst/>
                    </a:prstGeom>
                    <a:noFill/>
                    <a:ln>
                      <a:noFill/>
                    </a:ln>
                  </pic:spPr>
                </pic:pic>
              </a:graphicData>
            </a:graphic>
          </wp:inline>
        </w:drawing>
      </w:r>
    </w:p>
    <w:p w:rsidR="00907772" w:rsidRPr="00D82A6F" w:rsidRDefault="00D82A6F" w:rsidP="00EB4327">
      <w:pPr>
        <w:rPr>
          <w:sz w:val="16"/>
          <w:szCs w:val="16"/>
        </w:rPr>
      </w:pPr>
      <w:r w:rsidRPr="00D82A6F">
        <w:rPr>
          <w:sz w:val="16"/>
          <w:szCs w:val="16"/>
        </w:rPr>
        <w:t>1-ΥΚΑ: Υλικά – Κατασκευές, 2-ΤΠΔ: Τουρισμός Πολιτισμός και Δημιουργικές Βιομηχανίες, 3-ΑΓΡ: Αγροδιατροφή και Βιομηχανία τροφίμων, 4-ΠΒΑ: Περιβάλλον και Βιώσιμη Ανάπτυξη, 5-ΥΦΑ: Υγεία και Φάρμακα, 6-ΜΕΑ: Μεταφορές και Εφοδιαστική Αλυσίδα, 7-ΕΝΕ: Ενέργεια, 8-ΤΠΕ: Τεχνολογίες Πληροφορικής και Επικοινωνιών</w:t>
      </w:r>
    </w:p>
    <w:p w:rsidR="00473EE4" w:rsidRDefault="00473EE4" w:rsidP="00EB4327">
      <w:pPr>
        <w:rPr>
          <w:szCs w:val="18"/>
        </w:rPr>
      </w:pPr>
    </w:p>
    <w:p w:rsidR="001A010E" w:rsidRDefault="001A010E" w:rsidP="00EB4327">
      <w:pPr>
        <w:rPr>
          <w:szCs w:val="18"/>
        </w:rPr>
      </w:pPr>
    </w:p>
    <w:p w:rsidR="001A010E" w:rsidRDefault="001A010E" w:rsidP="00907772">
      <w:pPr>
        <w:pStyle w:val="Caption"/>
      </w:pPr>
    </w:p>
    <w:p w:rsidR="001A010E" w:rsidRDefault="001A010E" w:rsidP="00907772">
      <w:pPr>
        <w:pStyle w:val="Caption"/>
      </w:pPr>
    </w:p>
    <w:p w:rsidR="001A010E" w:rsidRDefault="001A010E" w:rsidP="00907772">
      <w:pPr>
        <w:pStyle w:val="Caption"/>
      </w:pPr>
    </w:p>
    <w:p w:rsidR="001A010E" w:rsidRDefault="001A010E" w:rsidP="00907772">
      <w:pPr>
        <w:pStyle w:val="Caption"/>
      </w:pPr>
    </w:p>
    <w:p w:rsidR="001A010E" w:rsidRDefault="001A010E" w:rsidP="00907772">
      <w:pPr>
        <w:pStyle w:val="Caption"/>
      </w:pPr>
    </w:p>
    <w:p w:rsidR="00907772" w:rsidRDefault="00907772" w:rsidP="00907772">
      <w:pPr>
        <w:pStyle w:val="Caption"/>
      </w:pPr>
      <w:r w:rsidRPr="00907772">
        <w:t xml:space="preserve">Πίνακας </w:t>
      </w:r>
      <w:r w:rsidRPr="00907772">
        <w:rPr>
          <w:noProof/>
        </w:rPr>
        <w:fldChar w:fldCharType="begin"/>
      </w:r>
      <w:r w:rsidRPr="00907772">
        <w:rPr>
          <w:noProof/>
        </w:rPr>
        <w:instrText xml:space="preserve"> STYLEREF 1 \s </w:instrText>
      </w:r>
      <w:r w:rsidRPr="00907772">
        <w:rPr>
          <w:noProof/>
        </w:rPr>
        <w:fldChar w:fldCharType="separate"/>
      </w:r>
      <w:r w:rsidR="00332E24">
        <w:rPr>
          <w:noProof/>
        </w:rPr>
        <w:t>3</w:t>
      </w:r>
      <w:r w:rsidRPr="00907772">
        <w:rPr>
          <w:noProof/>
        </w:rPr>
        <w:fldChar w:fldCharType="end"/>
      </w:r>
      <w:r w:rsidRPr="00907772">
        <w:noBreakHyphen/>
      </w:r>
      <w:r w:rsidRPr="00907772">
        <w:rPr>
          <w:noProof/>
        </w:rPr>
        <w:t>9:</w:t>
      </w:r>
      <w:r w:rsidRPr="00907772">
        <w:t xml:space="preserve"> Στοιχεία εγκρίσεων προτάσεων που υποβλήθηκαν στο πλαίσιο της Πρόσκλησης για το </w:t>
      </w:r>
      <w:r w:rsidR="00A22727">
        <w:t>ΕΔΚ -Α΄ κύκλος</w:t>
      </w:r>
    </w:p>
    <w:p w:rsidR="00907772" w:rsidRDefault="00E86243" w:rsidP="00EB4327">
      <w:pPr>
        <w:rPr>
          <w:szCs w:val="18"/>
        </w:rPr>
      </w:pPr>
      <w:r w:rsidRPr="00E86243">
        <w:rPr>
          <w:noProof/>
          <w:lang w:eastAsia="el-GR"/>
        </w:rPr>
        <w:drawing>
          <wp:inline distT="0" distB="0" distL="0" distR="0">
            <wp:extent cx="8228857" cy="4371975"/>
            <wp:effectExtent l="0" t="0" r="127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34870" cy="4375170"/>
                    </a:xfrm>
                    <a:prstGeom prst="rect">
                      <a:avLst/>
                    </a:prstGeom>
                    <a:noFill/>
                    <a:ln>
                      <a:noFill/>
                    </a:ln>
                  </pic:spPr>
                </pic:pic>
              </a:graphicData>
            </a:graphic>
          </wp:inline>
        </w:drawing>
      </w:r>
    </w:p>
    <w:p w:rsidR="00D82A6F" w:rsidRPr="00D82A6F" w:rsidRDefault="00D82A6F" w:rsidP="00D82A6F">
      <w:pPr>
        <w:rPr>
          <w:sz w:val="16"/>
          <w:szCs w:val="16"/>
        </w:rPr>
      </w:pPr>
      <w:r w:rsidRPr="00D82A6F">
        <w:rPr>
          <w:sz w:val="16"/>
          <w:szCs w:val="16"/>
        </w:rPr>
        <w:t>1-ΥΚΑ: Υλικά – Κατασκευές, 2-ΤΠΔ: Τουρισμός Πολιτισμός και Δημιουργικές Βιομηχανίες, 3-ΑΓΡ: Αγροδιατροφή και Βιομηχανία τροφίμων, 4-ΠΒΑ: Περιβάλλον και Βιώσιμη Ανάπτυξη, 5-ΥΦΑ: Υγεία και Φάρμακα, 6-ΜΕΑ: Μεταφορές και Εφοδιαστική Αλυσίδα, 7-ΕΝΕ: Ενέργεια, 8-ΤΠΕ: Τεχνολογίες Πληροφορικής και Επικοινωνιών</w:t>
      </w:r>
    </w:p>
    <w:p w:rsidR="00E86243" w:rsidRDefault="00E86243" w:rsidP="00EB4327">
      <w:pPr>
        <w:rPr>
          <w:szCs w:val="18"/>
        </w:rPr>
        <w:sectPr w:rsidR="00E86243" w:rsidSect="003D021E">
          <w:headerReference w:type="default" r:id="rId30"/>
          <w:footerReference w:type="default" r:id="rId31"/>
          <w:pgSz w:w="15840" w:h="12240" w:orient="landscape"/>
          <w:pgMar w:top="1440" w:right="1440" w:bottom="1440" w:left="144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80"/>
        <w:gridCol w:w="6996"/>
      </w:tblGrid>
      <w:tr w:rsidR="007E44A1" w:rsidTr="00E86243">
        <w:tc>
          <w:tcPr>
            <w:tcW w:w="6180" w:type="dxa"/>
          </w:tcPr>
          <w:p w:rsidR="008C7977" w:rsidRDefault="008C7977" w:rsidP="00EB4327">
            <w:pPr>
              <w:rPr>
                <w:szCs w:val="18"/>
              </w:rPr>
            </w:pPr>
          </w:p>
          <w:p w:rsidR="008C7977" w:rsidRDefault="008C7977" w:rsidP="007E44A1">
            <w:pPr>
              <w:pStyle w:val="Caption"/>
            </w:pPr>
            <w:r>
              <w:t xml:space="preserve">Διάγραμμα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fldChar w:fldCharType="begin"/>
            </w:r>
            <w:r>
              <w:rPr>
                <w:noProof/>
              </w:rPr>
              <w:instrText xml:space="preserve"> SEQ Διάγραμμα_ \* ARABIC \s 1 </w:instrText>
            </w:r>
            <w:r>
              <w:rPr>
                <w:noProof/>
              </w:rPr>
              <w:fldChar w:fldCharType="separate"/>
            </w:r>
            <w:r w:rsidR="00332E24">
              <w:rPr>
                <w:noProof/>
              </w:rPr>
              <w:t>1</w:t>
            </w:r>
            <w:r>
              <w:rPr>
                <w:noProof/>
              </w:rPr>
              <w:fldChar w:fldCharType="end"/>
            </w:r>
            <w:r w:rsidRPr="00370C56">
              <w:t>:</w:t>
            </w:r>
            <w:r w:rsidRPr="00370C56">
              <w:tab/>
            </w:r>
            <w:r>
              <w:t xml:space="preserve">Κατανομή </w:t>
            </w:r>
            <w:r w:rsidR="007E44A1">
              <w:t xml:space="preserve">προϋπολογισμού δημόσιας δαπάνης υποβληθεισών προτάσεων </w:t>
            </w:r>
            <w:r>
              <w:t xml:space="preserve">ανά Τομέα Προτεραιότητας </w:t>
            </w:r>
            <w:r>
              <w:rPr>
                <w:lang w:val="en-US"/>
              </w:rPr>
              <w:t>RIS</w:t>
            </w:r>
            <w:r w:rsidRPr="008C7977">
              <w:t xml:space="preserve"> </w:t>
            </w:r>
            <w:r w:rsidRPr="00370C56">
              <w:t xml:space="preserve">στο πλαίσιο </w:t>
            </w:r>
            <w:r>
              <w:t>του ΕΔΚ</w:t>
            </w:r>
            <w:r w:rsidR="007A70EF">
              <w:t>-Α’ Κύκλος</w:t>
            </w:r>
          </w:p>
          <w:p w:rsidR="007E44A1" w:rsidRPr="007E44A1" w:rsidRDefault="007E44A1" w:rsidP="007E44A1"/>
          <w:p w:rsidR="008C7977" w:rsidRDefault="008C7977" w:rsidP="00EB4327">
            <w:pPr>
              <w:rPr>
                <w:szCs w:val="18"/>
              </w:rPr>
            </w:pPr>
            <w:r>
              <w:rPr>
                <w:noProof/>
              </w:rPr>
              <w:drawing>
                <wp:inline distT="0" distB="0" distL="0" distR="0" wp14:anchorId="21B1F711" wp14:editId="7119C7D8">
                  <wp:extent cx="3762375" cy="4109720"/>
                  <wp:effectExtent l="0" t="0" r="9525" b="508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8C7977" w:rsidRDefault="008C7977" w:rsidP="00EB4327">
            <w:pPr>
              <w:rPr>
                <w:szCs w:val="18"/>
              </w:rPr>
            </w:pPr>
          </w:p>
        </w:tc>
        <w:tc>
          <w:tcPr>
            <w:tcW w:w="6996" w:type="dxa"/>
          </w:tcPr>
          <w:p w:rsidR="008C7977" w:rsidRDefault="008C7977" w:rsidP="00EB4327">
            <w:pPr>
              <w:rPr>
                <w:szCs w:val="18"/>
              </w:rPr>
            </w:pPr>
          </w:p>
          <w:p w:rsidR="008C7977" w:rsidRDefault="008C7977" w:rsidP="008C7977">
            <w:pPr>
              <w:pStyle w:val="Caption"/>
            </w:pPr>
            <w:r>
              <w:t xml:space="preserve">Διάγραμμα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t>2</w:t>
            </w:r>
            <w:r w:rsidRPr="00370C56">
              <w:t>:</w:t>
            </w:r>
            <w:r w:rsidRPr="00370C56">
              <w:tab/>
            </w:r>
            <w:r w:rsidR="007E44A1" w:rsidRPr="007E44A1">
              <w:t xml:space="preserve">Κατανομή προϋπολογισμού δημόσιας δαπάνης υποβληθεισών προτάσεων ανά </w:t>
            </w:r>
            <w:r w:rsidR="007E44A1">
              <w:t xml:space="preserve">Περιφέρεια </w:t>
            </w:r>
            <w:r w:rsidR="006643B2" w:rsidRPr="00370C56">
              <w:t xml:space="preserve">στο πλαίσιο </w:t>
            </w:r>
            <w:r w:rsidR="006643B2">
              <w:t>του ΕΔΚ</w:t>
            </w:r>
            <w:r w:rsidR="007A70EF">
              <w:t>- Α΄Κύκλος</w:t>
            </w:r>
          </w:p>
          <w:p w:rsidR="007E44A1" w:rsidRPr="00CE7726" w:rsidRDefault="007E44A1" w:rsidP="00CE7726"/>
          <w:p w:rsidR="008C7977" w:rsidRDefault="007E44A1" w:rsidP="00EB4327">
            <w:pPr>
              <w:rPr>
                <w:szCs w:val="18"/>
              </w:rPr>
            </w:pPr>
            <w:r>
              <w:rPr>
                <w:noProof/>
              </w:rPr>
              <w:drawing>
                <wp:inline distT="0" distB="0" distL="0" distR="0" wp14:anchorId="107BBBE6" wp14:editId="7A33D161">
                  <wp:extent cx="4295775" cy="4119245"/>
                  <wp:effectExtent l="0" t="0" r="9525" b="14605"/>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E86243" w:rsidRDefault="00E86243">
      <w:pPr>
        <w:sectPr w:rsidR="00E86243" w:rsidSect="003D021E">
          <w:pgSz w:w="15840" w:h="12240" w:orient="landscape"/>
          <w:pgMar w:top="1440" w:right="1440" w:bottom="1440" w:left="144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98"/>
        <w:gridCol w:w="6878"/>
      </w:tblGrid>
      <w:tr w:rsidR="00CE7726" w:rsidTr="00E86243">
        <w:tc>
          <w:tcPr>
            <w:tcW w:w="6298" w:type="dxa"/>
          </w:tcPr>
          <w:p w:rsidR="00CE7726" w:rsidRDefault="00CE7726" w:rsidP="00D5687C">
            <w:pPr>
              <w:rPr>
                <w:szCs w:val="18"/>
              </w:rPr>
            </w:pPr>
          </w:p>
          <w:p w:rsidR="00CE7726" w:rsidRDefault="00CE7726" w:rsidP="00D5687C">
            <w:pPr>
              <w:pStyle w:val="Caption"/>
            </w:pPr>
            <w:r>
              <w:t xml:space="preserve">Διάγραμμα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FB7BB8">
              <w:rPr>
                <w:noProof/>
              </w:rPr>
              <w:t>3</w:t>
            </w:r>
            <w:r w:rsidRPr="00370C56">
              <w:t>:</w:t>
            </w:r>
            <w:r w:rsidRPr="00370C56">
              <w:tab/>
            </w:r>
            <w:r>
              <w:t xml:space="preserve">Κατανομή προϋπολογισμού δημόσιας δαπάνης εγκεκριμένων προτάσεων ανά Τομέα Προτεραιότητας </w:t>
            </w:r>
            <w:r>
              <w:rPr>
                <w:lang w:val="en-US"/>
              </w:rPr>
              <w:t>RIS</w:t>
            </w:r>
            <w:r w:rsidRPr="008C7977">
              <w:t xml:space="preserve"> </w:t>
            </w:r>
            <w:r w:rsidRPr="00370C56">
              <w:t xml:space="preserve">στο πλαίσιο </w:t>
            </w:r>
            <w:r>
              <w:t>του ΕΔΚ</w:t>
            </w:r>
            <w:r w:rsidR="007A70EF">
              <w:t>- Α’</w:t>
            </w:r>
            <w:r w:rsidR="00045378">
              <w:t xml:space="preserve"> Κ</w:t>
            </w:r>
            <w:r w:rsidR="007A70EF">
              <w:t>ύκλος</w:t>
            </w:r>
          </w:p>
          <w:p w:rsidR="00CE7726" w:rsidRPr="007E44A1" w:rsidRDefault="00CE7726" w:rsidP="00D5687C"/>
          <w:p w:rsidR="00CE7726" w:rsidRDefault="00CE7726" w:rsidP="00D5687C">
            <w:pPr>
              <w:rPr>
                <w:szCs w:val="18"/>
              </w:rPr>
            </w:pPr>
            <w:r>
              <w:rPr>
                <w:noProof/>
              </w:rPr>
              <w:drawing>
                <wp:inline distT="0" distB="0" distL="0" distR="0" wp14:anchorId="2FD3DF20" wp14:editId="238C3C94">
                  <wp:extent cx="3990975" cy="3962400"/>
                  <wp:effectExtent l="0" t="0" r="9525" b="0"/>
                  <wp:docPr id="64" name="Chart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E7726" w:rsidRDefault="00CE7726" w:rsidP="00D5687C">
            <w:pPr>
              <w:rPr>
                <w:szCs w:val="18"/>
              </w:rPr>
            </w:pPr>
          </w:p>
        </w:tc>
        <w:tc>
          <w:tcPr>
            <w:tcW w:w="6878" w:type="dxa"/>
          </w:tcPr>
          <w:p w:rsidR="00CE7726" w:rsidRDefault="00CE7726" w:rsidP="00D5687C">
            <w:pPr>
              <w:rPr>
                <w:szCs w:val="18"/>
              </w:rPr>
            </w:pPr>
          </w:p>
          <w:p w:rsidR="00CE7726" w:rsidRDefault="00CE7726" w:rsidP="00D5687C">
            <w:pPr>
              <w:pStyle w:val="Caption"/>
            </w:pPr>
            <w:r>
              <w:t xml:space="preserve">Διάγραμμα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FB7BB8">
              <w:rPr>
                <w:noProof/>
              </w:rPr>
              <w:t>4</w:t>
            </w:r>
            <w:r w:rsidRPr="00370C56">
              <w:t>:</w:t>
            </w:r>
            <w:r w:rsidRPr="00370C56">
              <w:tab/>
            </w:r>
            <w:r w:rsidRPr="007E44A1">
              <w:t xml:space="preserve">Κατανομή προϋπολογισμού δημόσιας δαπάνης </w:t>
            </w:r>
            <w:r w:rsidR="00FB7BB8">
              <w:t>εγκεκριμένων</w:t>
            </w:r>
            <w:r w:rsidRPr="007E44A1">
              <w:t xml:space="preserve"> προτάσεων ανά </w:t>
            </w:r>
            <w:r>
              <w:t xml:space="preserve">Περιφέρεια </w:t>
            </w:r>
            <w:r w:rsidRPr="00370C56">
              <w:t xml:space="preserve">στο πλαίσιο </w:t>
            </w:r>
            <w:r>
              <w:t>του ΕΔΚ</w:t>
            </w:r>
            <w:r w:rsidR="007A70EF">
              <w:t xml:space="preserve"> – Α’ Κύκλος</w:t>
            </w:r>
          </w:p>
          <w:p w:rsidR="00CE7726" w:rsidRPr="00CE7726" w:rsidRDefault="00CE7726" w:rsidP="00D5687C"/>
          <w:p w:rsidR="00CE7726" w:rsidRDefault="00FB7BB8" w:rsidP="00D5687C">
            <w:pPr>
              <w:rPr>
                <w:szCs w:val="18"/>
              </w:rPr>
            </w:pPr>
            <w:r>
              <w:rPr>
                <w:noProof/>
              </w:rPr>
              <w:drawing>
                <wp:inline distT="0" distB="0" distL="0" distR="0" wp14:anchorId="4D8B7A1D" wp14:editId="682012F1">
                  <wp:extent cx="4371975" cy="3962400"/>
                  <wp:effectExtent l="0" t="0" r="9525" b="0"/>
                  <wp:docPr id="65" name="Chart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bl>
    <w:p w:rsidR="00E86243" w:rsidRDefault="00E86243" w:rsidP="00EB4327">
      <w:pPr>
        <w:rPr>
          <w:szCs w:val="18"/>
        </w:rPr>
        <w:sectPr w:rsidR="00E86243" w:rsidSect="003D021E">
          <w:footerReference w:type="default" r:id="rId36"/>
          <w:pgSz w:w="15840" w:h="12240" w:orient="landscape"/>
          <w:pgMar w:top="1440" w:right="1440" w:bottom="1440" w:left="1440" w:header="720" w:footer="720" w:gutter="0"/>
          <w:cols w:space="720"/>
          <w:docGrid w:linePitch="360"/>
        </w:sectPr>
      </w:pPr>
    </w:p>
    <w:p w:rsidR="00045378" w:rsidRDefault="00045378" w:rsidP="00045378">
      <w:pPr>
        <w:pStyle w:val="Caption"/>
      </w:pPr>
      <w:r w:rsidRPr="00907772">
        <w:lastRenderedPageBreak/>
        <w:t xml:space="preserve">Πίνακας </w:t>
      </w:r>
      <w:r w:rsidRPr="00907772">
        <w:rPr>
          <w:noProof/>
        </w:rPr>
        <w:fldChar w:fldCharType="begin"/>
      </w:r>
      <w:r w:rsidRPr="00907772">
        <w:rPr>
          <w:noProof/>
        </w:rPr>
        <w:instrText xml:space="preserve"> STYLEREF 1 \s </w:instrText>
      </w:r>
      <w:r w:rsidRPr="00907772">
        <w:rPr>
          <w:noProof/>
        </w:rPr>
        <w:fldChar w:fldCharType="separate"/>
      </w:r>
      <w:r w:rsidR="00332E24">
        <w:rPr>
          <w:noProof/>
        </w:rPr>
        <w:t>3</w:t>
      </w:r>
      <w:r w:rsidRPr="00907772">
        <w:rPr>
          <w:noProof/>
        </w:rPr>
        <w:fldChar w:fldCharType="end"/>
      </w:r>
      <w:r w:rsidRPr="00907772">
        <w:noBreakHyphen/>
      </w:r>
      <w:r>
        <w:rPr>
          <w:noProof/>
        </w:rPr>
        <w:t>10</w:t>
      </w:r>
      <w:r w:rsidRPr="00907772">
        <w:rPr>
          <w:noProof/>
        </w:rPr>
        <w:t>:</w:t>
      </w:r>
      <w:r w:rsidR="00A22727">
        <w:t xml:space="preserve"> Συγκεντρωτικά σ στοιχεία Υποβολών και Εγκρίσεων στο πλαίσιο του ΕΔΚ -Α΄ κύκλος</w:t>
      </w:r>
    </w:p>
    <w:p w:rsidR="00045378" w:rsidRDefault="00045378" w:rsidP="00EB4327">
      <w:pPr>
        <w:rPr>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70"/>
        <w:gridCol w:w="6606"/>
      </w:tblGrid>
      <w:tr w:rsidR="00045378" w:rsidTr="00045378">
        <w:tc>
          <w:tcPr>
            <w:tcW w:w="6570" w:type="dxa"/>
          </w:tcPr>
          <w:p w:rsidR="00045378" w:rsidRDefault="00045378" w:rsidP="00EB4327">
            <w:pPr>
              <w:rPr>
                <w:szCs w:val="18"/>
              </w:rPr>
            </w:pPr>
            <w:r w:rsidRPr="00045378">
              <w:rPr>
                <w:noProof/>
              </w:rPr>
              <w:drawing>
                <wp:inline distT="0" distB="0" distL="0" distR="0" wp14:anchorId="3E06D558" wp14:editId="273369E9">
                  <wp:extent cx="3800475" cy="2894965"/>
                  <wp:effectExtent l="0" t="0" r="9525" b="63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00835" cy="2895239"/>
                          </a:xfrm>
                          <a:prstGeom prst="rect">
                            <a:avLst/>
                          </a:prstGeom>
                        </pic:spPr>
                      </pic:pic>
                    </a:graphicData>
                  </a:graphic>
                </wp:inline>
              </w:drawing>
            </w:r>
          </w:p>
          <w:p w:rsidR="00045378" w:rsidRDefault="00045378" w:rsidP="00A22727">
            <w:pPr>
              <w:rPr>
                <w:szCs w:val="18"/>
              </w:rPr>
            </w:pPr>
          </w:p>
        </w:tc>
        <w:tc>
          <w:tcPr>
            <w:tcW w:w="6606" w:type="dxa"/>
          </w:tcPr>
          <w:p w:rsidR="00045378" w:rsidRDefault="00045378" w:rsidP="00EB4327">
            <w:pPr>
              <w:rPr>
                <w:szCs w:val="18"/>
              </w:rPr>
            </w:pPr>
            <w:r w:rsidRPr="00045378">
              <w:rPr>
                <w:noProof/>
              </w:rPr>
              <w:drawing>
                <wp:inline distT="0" distB="0" distL="0" distR="0" wp14:anchorId="7C99B936" wp14:editId="30634780">
                  <wp:extent cx="3952875" cy="2894965"/>
                  <wp:effectExtent l="0" t="0" r="9525"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52875" cy="2894965"/>
                          </a:xfrm>
                          <a:prstGeom prst="rect">
                            <a:avLst/>
                          </a:prstGeom>
                          <a:noFill/>
                          <a:ln>
                            <a:noFill/>
                          </a:ln>
                        </pic:spPr>
                      </pic:pic>
                    </a:graphicData>
                  </a:graphic>
                </wp:inline>
              </w:drawing>
            </w:r>
          </w:p>
        </w:tc>
      </w:tr>
    </w:tbl>
    <w:p w:rsidR="00045378" w:rsidRDefault="00045378" w:rsidP="00EB4327">
      <w:pPr>
        <w:rPr>
          <w:szCs w:val="18"/>
        </w:rPr>
      </w:pPr>
    </w:p>
    <w:p w:rsidR="00045378" w:rsidRDefault="00045378" w:rsidP="00EB4327">
      <w:pPr>
        <w:rPr>
          <w:szCs w:val="18"/>
        </w:rPr>
      </w:pPr>
    </w:p>
    <w:p w:rsidR="00EB4327" w:rsidRDefault="00EB4327" w:rsidP="00EB4327">
      <w:pPr>
        <w:rPr>
          <w:szCs w:val="18"/>
        </w:rPr>
        <w:sectPr w:rsidR="00EB4327" w:rsidSect="003D021E">
          <w:headerReference w:type="default" r:id="rId39"/>
          <w:footerReference w:type="default" r:id="rId40"/>
          <w:pgSz w:w="15840" w:h="12240" w:orient="landscape"/>
          <w:pgMar w:top="1440" w:right="1440" w:bottom="1440" w:left="1440" w:header="720" w:footer="720" w:gutter="0"/>
          <w:cols w:space="720"/>
          <w:docGrid w:linePitch="360"/>
        </w:sectPr>
      </w:pPr>
    </w:p>
    <w:p w:rsidR="00EB4327" w:rsidRPr="00DF43D2" w:rsidRDefault="00EB4327" w:rsidP="00EB4327">
      <w:pPr>
        <w:pStyle w:val="Heading4"/>
        <w:rPr>
          <w:rFonts w:eastAsia="Calibri"/>
        </w:rPr>
      </w:pPr>
      <w:bookmarkStart w:id="20" w:name="_Toc14268841"/>
      <w:bookmarkStart w:id="21" w:name="_Toc22645111"/>
      <w:r w:rsidRPr="00907CF3">
        <w:rPr>
          <w:rFonts w:eastAsia="Calibri"/>
        </w:rPr>
        <w:lastRenderedPageBreak/>
        <w:t xml:space="preserve">Ειδικές Δράσεις </w:t>
      </w:r>
      <w:r w:rsidRPr="00A77741">
        <w:rPr>
          <w:rFonts w:eastAsia="Calibri"/>
        </w:rPr>
        <w:t>«Υδατοκαλλιέργειες» - «Βιομηχανικά Υλικά» και «Ανοιχτή καινοτομία στον Πολιτισμό»</w:t>
      </w:r>
      <w:bookmarkEnd w:id="20"/>
      <w:bookmarkEnd w:id="21"/>
    </w:p>
    <w:p w:rsidR="00EB4327" w:rsidRPr="00C33E1A" w:rsidRDefault="00EB4327" w:rsidP="00EB4327">
      <w:pPr>
        <w:rPr>
          <w:szCs w:val="18"/>
        </w:rPr>
      </w:pPr>
      <w:r w:rsidRPr="00C33E1A">
        <w:rPr>
          <w:szCs w:val="18"/>
        </w:rPr>
        <w:t xml:space="preserve">Πρόκειται για Πρόσκληση με 3 ειδικές δράσεις που προκηρύχθηκε τον Ιούλιο του 2017 με φορέα Πρόσκλησης την </w:t>
      </w:r>
      <w:r>
        <w:rPr>
          <w:szCs w:val="18"/>
        </w:rPr>
        <w:t>Γ.Γ.Ε.Τ.</w:t>
      </w:r>
      <w:r w:rsidRPr="00C33E1A">
        <w:rPr>
          <w:szCs w:val="18"/>
        </w:rPr>
        <w:t>, στο πλαίσιο</w:t>
      </w:r>
      <w:r>
        <w:rPr>
          <w:szCs w:val="18"/>
        </w:rPr>
        <w:t xml:space="preserve"> των Α.Π. 01 και 01Σ του ΕΠΑνΕΚ</w:t>
      </w:r>
      <w:r w:rsidRPr="00C33E1A">
        <w:rPr>
          <w:szCs w:val="18"/>
        </w:rPr>
        <w:t xml:space="preserve"> και συγκεκρι</w:t>
      </w:r>
      <w:r>
        <w:rPr>
          <w:szCs w:val="18"/>
        </w:rPr>
        <w:t>μένα του</w:t>
      </w:r>
      <w:r w:rsidRPr="00C33E1A">
        <w:rPr>
          <w:szCs w:val="18"/>
        </w:rPr>
        <w:t xml:space="preserve"> Θεματικού Στόχου 01 – Επενδυτικής Προτεραιότητας 1b και Ειδικού Στόχου 1.1.</w:t>
      </w:r>
      <w:r>
        <w:rPr>
          <w:szCs w:val="18"/>
        </w:rPr>
        <w:t xml:space="preserve"> Ο προϋπολογισμός της σχετικής Π</w:t>
      </w:r>
      <w:r w:rsidRPr="00C33E1A">
        <w:rPr>
          <w:szCs w:val="18"/>
        </w:rPr>
        <w:t>ρόσκλησης ανήλθε στα 24,250 εκατ. €.</w:t>
      </w:r>
    </w:p>
    <w:p w:rsidR="00EB4327" w:rsidRPr="00C33E1A" w:rsidRDefault="00EB4327" w:rsidP="00EB4327">
      <w:pPr>
        <w:rPr>
          <w:szCs w:val="18"/>
        </w:rPr>
      </w:pPr>
      <w:r w:rsidRPr="00C33E1A">
        <w:rPr>
          <w:szCs w:val="18"/>
        </w:rPr>
        <w:t>Οι προτάσεις χρηματοδότησης μπορούσαν να υποβάλλονται ανάλογα την Ειδική Δράση, από συμπράξεις μεταξύ οργανισμών έρευνας και διάδοσης γνώσεων,  υφιστάμενων επιχειρήσεων και φορέων πολιτισμού.</w:t>
      </w:r>
    </w:p>
    <w:p w:rsidR="00EB4327" w:rsidRPr="00C33E1A" w:rsidRDefault="00EB4327" w:rsidP="00EB4327">
      <w:pPr>
        <w:rPr>
          <w:szCs w:val="18"/>
        </w:rPr>
      </w:pPr>
      <w:r w:rsidRPr="00C33E1A">
        <w:rPr>
          <w:szCs w:val="18"/>
        </w:rPr>
        <w:t>Οι σχετικές προτάσεις θα έπρεπε να προωθούν την έρευνα, την τεχνολογία και την καινοτομία και να εντάσσονται σε ενισχύσεις πράξεων/έργων έρευνας και ανάπτυξης (κατηγορία έρευνας: βιομηχανική έρευνα, πειραματική ανάπτυξη) με μελέτες σκοπιμότητας ενεργειών προβολής/διάχυσης αποτελεσμάτων, συμμετοχής σε διεθνή συνέδρια, σε εθνικό και διεθνές επίπεδο και  προώθησης καινοτομίας για ΜΜΕ. Ο συνολικός προϋπολογισμός των προτάσεων, ανάλογα με την ειδική δράση θα έπρεπε να είναι από 50.000 έως 1εκατ.  €. Η χρονική διάρκεια των προτεινόμενων έργων θα έπρεπε να είναι από είκοσι τέσσερις (24) έως τριάντα έξ</w:t>
      </w:r>
      <w:r w:rsidR="00543DA9">
        <w:rPr>
          <w:szCs w:val="18"/>
        </w:rPr>
        <w:t>ι</w:t>
      </w:r>
      <w:r w:rsidRPr="00C33E1A">
        <w:rPr>
          <w:szCs w:val="18"/>
        </w:rPr>
        <w:t xml:space="preserve"> (36) μήνες.</w:t>
      </w:r>
    </w:p>
    <w:p w:rsidR="00EB4327" w:rsidRPr="00C33E1A" w:rsidRDefault="00EB4327" w:rsidP="00EB4327">
      <w:pPr>
        <w:rPr>
          <w:szCs w:val="18"/>
        </w:rPr>
      </w:pPr>
      <w:r w:rsidRPr="00C33E1A">
        <w:rPr>
          <w:szCs w:val="18"/>
        </w:rPr>
        <w:t>Σύμφωνα με τα διαθέσιμα από τη ΓΓΕΤ στοιχεία των προτάσεων:</w:t>
      </w:r>
    </w:p>
    <w:p w:rsidR="00EB4327" w:rsidRPr="00C33E1A" w:rsidRDefault="00EB4327" w:rsidP="001B2DD1">
      <w:pPr>
        <w:pStyle w:val="ListParagraph"/>
        <w:numPr>
          <w:ilvl w:val="0"/>
          <w:numId w:val="25"/>
        </w:numPr>
      </w:pPr>
      <w:r w:rsidRPr="00C33E1A">
        <w:t>Για τη δράση «Ανοιχτή Καινοτομία στον Πολιτισμό (Π/Υ 13 εκατ. €)</w:t>
      </w:r>
      <w:r w:rsidR="00543DA9">
        <w:t>,</w:t>
      </w:r>
      <w:r w:rsidRPr="00C33E1A">
        <w:t xml:space="preserve"> η ζήτηση ήταν εξαιρετικά υψηλή, δεδομένου ότι υποβλήθηκαν 104 προτάσεις με αιτούμενη Δημόσια Δαπάνη ύψους 73,3 εκατ. €.</w:t>
      </w:r>
    </w:p>
    <w:p w:rsidR="00EB4327" w:rsidRPr="00C33E1A" w:rsidRDefault="00EB4327" w:rsidP="001B2DD1">
      <w:pPr>
        <w:pStyle w:val="ListParagraph"/>
        <w:numPr>
          <w:ilvl w:val="0"/>
          <w:numId w:val="25"/>
        </w:numPr>
      </w:pPr>
      <w:r w:rsidRPr="00C33E1A">
        <w:t>Για τη Δράση «Υδατοκαλλιέργεια» (Π/Υ 5,25 εκατ. €)</w:t>
      </w:r>
      <w:r w:rsidR="00543DA9">
        <w:t>,</w:t>
      </w:r>
      <w:r w:rsidRPr="00C33E1A">
        <w:t xml:space="preserve"> η ζήτηση ήταν πολύ υψηλή δεδομένου ότι υποβλήθηκαν 49 προτάσεις με αιτούμενη Δημόσια Δαπάνη ύψους 12,4 εκατ. €. </w:t>
      </w:r>
    </w:p>
    <w:p w:rsidR="00EB4327" w:rsidRPr="00C33E1A" w:rsidRDefault="00EB4327" w:rsidP="001B2DD1">
      <w:pPr>
        <w:pStyle w:val="ListParagraph"/>
        <w:numPr>
          <w:ilvl w:val="0"/>
          <w:numId w:val="25"/>
        </w:numPr>
      </w:pPr>
      <w:r w:rsidRPr="00C33E1A">
        <w:t>Επίσης εξαιρετικά υψηλή ζήτηση παρουσίασε και η Δράση «Βιομηχανικά Υλικά» (Π/Υ 6 εκατ. €). Υποβλήθηκαν 101 προτάσεις με αιτούμενη Δημόσια δαπάνη ύψους 45,8 εκατ. ευρώ.</w:t>
      </w:r>
    </w:p>
    <w:p w:rsidR="00EB4327" w:rsidRDefault="00EB4327" w:rsidP="00EB4327">
      <w:pPr>
        <w:rPr>
          <w:szCs w:val="18"/>
        </w:rPr>
      </w:pPr>
      <w:r w:rsidRPr="00C33E1A">
        <w:rPr>
          <w:szCs w:val="18"/>
        </w:rPr>
        <w:t xml:space="preserve">Η δε περιφερειακή </w:t>
      </w:r>
      <w:r w:rsidR="00543DA9">
        <w:rPr>
          <w:szCs w:val="18"/>
        </w:rPr>
        <w:t>κ</w:t>
      </w:r>
      <w:r w:rsidRPr="00C33E1A">
        <w:rPr>
          <w:szCs w:val="18"/>
        </w:rPr>
        <w:t>ατανομή των προτάσεων εμφανίζει, όπως αναμενόταν, τις Περιφέρειες Αττικής και Κ. Μακεδονίας να συγκεντρώνουν το μεγαλύτερο ποσοστό υποβληθεισών προτάσεων, σύμφωνα και με το ακόλουθο διάγραμμα</w:t>
      </w:r>
      <w:r>
        <w:rPr>
          <w:szCs w:val="18"/>
        </w:rPr>
        <w:t>.</w:t>
      </w:r>
    </w:p>
    <w:p w:rsidR="00EB4327" w:rsidRPr="00370C56" w:rsidRDefault="00EB4327" w:rsidP="00EB4327">
      <w:pPr>
        <w:pStyle w:val="Caption"/>
      </w:pPr>
      <w:r>
        <w:t xml:space="preserve">Διάγραμμα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625E8D">
        <w:rPr>
          <w:noProof/>
        </w:rPr>
        <w:t>5</w:t>
      </w:r>
      <w:r w:rsidRPr="00370C56">
        <w:t>:</w:t>
      </w:r>
      <w:r w:rsidRPr="00370C56">
        <w:tab/>
        <w:t>Περιφερειακή κατανομή προτάσεων που υποβλήθηκαν στο πλαίσιο της Πρόσκλησης για τις Ειδικές Δράσεις «Υδατοκαλλιέργειες» - «Βιομηχανικά Υλικά» και «Ανοιχτή καινοτομία στον Πολιτισμό»</w:t>
      </w:r>
    </w:p>
    <w:p w:rsidR="00EB4327" w:rsidRDefault="00EB4327" w:rsidP="00EB4327">
      <w:pPr>
        <w:jc w:val="center"/>
        <w:rPr>
          <w:b/>
          <w:u w:val="single"/>
        </w:rPr>
      </w:pPr>
      <w:r>
        <w:rPr>
          <w:noProof/>
          <w:lang w:eastAsia="el-GR"/>
        </w:rPr>
        <w:drawing>
          <wp:inline distT="0" distB="0" distL="0" distR="0" wp14:anchorId="287F4150" wp14:editId="34F968BD">
            <wp:extent cx="5274310" cy="2667000"/>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2667000"/>
                    </a:xfrm>
                    <a:prstGeom prst="rect">
                      <a:avLst/>
                    </a:prstGeom>
                  </pic:spPr>
                </pic:pic>
              </a:graphicData>
            </a:graphic>
          </wp:inline>
        </w:drawing>
      </w:r>
    </w:p>
    <w:p w:rsidR="00EB4327" w:rsidRPr="003E7153" w:rsidRDefault="00EB4327" w:rsidP="00EB4327">
      <w:pPr>
        <w:rPr>
          <w:i/>
          <w:sz w:val="16"/>
          <w:szCs w:val="18"/>
        </w:rPr>
      </w:pPr>
      <w:r w:rsidRPr="003E7153">
        <w:rPr>
          <w:i/>
          <w:sz w:val="16"/>
          <w:szCs w:val="18"/>
        </w:rPr>
        <w:t>Πηγή: ΓΓΕΤ</w:t>
      </w:r>
    </w:p>
    <w:p w:rsidR="00EB4327" w:rsidRDefault="00EB4327" w:rsidP="00EB4327">
      <w:pPr>
        <w:spacing w:before="60" w:line="240" w:lineRule="auto"/>
        <w:rPr>
          <w:b/>
          <w:u w:val="single"/>
        </w:rPr>
      </w:pPr>
    </w:p>
    <w:p w:rsidR="00EB4327" w:rsidRPr="00DF43D2" w:rsidRDefault="00EB4327" w:rsidP="00EB4327">
      <w:pPr>
        <w:pStyle w:val="Heading4"/>
      </w:pPr>
      <w:bookmarkStart w:id="22" w:name="_Toc14268842"/>
      <w:bookmarkStart w:id="23" w:name="_Toc22645112"/>
      <w:r w:rsidRPr="00DF43D2">
        <w:t>Ευρωπαϊκά Δίκτυα ERA NETS</w:t>
      </w:r>
      <w:bookmarkEnd w:id="22"/>
      <w:bookmarkEnd w:id="23"/>
    </w:p>
    <w:p w:rsidR="00EB4327" w:rsidRPr="000D5F33" w:rsidRDefault="00EB4327" w:rsidP="00EB4327">
      <w:r w:rsidRPr="000D5F33">
        <w:t xml:space="preserve">Το πρόγραμμα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ERA-NETS» αφορά σε δράση εθνικής εμβέλειας για την Ευρωπαϊκή και Διεθνή Δικτύωση των ερευνητικών ομάδων  με στόχο την ενίσχυση της υλοποίησης ερευνητικού έργου και δαπανών καινοτομίας. </w:t>
      </w:r>
      <w:r w:rsidR="00BE5001">
        <w:t>Η συγκεκριμένη Δράση</w:t>
      </w:r>
      <w:r w:rsidRPr="000D5F33">
        <w:t xml:space="preserve"> επικεντρώ</w:t>
      </w:r>
      <w:r w:rsidR="00BE5001">
        <w:t>νεται</w:t>
      </w:r>
      <w:r w:rsidRPr="000D5F33">
        <w:t xml:space="preserve"> σε όλους τους Τομείς Προτεραιότητας της RIS3.</w:t>
      </w:r>
    </w:p>
    <w:p w:rsidR="00EB4327" w:rsidRPr="000D5F33" w:rsidRDefault="00EB4327" w:rsidP="00EB4327">
      <w:r w:rsidRPr="000D5F33">
        <w:t xml:space="preserve">Βασικός στόχος των σχημάτων ERA-NETS στο πλαίσιο του Ευρωπαϊκού Χώρου Έρευνας (ΕΧΕ) είναι να εντείνει τη συνεργασία μεταξύ φορέων διαφορετικών κρατών μελών και συνδεδεμένων κρατών και να συντονίσει κοινές ερευνητικές δραστηριότητες. Με τον όρο «ερευνητικές δραστηριότητες» που διεξάγονται σε εθνικό ή περιφερειακό επίπεδο, εννοούνται τα προγράμματα έρευνας και καινοτομίας, μέρος των προγραμμάτων αυτών ή παρόμοιες πρωτοβουλίες. Συνήθως, αυτές οι δραστηριότητες: α. είναι στρατηγικά προγραμματισμένες, β. εκτελούνται σε εθνικό ή περιφερειακό επίπεδο, γ. χρηματοδοτούνται και διαχειρίζονται από εθνικούς δημόσιους οργανισμούς ή από δομές που συνδέονται στενά με ή έχουν οριστεί από τις δημόσιες αρχές. Η Δράση </w:t>
      </w:r>
      <w:r w:rsidR="00BE5001">
        <w:t>είχε</w:t>
      </w:r>
      <w:r w:rsidRPr="000D5F33">
        <w:t xml:space="preserve"> ως ειδικότερους στόχους τους παρακάτω: </w:t>
      </w:r>
    </w:p>
    <w:p w:rsidR="00EB4327" w:rsidRPr="000D5F33" w:rsidRDefault="00EB4327" w:rsidP="001B2DD1">
      <w:pPr>
        <w:pStyle w:val="ListParagraph"/>
        <w:numPr>
          <w:ilvl w:val="0"/>
          <w:numId w:val="23"/>
        </w:numPr>
      </w:pPr>
      <w:r w:rsidRPr="000D5F33">
        <w:t>Την ενίσχυση της εξωστρέφειας.</w:t>
      </w:r>
    </w:p>
    <w:p w:rsidR="00EB4327" w:rsidRPr="000D5F33" w:rsidRDefault="00EB4327" w:rsidP="001B2DD1">
      <w:pPr>
        <w:pStyle w:val="ListParagraph"/>
        <w:numPr>
          <w:ilvl w:val="0"/>
          <w:numId w:val="23"/>
        </w:numPr>
      </w:pPr>
      <w:r w:rsidRPr="000D5F33">
        <w:t xml:space="preserve">Την ανάπτυξη συνεργασίας μεταξύ ερευνητικών ομάδων από κράτη-μέλη της Ε.Ε και από χώρες συνδεδεμένες με την Ε.Ε, αλλά και την συνεργασία με ερευνητικούς φορείς και επιχειρήσεις στρατηγικής σημασίας χωρών εκτός Ε.Ε. </w:t>
      </w:r>
    </w:p>
    <w:p w:rsidR="00EB4327" w:rsidRPr="000D5F33" w:rsidRDefault="00EB4327" w:rsidP="001B2DD1">
      <w:pPr>
        <w:pStyle w:val="ListParagraph"/>
        <w:numPr>
          <w:ilvl w:val="0"/>
          <w:numId w:val="23"/>
        </w:numPr>
      </w:pPr>
      <w:r w:rsidRPr="000D5F33">
        <w:t>Την επικέντρωση των προσπαθειών και των διαθέσιμων πόρων σε ερευνητικά θεματικά πεδία, μείζονος ενδιαφέροντος για τις δύο (συνεργαζόμενες) χώρες και σημαντικά για την κοινωνία και την οικονομία, σύμφωνα με τις προτεραιότητες της Εθνικής Στρατηγικής ΕΤΑΚ για την Έξυπνη Εξειδίκευση.</w:t>
      </w:r>
    </w:p>
    <w:p w:rsidR="00EB4327" w:rsidRPr="000D5F33" w:rsidRDefault="00EB4327" w:rsidP="001B2DD1">
      <w:pPr>
        <w:pStyle w:val="ListParagraph"/>
        <w:numPr>
          <w:ilvl w:val="0"/>
          <w:numId w:val="23"/>
        </w:numPr>
      </w:pPr>
      <w:r w:rsidRPr="000D5F33">
        <w:t>Την ανάπτυξη νέων γνώσεων - συμπεριλαμβανομένων των νέων τεχνολογιών – με στόχο τη βελτίωση της ανταγωνιστικότητας της ελληνικής οικονομίας και την αντιμετώπιση σημαντικών κοινωνικών και περιβαλλοντικών αναγκών.</w:t>
      </w:r>
    </w:p>
    <w:p w:rsidR="00EB4327" w:rsidRPr="000D5F33" w:rsidRDefault="00EB4327" w:rsidP="001B2DD1">
      <w:pPr>
        <w:pStyle w:val="ListParagraph"/>
        <w:numPr>
          <w:ilvl w:val="0"/>
          <w:numId w:val="23"/>
        </w:numPr>
      </w:pPr>
      <w:r w:rsidRPr="000D5F33">
        <w:t>Τη διείσδυση καινοτομιών σε νέες αγορές.</w:t>
      </w:r>
    </w:p>
    <w:p w:rsidR="00EB4327" w:rsidRPr="000D5F33" w:rsidRDefault="00EB4327" w:rsidP="00EB4327">
      <w:r w:rsidRPr="000D5F33">
        <w:t xml:space="preserve">Δικαιούχοι της Δράσης </w:t>
      </w:r>
      <w:r w:rsidR="00BE5001">
        <w:t xml:space="preserve">ήταν </w:t>
      </w:r>
      <w:r w:rsidRPr="000D5F33">
        <w:t>α) ερευνητικοί οργανισμοί, β) επιχειρήσεις, και γ) Λοιποί φορείς (δημόσιοι και άλλοι φορείς).</w:t>
      </w:r>
    </w:p>
    <w:p w:rsidR="00EB4327" w:rsidRPr="00080473" w:rsidRDefault="00EB4327" w:rsidP="00EB4327">
      <w:r w:rsidRPr="00080473">
        <w:t xml:space="preserve">Το είδος της ενίσχυσης είναι επιχορήγηση των δαπανών εκτέλεσης ερευνητικού έργου (κατηγορίες έρευνας: βασική έρευνα, βιομηχανική έρευνα ή/και πειραματική ανάπτυξη) και δαπανών καινοτομίας  σε όλους τους </w:t>
      </w:r>
      <w:r w:rsidR="00537A79">
        <w:t>τ</w:t>
      </w:r>
      <w:r w:rsidRPr="00080473">
        <w:t xml:space="preserve">ομείς </w:t>
      </w:r>
      <w:r w:rsidR="00537A79">
        <w:t>π</w:t>
      </w:r>
      <w:r w:rsidRPr="00080473">
        <w:t>ροτεραιότητας της Εθνικής Στρατηγικής για την Έξυπνη Εξειδίκευση RIS3 2014-2020, εφόσον προκύπτουν από το ενισχυόμενο ερευνητικό έργο και επιπλέον στις «Βασικές Τεχνολογίες Γενικής Εφαρμογής (Key Enabling Technologies - KETs)</w:t>
      </w:r>
      <w:r w:rsidRPr="00080473">
        <w:rPr>
          <w:rStyle w:val="FootnoteReference"/>
        </w:rPr>
        <w:footnoteReference w:id="3"/>
      </w:r>
      <w:r w:rsidRPr="00080473">
        <w:t xml:space="preserve">, και στις «Διεπιστημονικές παρεμβάσεις που σχετίζονται με τον στρατηγικό άξονα 3 της RIS», </w:t>
      </w:r>
      <w:bookmarkStart w:id="24" w:name="_Hlk6906618"/>
      <w:r w:rsidRPr="00080473">
        <w:t xml:space="preserve">που αποτελούν διατομεακή διάσταση των τομέων προτεραιότητας της Στρατηγικής RIS3. </w:t>
      </w:r>
      <w:bookmarkEnd w:id="24"/>
      <w:r w:rsidRPr="00080473">
        <w:t>Η χρονική διάρκεια υλοποίησης των έργων, ανάλογα με το έργο υλοποίησης, είναι έως τρία (3) έτη.</w:t>
      </w:r>
    </w:p>
    <w:p w:rsidR="00EB4327" w:rsidRDefault="00EB4327" w:rsidP="00EB4327">
      <w:r w:rsidRPr="00A113F3">
        <w:t>Έως τις 31.12.2017 είχε εκδοθεί</w:t>
      </w:r>
      <w:r w:rsidRPr="00A113F3">
        <w:rPr>
          <w:b/>
        </w:rPr>
        <w:t xml:space="preserve"> 1 Πρόσκληση</w:t>
      </w:r>
      <w:r w:rsidRPr="00A113F3">
        <w:t xml:space="preserve"> για </w:t>
      </w:r>
      <w:r w:rsidRPr="00DF43D2">
        <w:t xml:space="preserve">την υποβολή προτάσεων στο ΕΠΑνΕΚ, στον Άξονα Προτεραιότητας 1 «Ανάπτυξη επιχειρηματικότητας με τομεακές προτεραιότητες» και στον Άξονα </w:t>
      </w:r>
      <w:r w:rsidRPr="000D5F33">
        <w:t>Προτεραιότητας</w:t>
      </w:r>
      <w:r w:rsidRPr="00DF43D2">
        <w:t xml:space="preserve"> </w:t>
      </w:r>
      <w:r w:rsidRPr="00DF43D2">
        <w:lastRenderedPageBreak/>
        <w:t>1Σ «Ανάπτυξη επιχειρηματικότητας με τομεακές προτεραιότητες (Στερεά Ελλάδα, Νότιο Αιγαίο)» και συγκεκριμένα στο Θεματικό Στόχο 1 – Επενδυτική Προτεραιότητα 1b και στον Ειδικό Στόχο 1.1 «Αύξηση επιχειρηματικών πρωτοβουλιών και συνεργασιών για την ανάπτυξη καινοτόμου επιχειρηματικότητας σύμφωνα με την εθνική στρατηγική έρευνας και καινοτομίας για έξυπνη εξειδίκευση».</w:t>
      </w:r>
    </w:p>
    <w:p w:rsidR="00EB4327" w:rsidRPr="00A113F3" w:rsidRDefault="00EB4327" w:rsidP="00EB4327">
      <w:r w:rsidRPr="00A113F3">
        <w:t xml:space="preserve">Η πρόσκληση για την υποβολή αιτήσεων χρηματοδότησης ερευνητικών έργων στη Δράση Εθνικής Εμβέλειας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η οποία δημοσιεύθηκε στις 20.10.2016 (αρ. πρωτ. 6163/1864/Α2), είχε προϋπολογισμό 4.500.000 € (ΔΔ) και καταληκτική ημερομηνία υποβολής προτάσεων την 20.12.2016. </w:t>
      </w:r>
    </w:p>
    <w:p w:rsidR="00EB4327" w:rsidRPr="00A113F3" w:rsidRDefault="00EB4327" w:rsidP="00EB4327">
      <w:r w:rsidRPr="00A113F3">
        <w:t xml:space="preserve">Όπως φαίνεται και από τα στοιχεία που παρατίθενται στους παρακάτω πίνακες, συνολικά έχουν ενταχθεί 32 πράξεις (με συνολικά 45 συμμετοχές) συνολικού προϋπολογισμού (ΔΔ) 3.099.921,58 € που αντιστοιχεί στο 40,93% του προϋπολογισμού της Πρόσκλησης. Το μεγαλύτερο ποσοστό των ενταγμένων έργων το παρουσιάζουν οι περισσότερο ανεπτυγμένες Περιφέρειες (40,93%) και ακολουθούν οι λιγότερο ανεπτυγμένες Περιφέρειες (34,17%) και οι Περιφέρειες σε μετάβαση (24,90%). Δεν πραγματοποιήθηκαν δαπάνες κατά την περίοδο αναφοράς. Για τις περισσότερο ανεπτυγμένες Περιφέρειες, το ποσοστό του προϋπολογισμού των ενταγμένων έργων (ως προς τον προϋπολογισμό της πρόσκλησης για τη συγκεκριμένη Περιφέρεια) </w:t>
      </w:r>
      <w:r w:rsidR="00BB4527">
        <w:t>είναι στο 90,62%</w:t>
      </w:r>
      <w:r w:rsidRPr="00A113F3">
        <w:t xml:space="preserve"> για τις Περιφέρειες σε μετάβαση </w:t>
      </w:r>
      <w:r w:rsidR="00BB4527">
        <w:t xml:space="preserve">στο </w:t>
      </w:r>
      <w:r w:rsidRPr="00A113F3">
        <w:t xml:space="preserve">81,26% και για τις λιγότερο ανεπτυγμένες Περιφέρειες </w:t>
      </w:r>
      <w:r w:rsidR="00BB4527">
        <w:t>στο 49,27%</w:t>
      </w:r>
      <w:r w:rsidRPr="00A113F3">
        <w:t xml:space="preserve">. </w:t>
      </w:r>
    </w:p>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EF1252">
        <w:rPr>
          <w:noProof/>
        </w:rPr>
        <w:t>11</w:t>
      </w:r>
      <w:r w:rsidRPr="00C80E86">
        <w:rPr>
          <w:noProof/>
        </w:rPr>
        <w:t>:</w:t>
      </w:r>
      <w:r>
        <w:t xml:space="preserve"> </w:t>
      </w:r>
      <w:r w:rsidRPr="0061319E">
        <w:t>Στοιχεία εντάξεων και πληρωμών (έως 31.12.201</w:t>
      </w:r>
      <w:r>
        <w:t>7</w:t>
      </w:r>
      <w:r w:rsidRPr="0061319E">
        <w:t>) δράσεων που υποβλήθηκαν στο πλαίσιο των Προσκλήσεων για τα Ευρωπαϊκά Δίκτυα ERA NETS</w:t>
      </w:r>
    </w:p>
    <w:tbl>
      <w:tblPr>
        <w:tblStyle w:val="TableGrid1"/>
        <w:tblW w:w="935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148"/>
        <w:gridCol w:w="1519"/>
        <w:gridCol w:w="1544"/>
        <w:gridCol w:w="1540"/>
        <w:gridCol w:w="1601"/>
      </w:tblGrid>
      <w:tr w:rsidR="00EB4327" w:rsidRPr="008B45A0" w:rsidTr="00B43049">
        <w:trPr>
          <w:trHeight w:val="825"/>
          <w:jc w:val="center"/>
        </w:trPr>
        <w:tc>
          <w:tcPr>
            <w:tcW w:w="3148" w:type="dxa"/>
            <w:shd w:val="clear" w:color="auto" w:fill="800000"/>
            <w:vAlign w:val="center"/>
            <w:hideMark/>
          </w:tcPr>
          <w:p w:rsidR="00EB4327" w:rsidRPr="00DF43D2" w:rsidRDefault="00EB4327" w:rsidP="00B43049">
            <w:pPr>
              <w:jc w:val="center"/>
              <w:rPr>
                <w:rFonts w:cs="Calibri"/>
                <w:b/>
                <w:bCs/>
                <w:color w:val="C00000"/>
                <w:sz w:val="16"/>
                <w:szCs w:val="16"/>
              </w:rPr>
            </w:pPr>
            <w:r>
              <w:rPr>
                <w:rFonts w:cs="Calibri"/>
                <w:b/>
                <w:bCs/>
                <w:sz w:val="16"/>
                <w:szCs w:val="16"/>
              </w:rPr>
              <w:t>Ευρωπαϊκά Δίκτυα ERA NETS</w:t>
            </w:r>
          </w:p>
        </w:tc>
        <w:tc>
          <w:tcPr>
            <w:tcW w:w="1519"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Σύνολο</w:t>
            </w:r>
          </w:p>
        </w:tc>
        <w:tc>
          <w:tcPr>
            <w:tcW w:w="1544"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Περισσότερο Ανεπτυγμένες Περιφέρειες</w:t>
            </w:r>
          </w:p>
        </w:tc>
        <w:tc>
          <w:tcPr>
            <w:tcW w:w="1540"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Περιφέρειες σε Μετάβαση</w:t>
            </w:r>
          </w:p>
        </w:tc>
        <w:tc>
          <w:tcPr>
            <w:tcW w:w="1601"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Λιγότερο Ανεπτυγμένες Περιφέρειες</w:t>
            </w:r>
          </w:p>
        </w:tc>
      </w:tr>
      <w:tr w:rsidR="00EB4327" w:rsidRPr="008B45A0" w:rsidTr="00B43049">
        <w:trPr>
          <w:trHeight w:val="285"/>
          <w:jc w:val="center"/>
        </w:trPr>
        <w:tc>
          <w:tcPr>
            <w:tcW w:w="3148" w:type="dxa"/>
            <w:hideMark/>
          </w:tcPr>
          <w:p w:rsidR="00EB4327" w:rsidRPr="00DF43D2" w:rsidRDefault="00EB4327" w:rsidP="00B43049">
            <w:pPr>
              <w:rPr>
                <w:rFonts w:cs="Calibri"/>
                <w:sz w:val="16"/>
                <w:szCs w:val="16"/>
              </w:rPr>
            </w:pPr>
            <w:r w:rsidRPr="00DF43D2">
              <w:rPr>
                <w:rFonts w:cs="Calibri"/>
                <w:sz w:val="16"/>
                <w:szCs w:val="16"/>
              </w:rPr>
              <w:t>Προϋπ/σμός πρόσκλησης (ΔΔ):</w:t>
            </w:r>
          </w:p>
        </w:tc>
        <w:tc>
          <w:tcPr>
            <w:tcW w:w="1519" w:type="dxa"/>
            <w:hideMark/>
          </w:tcPr>
          <w:p w:rsidR="00EB4327" w:rsidRPr="00CC3C66" w:rsidRDefault="00EB4327" w:rsidP="00B43049">
            <w:pPr>
              <w:jc w:val="center"/>
              <w:rPr>
                <w:b/>
                <w:bCs/>
                <w:sz w:val="16"/>
                <w:szCs w:val="16"/>
              </w:rPr>
            </w:pPr>
            <w:r w:rsidRPr="00CC3C66">
              <w:rPr>
                <w:b/>
                <w:bCs/>
                <w:sz w:val="16"/>
                <w:szCs w:val="16"/>
              </w:rPr>
              <w:t>4.500.000,00 €</w:t>
            </w:r>
          </w:p>
        </w:tc>
        <w:tc>
          <w:tcPr>
            <w:tcW w:w="1544" w:type="dxa"/>
            <w:hideMark/>
          </w:tcPr>
          <w:p w:rsidR="00EB4327" w:rsidRPr="00CC3C66" w:rsidRDefault="00EB4327" w:rsidP="00B43049">
            <w:pPr>
              <w:jc w:val="center"/>
              <w:rPr>
                <w:sz w:val="16"/>
                <w:szCs w:val="16"/>
              </w:rPr>
            </w:pPr>
            <w:r w:rsidRPr="00CC3C66">
              <w:rPr>
                <w:sz w:val="16"/>
                <w:szCs w:val="16"/>
              </w:rPr>
              <w:t>1.400.000,00 €</w:t>
            </w:r>
          </w:p>
        </w:tc>
        <w:tc>
          <w:tcPr>
            <w:tcW w:w="1540" w:type="dxa"/>
            <w:hideMark/>
          </w:tcPr>
          <w:p w:rsidR="00EB4327" w:rsidRPr="00CC3C66" w:rsidRDefault="00EB4327" w:rsidP="00B43049">
            <w:pPr>
              <w:jc w:val="center"/>
              <w:rPr>
                <w:sz w:val="16"/>
                <w:szCs w:val="16"/>
              </w:rPr>
            </w:pPr>
            <w:r w:rsidRPr="00CC3C66">
              <w:rPr>
                <w:sz w:val="16"/>
                <w:szCs w:val="16"/>
              </w:rPr>
              <w:t>950.000,00 €</w:t>
            </w:r>
          </w:p>
        </w:tc>
        <w:tc>
          <w:tcPr>
            <w:tcW w:w="1601" w:type="dxa"/>
            <w:hideMark/>
          </w:tcPr>
          <w:p w:rsidR="00EB4327" w:rsidRPr="00CC3C66" w:rsidRDefault="00EB4327" w:rsidP="00B43049">
            <w:pPr>
              <w:jc w:val="center"/>
              <w:rPr>
                <w:sz w:val="16"/>
                <w:szCs w:val="16"/>
              </w:rPr>
            </w:pPr>
            <w:r w:rsidRPr="00CC3C66">
              <w:rPr>
                <w:sz w:val="16"/>
                <w:szCs w:val="16"/>
              </w:rPr>
              <w:t>2.150.000,00 €</w:t>
            </w:r>
          </w:p>
        </w:tc>
      </w:tr>
      <w:tr w:rsidR="00EB4327" w:rsidRPr="008B45A0" w:rsidTr="00B43049">
        <w:trPr>
          <w:trHeight w:val="255"/>
          <w:jc w:val="center"/>
        </w:trPr>
        <w:tc>
          <w:tcPr>
            <w:tcW w:w="3148" w:type="dxa"/>
            <w:hideMark/>
          </w:tcPr>
          <w:p w:rsidR="00EB4327" w:rsidRPr="00DF43D2" w:rsidRDefault="00EB4327" w:rsidP="00B43049">
            <w:pPr>
              <w:rPr>
                <w:rFonts w:cs="Calibri"/>
                <w:sz w:val="16"/>
                <w:szCs w:val="16"/>
              </w:rPr>
            </w:pPr>
            <w:r w:rsidRPr="00DF43D2">
              <w:rPr>
                <w:rFonts w:cs="Calibri"/>
                <w:sz w:val="16"/>
                <w:szCs w:val="16"/>
              </w:rPr>
              <w:t xml:space="preserve">Προϋπ/σμός ενταγμένων έργων (ΔΔ): </w:t>
            </w:r>
          </w:p>
        </w:tc>
        <w:tc>
          <w:tcPr>
            <w:tcW w:w="1519" w:type="dxa"/>
            <w:hideMark/>
          </w:tcPr>
          <w:p w:rsidR="00EB4327" w:rsidRPr="00CC3C66" w:rsidRDefault="00EB4327" w:rsidP="00B43049">
            <w:pPr>
              <w:jc w:val="center"/>
              <w:rPr>
                <w:b/>
                <w:bCs/>
                <w:sz w:val="16"/>
                <w:szCs w:val="16"/>
              </w:rPr>
            </w:pPr>
            <w:r w:rsidRPr="00CC3C66">
              <w:rPr>
                <w:b/>
                <w:bCs/>
                <w:sz w:val="16"/>
                <w:szCs w:val="16"/>
              </w:rPr>
              <w:t>3.099.921,58 €</w:t>
            </w:r>
          </w:p>
        </w:tc>
        <w:tc>
          <w:tcPr>
            <w:tcW w:w="1544" w:type="dxa"/>
            <w:hideMark/>
          </w:tcPr>
          <w:p w:rsidR="00EB4327" w:rsidRPr="00CC3C66" w:rsidRDefault="00EB4327" w:rsidP="00B43049">
            <w:pPr>
              <w:jc w:val="center"/>
              <w:rPr>
                <w:sz w:val="16"/>
                <w:szCs w:val="16"/>
              </w:rPr>
            </w:pPr>
            <w:r w:rsidRPr="00CC3C66">
              <w:rPr>
                <w:sz w:val="16"/>
                <w:szCs w:val="16"/>
              </w:rPr>
              <w:t>1.268.663,11 €</w:t>
            </w:r>
          </w:p>
        </w:tc>
        <w:tc>
          <w:tcPr>
            <w:tcW w:w="1540" w:type="dxa"/>
            <w:hideMark/>
          </w:tcPr>
          <w:p w:rsidR="00EB4327" w:rsidRPr="00CC3C66" w:rsidRDefault="00EB4327" w:rsidP="00B43049">
            <w:pPr>
              <w:jc w:val="center"/>
              <w:rPr>
                <w:sz w:val="16"/>
                <w:szCs w:val="16"/>
              </w:rPr>
            </w:pPr>
            <w:r w:rsidRPr="00CC3C66">
              <w:rPr>
                <w:sz w:val="16"/>
                <w:szCs w:val="16"/>
              </w:rPr>
              <w:t>771.964,26 €</w:t>
            </w:r>
          </w:p>
        </w:tc>
        <w:tc>
          <w:tcPr>
            <w:tcW w:w="1601" w:type="dxa"/>
            <w:hideMark/>
          </w:tcPr>
          <w:p w:rsidR="00EB4327" w:rsidRPr="00CC3C66" w:rsidRDefault="00EB4327" w:rsidP="00B43049">
            <w:pPr>
              <w:jc w:val="center"/>
              <w:rPr>
                <w:sz w:val="16"/>
                <w:szCs w:val="16"/>
              </w:rPr>
            </w:pPr>
            <w:r w:rsidRPr="00CC3C66">
              <w:rPr>
                <w:sz w:val="16"/>
                <w:szCs w:val="16"/>
              </w:rPr>
              <w:t>1.059.294,21 €</w:t>
            </w:r>
          </w:p>
        </w:tc>
      </w:tr>
      <w:tr w:rsidR="00EB4327" w:rsidRPr="008B45A0" w:rsidTr="00B43049">
        <w:trPr>
          <w:trHeight w:val="255"/>
          <w:jc w:val="center"/>
        </w:trPr>
        <w:tc>
          <w:tcPr>
            <w:tcW w:w="3148" w:type="dxa"/>
            <w:hideMark/>
          </w:tcPr>
          <w:p w:rsidR="00EB4327" w:rsidRPr="00DF43D2" w:rsidRDefault="00EB4327" w:rsidP="00B43049">
            <w:pPr>
              <w:rPr>
                <w:rFonts w:cs="Calibri"/>
                <w:sz w:val="16"/>
                <w:szCs w:val="16"/>
              </w:rPr>
            </w:pPr>
            <w:r w:rsidRPr="00DF43D2">
              <w:rPr>
                <w:rFonts w:cs="Calibri"/>
                <w:sz w:val="16"/>
                <w:szCs w:val="16"/>
              </w:rPr>
              <w:t xml:space="preserve">Δαπάνες έργων (ΔΔ): </w:t>
            </w:r>
          </w:p>
        </w:tc>
        <w:tc>
          <w:tcPr>
            <w:tcW w:w="1519" w:type="dxa"/>
            <w:hideMark/>
          </w:tcPr>
          <w:p w:rsidR="00EB4327" w:rsidRPr="00CC3C66" w:rsidRDefault="00EB4327" w:rsidP="00B43049">
            <w:pPr>
              <w:jc w:val="center"/>
              <w:rPr>
                <w:b/>
                <w:bCs/>
                <w:sz w:val="16"/>
                <w:szCs w:val="16"/>
              </w:rPr>
            </w:pPr>
            <w:r w:rsidRPr="00CC3C66">
              <w:rPr>
                <w:b/>
                <w:bCs/>
                <w:sz w:val="16"/>
                <w:szCs w:val="16"/>
              </w:rPr>
              <w:t>0,00 €</w:t>
            </w:r>
          </w:p>
        </w:tc>
        <w:tc>
          <w:tcPr>
            <w:tcW w:w="1544" w:type="dxa"/>
            <w:hideMark/>
          </w:tcPr>
          <w:p w:rsidR="00EB4327" w:rsidRPr="00CC3C66" w:rsidRDefault="00EB4327" w:rsidP="00B43049">
            <w:pPr>
              <w:jc w:val="center"/>
              <w:rPr>
                <w:sz w:val="16"/>
                <w:szCs w:val="16"/>
              </w:rPr>
            </w:pPr>
            <w:r w:rsidRPr="00CC3C66">
              <w:rPr>
                <w:sz w:val="16"/>
                <w:szCs w:val="16"/>
              </w:rPr>
              <w:t>0,00 €</w:t>
            </w:r>
          </w:p>
        </w:tc>
        <w:tc>
          <w:tcPr>
            <w:tcW w:w="1540" w:type="dxa"/>
            <w:hideMark/>
          </w:tcPr>
          <w:p w:rsidR="00EB4327" w:rsidRPr="00CC3C66" w:rsidRDefault="00EB4327" w:rsidP="00B43049">
            <w:pPr>
              <w:jc w:val="center"/>
              <w:rPr>
                <w:sz w:val="16"/>
                <w:szCs w:val="16"/>
              </w:rPr>
            </w:pPr>
            <w:r w:rsidRPr="00CC3C66">
              <w:rPr>
                <w:sz w:val="16"/>
                <w:szCs w:val="16"/>
              </w:rPr>
              <w:t>0,00 €</w:t>
            </w:r>
          </w:p>
        </w:tc>
        <w:tc>
          <w:tcPr>
            <w:tcW w:w="1601" w:type="dxa"/>
            <w:hideMark/>
          </w:tcPr>
          <w:p w:rsidR="00EB4327" w:rsidRPr="00CC3C66" w:rsidRDefault="00EB4327" w:rsidP="00B43049">
            <w:pPr>
              <w:jc w:val="center"/>
              <w:rPr>
                <w:sz w:val="16"/>
                <w:szCs w:val="16"/>
              </w:rPr>
            </w:pPr>
            <w:r w:rsidRPr="00CC3C66">
              <w:rPr>
                <w:sz w:val="16"/>
                <w:szCs w:val="16"/>
              </w:rPr>
              <w:t>0,00 €</w:t>
            </w:r>
          </w:p>
        </w:tc>
      </w:tr>
      <w:tr w:rsidR="00EB4327" w:rsidRPr="008B45A0" w:rsidTr="00B43049">
        <w:trPr>
          <w:trHeight w:val="255"/>
          <w:jc w:val="center"/>
        </w:trPr>
        <w:tc>
          <w:tcPr>
            <w:tcW w:w="3148" w:type="dxa"/>
            <w:hideMark/>
          </w:tcPr>
          <w:p w:rsidR="00EB4327" w:rsidRPr="00DF43D2" w:rsidRDefault="00EB4327" w:rsidP="00B43049">
            <w:pPr>
              <w:rPr>
                <w:rFonts w:cs="Calibri"/>
                <w:sz w:val="16"/>
                <w:szCs w:val="16"/>
              </w:rPr>
            </w:pPr>
            <w:r w:rsidRPr="00DF43D2">
              <w:rPr>
                <w:rFonts w:cs="Calibri"/>
                <w:sz w:val="16"/>
                <w:szCs w:val="16"/>
              </w:rPr>
              <w:t>Αριθμ. ενταγμένων πράξεων:</w:t>
            </w:r>
          </w:p>
        </w:tc>
        <w:tc>
          <w:tcPr>
            <w:tcW w:w="1519" w:type="dxa"/>
            <w:hideMark/>
          </w:tcPr>
          <w:p w:rsidR="00EB4327" w:rsidRPr="00CC3C66" w:rsidRDefault="00EB4327" w:rsidP="00B43049">
            <w:pPr>
              <w:jc w:val="center"/>
              <w:rPr>
                <w:b/>
                <w:bCs/>
                <w:sz w:val="16"/>
                <w:szCs w:val="16"/>
              </w:rPr>
            </w:pPr>
            <w:r w:rsidRPr="00CC3C66">
              <w:rPr>
                <w:b/>
                <w:bCs/>
                <w:sz w:val="16"/>
                <w:szCs w:val="16"/>
              </w:rPr>
              <w:t>32</w:t>
            </w:r>
          </w:p>
        </w:tc>
        <w:tc>
          <w:tcPr>
            <w:tcW w:w="1544" w:type="dxa"/>
            <w:hideMark/>
          </w:tcPr>
          <w:p w:rsidR="00EB4327" w:rsidRPr="00CC3C66" w:rsidRDefault="00EB4327" w:rsidP="00B43049">
            <w:pPr>
              <w:jc w:val="center"/>
              <w:rPr>
                <w:sz w:val="16"/>
                <w:szCs w:val="16"/>
              </w:rPr>
            </w:pPr>
            <w:r w:rsidRPr="00CC3C66">
              <w:rPr>
                <w:sz w:val="16"/>
                <w:szCs w:val="16"/>
              </w:rPr>
              <w:t>14</w:t>
            </w:r>
          </w:p>
        </w:tc>
        <w:tc>
          <w:tcPr>
            <w:tcW w:w="1540" w:type="dxa"/>
            <w:hideMark/>
          </w:tcPr>
          <w:p w:rsidR="00EB4327" w:rsidRPr="00CC3C66" w:rsidRDefault="00EB4327" w:rsidP="00B43049">
            <w:pPr>
              <w:jc w:val="center"/>
              <w:rPr>
                <w:sz w:val="16"/>
                <w:szCs w:val="16"/>
              </w:rPr>
            </w:pPr>
            <w:r w:rsidRPr="00CC3C66">
              <w:rPr>
                <w:sz w:val="16"/>
                <w:szCs w:val="16"/>
              </w:rPr>
              <w:t>9</w:t>
            </w:r>
          </w:p>
        </w:tc>
        <w:tc>
          <w:tcPr>
            <w:tcW w:w="1601" w:type="dxa"/>
            <w:hideMark/>
          </w:tcPr>
          <w:p w:rsidR="00EB4327" w:rsidRPr="00CC3C66" w:rsidRDefault="00EB4327" w:rsidP="00B43049">
            <w:pPr>
              <w:jc w:val="center"/>
              <w:rPr>
                <w:sz w:val="16"/>
                <w:szCs w:val="16"/>
              </w:rPr>
            </w:pPr>
            <w:r w:rsidRPr="00CC3C66">
              <w:rPr>
                <w:sz w:val="16"/>
                <w:szCs w:val="16"/>
              </w:rPr>
              <w:t>14</w:t>
            </w:r>
          </w:p>
        </w:tc>
      </w:tr>
      <w:tr w:rsidR="00EB4327" w:rsidRPr="008B45A0" w:rsidTr="00B43049">
        <w:trPr>
          <w:trHeight w:val="255"/>
          <w:jc w:val="center"/>
        </w:trPr>
        <w:tc>
          <w:tcPr>
            <w:tcW w:w="3148" w:type="dxa"/>
            <w:hideMark/>
          </w:tcPr>
          <w:p w:rsidR="00EB4327" w:rsidRPr="00DF43D2" w:rsidRDefault="00EB4327" w:rsidP="00B43049">
            <w:pPr>
              <w:rPr>
                <w:rFonts w:cs="Calibri"/>
                <w:sz w:val="16"/>
                <w:szCs w:val="16"/>
              </w:rPr>
            </w:pPr>
            <w:r w:rsidRPr="00DF43D2">
              <w:rPr>
                <w:rFonts w:cs="Calibri"/>
                <w:sz w:val="16"/>
                <w:szCs w:val="16"/>
              </w:rPr>
              <w:t>Αριθμ. συμμετοχών:</w:t>
            </w:r>
          </w:p>
        </w:tc>
        <w:tc>
          <w:tcPr>
            <w:tcW w:w="1519" w:type="dxa"/>
            <w:hideMark/>
          </w:tcPr>
          <w:p w:rsidR="00EB4327" w:rsidRPr="00CC3C66" w:rsidRDefault="00EB4327" w:rsidP="00B43049">
            <w:pPr>
              <w:jc w:val="center"/>
              <w:rPr>
                <w:b/>
                <w:bCs/>
                <w:sz w:val="16"/>
                <w:szCs w:val="16"/>
              </w:rPr>
            </w:pPr>
            <w:r w:rsidRPr="00CC3C66">
              <w:rPr>
                <w:b/>
                <w:bCs/>
                <w:sz w:val="16"/>
                <w:szCs w:val="16"/>
              </w:rPr>
              <w:t>45</w:t>
            </w:r>
          </w:p>
        </w:tc>
        <w:tc>
          <w:tcPr>
            <w:tcW w:w="1544" w:type="dxa"/>
            <w:hideMark/>
          </w:tcPr>
          <w:p w:rsidR="00EB4327" w:rsidRPr="00CC3C66" w:rsidRDefault="00EB4327" w:rsidP="00B43049">
            <w:pPr>
              <w:jc w:val="center"/>
              <w:rPr>
                <w:sz w:val="16"/>
                <w:szCs w:val="16"/>
              </w:rPr>
            </w:pPr>
            <w:r w:rsidRPr="00CC3C66">
              <w:rPr>
                <w:sz w:val="16"/>
                <w:szCs w:val="16"/>
              </w:rPr>
              <w:t>16</w:t>
            </w:r>
          </w:p>
        </w:tc>
        <w:tc>
          <w:tcPr>
            <w:tcW w:w="1540" w:type="dxa"/>
            <w:hideMark/>
          </w:tcPr>
          <w:p w:rsidR="00EB4327" w:rsidRPr="00CC3C66" w:rsidRDefault="00EB4327" w:rsidP="00B43049">
            <w:pPr>
              <w:jc w:val="center"/>
              <w:rPr>
                <w:sz w:val="16"/>
                <w:szCs w:val="16"/>
              </w:rPr>
            </w:pPr>
            <w:r w:rsidRPr="00CC3C66">
              <w:rPr>
                <w:sz w:val="16"/>
                <w:szCs w:val="16"/>
              </w:rPr>
              <w:t>13</w:t>
            </w:r>
          </w:p>
        </w:tc>
        <w:tc>
          <w:tcPr>
            <w:tcW w:w="1601" w:type="dxa"/>
            <w:hideMark/>
          </w:tcPr>
          <w:p w:rsidR="00EB4327" w:rsidRPr="00CC3C66" w:rsidRDefault="00EB4327" w:rsidP="00B43049">
            <w:pPr>
              <w:jc w:val="center"/>
              <w:rPr>
                <w:sz w:val="16"/>
                <w:szCs w:val="16"/>
              </w:rPr>
            </w:pPr>
            <w:r w:rsidRPr="00CC3C66">
              <w:rPr>
                <w:sz w:val="16"/>
                <w:szCs w:val="16"/>
              </w:rPr>
              <w:t>16</w:t>
            </w:r>
          </w:p>
        </w:tc>
      </w:tr>
    </w:tbl>
    <w:p w:rsidR="00EB4327" w:rsidRDefault="00EB4327" w:rsidP="00EB4327">
      <w:pPr>
        <w:ind w:left="1440" w:hanging="1440"/>
        <w:rPr>
          <w:b/>
          <w:sz w:val="16"/>
          <w:szCs w:val="16"/>
        </w:rPr>
      </w:pPr>
    </w:p>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625E8D">
        <w:rPr>
          <w:noProof/>
        </w:rPr>
        <w:t>12</w:t>
      </w:r>
      <w:r w:rsidRPr="00C80E86">
        <w:rPr>
          <w:noProof/>
        </w:rPr>
        <w:t>:</w:t>
      </w:r>
      <w:r>
        <w:t xml:space="preserve"> </w:t>
      </w:r>
      <w:r w:rsidRPr="0061319E">
        <w:t>Ποσοστιαία κατανομή εντάξεων και πληρωμών (έως 31.12.201</w:t>
      </w:r>
      <w:r>
        <w:t>7</w:t>
      </w:r>
      <w:r w:rsidRPr="0061319E">
        <w:t>) δράσεων που υποβλήθηκαν στο πλαίσιο των Προσκλήσεων για τα Ευρωπαϊκά Δίκτυα ERA NETS</w:t>
      </w:r>
    </w:p>
    <w:tbl>
      <w:tblPr>
        <w:tblStyle w:val="TableGrid1"/>
        <w:tblW w:w="944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804"/>
        <w:gridCol w:w="1522"/>
        <w:gridCol w:w="1522"/>
        <w:gridCol w:w="1594"/>
      </w:tblGrid>
      <w:tr w:rsidR="00EB4327" w:rsidRPr="008B45A0" w:rsidTr="00B43049">
        <w:trPr>
          <w:trHeight w:val="510"/>
          <w:jc w:val="center"/>
        </w:trPr>
        <w:tc>
          <w:tcPr>
            <w:tcW w:w="4804" w:type="dxa"/>
            <w:shd w:val="clear" w:color="auto" w:fill="800000"/>
            <w:vAlign w:val="center"/>
            <w:hideMark/>
          </w:tcPr>
          <w:p w:rsidR="00EB4327" w:rsidRPr="00DF43D2" w:rsidRDefault="00EB4327" w:rsidP="00B43049">
            <w:pPr>
              <w:jc w:val="center"/>
              <w:rPr>
                <w:rFonts w:cs="Calibri"/>
                <w:b/>
                <w:bCs/>
                <w:color w:val="C00000"/>
                <w:sz w:val="16"/>
                <w:szCs w:val="16"/>
              </w:rPr>
            </w:pPr>
            <w:r>
              <w:rPr>
                <w:rFonts w:cs="Calibri"/>
                <w:b/>
                <w:bCs/>
                <w:sz w:val="16"/>
                <w:szCs w:val="16"/>
              </w:rPr>
              <w:t>Ευρωπαϊκά Δίκτυα ERA NETS</w:t>
            </w:r>
          </w:p>
        </w:tc>
        <w:tc>
          <w:tcPr>
            <w:tcW w:w="1522"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Περισσότερο Ανεπτυγμένες Περιφέρειες</w:t>
            </w:r>
          </w:p>
        </w:tc>
        <w:tc>
          <w:tcPr>
            <w:tcW w:w="1522"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Περιφέρειες σε Μετάβαση</w:t>
            </w:r>
          </w:p>
        </w:tc>
        <w:tc>
          <w:tcPr>
            <w:tcW w:w="1594" w:type="dxa"/>
            <w:shd w:val="clear" w:color="auto" w:fill="800000"/>
            <w:vAlign w:val="center"/>
            <w:hideMark/>
          </w:tcPr>
          <w:p w:rsidR="00EB4327" w:rsidRPr="00DF43D2" w:rsidRDefault="00EB4327" w:rsidP="00B43049">
            <w:pPr>
              <w:jc w:val="center"/>
              <w:rPr>
                <w:rFonts w:cs="Calibri"/>
                <w:b/>
                <w:bCs/>
                <w:sz w:val="16"/>
                <w:szCs w:val="16"/>
              </w:rPr>
            </w:pPr>
            <w:r w:rsidRPr="00DF43D2">
              <w:rPr>
                <w:rFonts w:cs="Calibri"/>
                <w:b/>
                <w:bCs/>
                <w:sz w:val="16"/>
                <w:szCs w:val="16"/>
              </w:rPr>
              <w:t>Λιγότερο Ανεπτυγμένες Περιφέρειες</w:t>
            </w:r>
          </w:p>
        </w:tc>
      </w:tr>
      <w:tr w:rsidR="00EB4327" w:rsidRPr="008B45A0" w:rsidTr="00B43049">
        <w:trPr>
          <w:trHeight w:val="645"/>
          <w:jc w:val="center"/>
        </w:trPr>
        <w:tc>
          <w:tcPr>
            <w:tcW w:w="4804" w:type="dxa"/>
            <w:hideMark/>
          </w:tcPr>
          <w:p w:rsidR="00EB4327" w:rsidRPr="00DF43D2" w:rsidRDefault="00EB4327" w:rsidP="00B43049">
            <w:pPr>
              <w:rPr>
                <w:rFonts w:cs="Calibri"/>
                <w:sz w:val="16"/>
                <w:szCs w:val="16"/>
              </w:rPr>
            </w:pPr>
            <w:r w:rsidRPr="00DF43D2">
              <w:rPr>
                <w:rFonts w:cs="Calibri"/>
                <w:sz w:val="16"/>
                <w:szCs w:val="16"/>
              </w:rPr>
              <w:t>Ποσοστό προϋπ/σμού της Πρόσκλησης που αφορά στην κατηγορία Περιφέρειας</w:t>
            </w:r>
          </w:p>
        </w:tc>
        <w:tc>
          <w:tcPr>
            <w:tcW w:w="1522" w:type="dxa"/>
            <w:vAlign w:val="center"/>
            <w:hideMark/>
          </w:tcPr>
          <w:p w:rsidR="00EB4327" w:rsidRPr="00CC3C66" w:rsidRDefault="00EB4327" w:rsidP="00B43049">
            <w:pPr>
              <w:jc w:val="center"/>
              <w:rPr>
                <w:sz w:val="16"/>
                <w:szCs w:val="16"/>
              </w:rPr>
            </w:pPr>
            <w:r w:rsidRPr="00CC3C66">
              <w:rPr>
                <w:sz w:val="16"/>
                <w:szCs w:val="16"/>
              </w:rPr>
              <w:t>31,11%</w:t>
            </w:r>
          </w:p>
        </w:tc>
        <w:tc>
          <w:tcPr>
            <w:tcW w:w="1522" w:type="dxa"/>
            <w:vAlign w:val="center"/>
            <w:hideMark/>
          </w:tcPr>
          <w:p w:rsidR="00EB4327" w:rsidRPr="00CC3C66" w:rsidRDefault="00EB4327" w:rsidP="00B43049">
            <w:pPr>
              <w:jc w:val="center"/>
              <w:rPr>
                <w:sz w:val="16"/>
                <w:szCs w:val="16"/>
              </w:rPr>
            </w:pPr>
            <w:r w:rsidRPr="00CC3C66">
              <w:rPr>
                <w:sz w:val="16"/>
                <w:szCs w:val="16"/>
              </w:rPr>
              <w:t>21,11%</w:t>
            </w:r>
          </w:p>
        </w:tc>
        <w:tc>
          <w:tcPr>
            <w:tcW w:w="1594" w:type="dxa"/>
            <w:vAlign w:val="center"/>
            <w:hideMark/>
          </w:tcPr>
          <w:p w:rsidR="00EB4327" w:rsidRPr="00CC3C66" w:rsidRDefault="00EB4327" w:rsidP="00B43049">
            <w:pPr>
              <w:jc w:val="center"/>
              <w:rPr>
                <w:sz w:val="16"/>
                <w:szCs w:val="16"/>
              </w:rPr>
            </w:pPr>
            <w:r w:rsidRPr="00CC3C66">
              <w:rPr>
                <w:sz w:val="16"/>
                <w:szCs w:val="16"/>
              </w:rPr>
              <w:t>47,78%</w:t>
            </w:r>
          </w:p>
        </w:tc>
      </w:tr>
      <w:tr w:rsidR="00EB4327" w:rsidRPr="008B45A0" w:rsidTr="00B43049">
        <w:trPr>
          <w:trHeight w:val="510"/>
          <w:jc w:val="center"/>
        </w:trPr>
        <w:tc>
          <w:tcPr>
            <w:tcW w:w="4804" w:type="dxa"/>
            <w:hideMark/>
          </w:tcPr>
          <w:p w:rsidR="00EB4327" w:rsidRPr="00DF43D2" w:rsidRDefault="00EB4327" w:rsidP="00B43049">
            <w:pPr>
              <w:rPr>
                <w:rFonts w:cs="Calibri"/>
                <w:sz w:val="16"/>
                <w:szCs w:val="16"/>
              </w:rPr>
            </w:pPr>
            <w:r w:rsidRPr="00DF43D2">
              <w:rPr>
                <w:rFonts w:cs="Calibri"/>
                <w:sz w:val="16"/>
                <w:szCs w:val="16"/>
              </w:rPr>
              <w:t xml:space="preserve">Ποσοστό προϋπ/σμού ενταγμένων </w:t>
            </w:r>
            <w:r>
              <w:rPr>
                <w:rFonts w:cs="Calibri"/>
                <w:sz w:val="16"/>
                <w:szCs w:val="16"/>
              </w:rPr>
              <w:t>έργων ανά κατηγορία Περιφερειών</w:t>
            </w:r>
          </w:p>
        </w:tc>
        <w:tc>
          <w:tcPr>
            <w:tcW w:w="1522" w:type="dxa"/>
            <w:vAlign w:val="center"/>
            <w:hideMark/>
          </w:tcPr>
          <w:p w:rsidR="00EB4327" w:rsidRPr="00CC3C66" w:rsidRDefault="00EB4327" w:rsidP="00B43049">
            <w:pPr>
              <w:jc w:val="center"/>
              <w:rPr>
                <w:sz w:val="16"/>
                <w:szCs w:val="16"/>
              </w:rPr>
            </w:pPr>
            <w:r w:rsidRPr="00CC3C66">
              <w:rPr>
                <w:sz w:val="16"/>
                <w:szCs w:val="16"/>
              </w:rPr>
              <w:t>90,62%</w:t>
            </w:r>
          </w:p>
        </w:tc>
        <w:tc>
          <w:tcPr>
            <w:tcW w:w="1522" w:type="dxa"/>
            <w:vAlign w:val="center"/>
            <w:hideMark/>
          </w:tcPr>
          <w:p w:rsidR="00EB4327" w:rsidRPr="00CC3C66" w:rsidRDefault="00EB4327" w:rsidP="00B43049">
            <w:pPr>
              <w:jc w:val="center"/>
              <w:rPr>
                <w:sz w:val="16"/>
                <w:szCs w:val="16"/>
              </w:rPr>
            </w:pPr>
            <w:r w:rsidRPr="00CC3C66">
              <w:rPr>
                <w:sz w:val="16"/>
                <w:szCs w:val="16"/>
              </w:rPr>
              <w:t>81,26%</w:t>
            </w:r>
          </w:p>
        </w:tc>
        <w:tc>
          <w:tcPr>
            <w:tcW w:w="1594" w:type="dxa"/>
            <w:vAlign w:val="center"/>
            <w:hideMark/>
          </w:tcPr>
          <w:p w:rsidR="00EB4327" w:rsidRPr="00CC3C66" w:rsidRDefault="00EB4327" w:rsidP="00B43049">
            <w:pPr>
              <w:jc w:val="center"/>
              <w:rPr>
                <w:sz w:val="16"/>
                <w:szCs w:val="16"/>
              </w:rPr>
            </w:pPr>
            <w:r w:rsidRPr="00CC3C66">
              <w:rPr>
                <w:sz w:val="16"/>
                <w:szCs w:val="16"/>
              </w:rPr>
              <w:t>49,27%</w:t>
            </w:r>
          </w:p>
        </w:tc>
      </w:tr>
      <w:tr w:rsidR="00EB4327" w:rsidRPr="008B45A0" w:rsidTr="00B43049">
        <w:trPr>
          <w:trHeight w:val="690"/>
          <w:jc w:val="center"/>
        </w:trPr>
        <w:tc>
          <w:tcPr>
            <w:tcW w:w="4804" w:type="dxa"/>
            <w:hideMark/>
          </w:tcPr>
          <w:p w:rsidR="00EB4327" w:rsidRPr="00DF43D2" w:rsidRDefault="00EB4327" w:rsidP="00B43049">
            <w:pPr>
              <w:rPr>
                <w:rFonts w:cs="Calibri"/>
                <w:color w:val="000000"/>
                <w:sz w:val="16"/>
                <w:szCs w:val="16"/>
              </w:rPr>
            </w:pPr>
            <w:r w:rsidRPr="00DF43D2">
              <w:rPr>
                <w:rFonts w:cs="Calibri"/>
                <w:color w:val="000000"/>
                <w:sz w:val="16"/>
                <w:szCs w:val="16"/>
              </w:rPr>
              <w:t xml:space="preserve">Κατανομή του προϋπ/σμού (ΔΔ) των ενταγμένων </w:t>
            </w:r>
            <w:r>
              <w:rPr>
                <w:rFonts w:cs="Calibri"/>
                <w:color w:val="000000"/>
                <w:sz w:val="16"/>
                <w:szCs w:val="16"/>
              </w:rPr>
              <w:t>έργων ανά κατηγορία Περιφερειών</w:t>
            </w:r>
          </w:p>
        </w:tc>
        <w:tc>
          <w:tcPr>
            <w:tcW w:w="1522" w:type="dxa"/>
            <w:vAlign w:val="center"/>
            <w:hideMark/>
          </w:tcPr>
          <w:p w:rsidR="00EB4327" w:rsidRPr="00CC3C66" w:rsidRDefault="00EB4327" w:rsidP="00B43049">
            <w:pPr>
              <w:jc w:val="center"/>
              <w:rPr>
                <w:sz w:val="16"/>
                <w:szCs w:val="16"/>
              </w:rPr>
            </w:pPr>
            <w:r w:rsidRPr="00CC3C66">
              <w:rPr>
                <w:sz w:val="16"/>
                <w:szCs w:val="16"/>
              </w:rPr>
              <w:t>40,93%</w:t>
            </w:r>
          </w:p>
        </w:tc>
        <w:tc>
          <w:tcPr>
            <w:tcW w:w="1522" w:type="dxa"/>
            <w:vAlign w:val="center"/>
            <w:hideMark/>
          </w:tcPr>
          <w:p w:rsidR="00EB4327" w:rsidRPr="00CC3C66" w:rsidRDefault="00EB4327" w:rsidP="00B43049">
            <w:pPr>
              <w:jc w:val="center"/>
              <w:rPr>
                <w:sz w:val="16"/>
                <w:szCs w:val="16"/>
              </w:rPr>
            </w:pPr>
            <w:r w:rsidRPr="00CC3C66">
              <w:rPr>
                <w:sz w:val="16"/>
                <w:szCs w:val="16"/>
              </w:rPr>
              <w:t>24,90%</w:t>
            </w:r>
          </w:p>
        </w:tc>
        <w:tc>
          <w:tcPr>
            <w:tcW w:w="1594" w:type="dxa"/>
            <w:vAlign w:val="center"/>
            <w:hideMark/>
          </w:tcPr>
          <w:p w:rsidR="00EB4327" w:rsidRPr="00CC3C66" w:rsidRDefault="00EB4327" w:rsidP="00B43049">
            <w:pPr>
              <w:jc w:val="center"/>
              <w:rPr>
                <w:sz w:val="16"/>
                <w:szCs w:val="16"/>
              </w:rPr>
            </w:pPr>
            <w:r w:rsidRPr="00CC3C66">
              <w:rPr>
                <w:sz w:val="16"/>
                <w:szCs w:val="16"/>
              </w:rPr>
              <w:t>34,17%</w:t>
            </w:r>
          </w:p>
        </w:tc>
      </w:tr>
      <w:tr w:rsidR="00EB4327" w:rsidRPr="008B45A0" w:rsidTr="00B43049">
        <w:trPr>
          <w:trHeight w:val="510"/>
          <w:jc w:val="center"/>
        </w:trPr>
        <w:tc>
          <w:tcPr>
            <w:tcW w:w="4804" w:type="dxa"/>
            <w:hideMark/>
          </w:tcPr>
          <w:p w:rsidR="00EB4327" w:rsidRPr="00DF43D2" w:rsidRDefault="00EB4327" w:rsidP="00B43049">
            <w:pPr>
              <w:rPr>
                <w:rFonts w:cs="Calibri"/>
                <w:color w:val="000000"/>
                <w:sz w:val="16"/>
                <w:szCs w:val="16"/>
              </w:rPr>
            </w:pPr>
            <w:r w:rsidRPr="00DF43D2">
              <w:rPr>
                <w:rFonts w:cs="Calibri"/>
                <w:color w:val="000000"/>
                <w:sz w:val="16"/>
                <w:szCs w:val="16"/>
              </w:rPr>
              <w:t>Κατανομή των δαπανών (Δ</w:t>
            </w:r>
            <w:r>
              <w:rPr>
                <w:rFonts w:cs="Calibri"/>
                <w:color w:val="000000"/>
                <w:sz w:val="16"/>
                <w:szCs w:val="16"/>
              </w:rPr>
              <w:t xml:space="preserve">Δ) στις κατηγορίες Περιφερειών </w:t>
            </w:r>
          </w:p>
        </w:tc>
        <w:tc>
          <w:tcPr>
            <w:tcW w:w="1522" w:type="dxa"/>
            <w:vAlign w:val="center"/>
            <w:hideMark/>
          </w:tcPr>
          <w:p w:rsidR="00EB4327" w:rsidRPr="00CC3C66" w:rsidRDefault="00EB4327" w:rsidP="00B43049">
            <w:pPr>
              <w:jc w:val="center"/>
              <w:rPr>
                <w:sz w:val="16"/>
                <w:szCs w:val="16"/>
              </w:rPr>
            </w:pPr>
            <w:r w:rsidRPr="00CC3C66">
              <w:rPr>
                <w:sz w:val="16"/>
                <w:szCs w:val="16"/>
              </w:rPr>
              <w:t>0,00%</w:t>
            </w:r>
          </w:p>
        </w:tc>
        <w:tc>
          <w:tcPr>
            <w:tcW w:w="1522" w:type="dxa"/>
            <w:vAlign w:val="center"/>
            <w:hideMark/>
          </w:tcPr>
          <w:p w:rsidR="00EB4327" w:rsidRPr="00CC3C66" w:rsidRDefault="00EB4327" w:rsidP="00B43049">
            <w:pPr>
              <w:jc w:val="center"/>
              <w:rPr>
                <w:sz w:val="16"/>
                <w:szCs w:val="16"/>
              </w:rPr>
            </w:pPr>
            <w:r w:rsidRPr="00CC3C66">
              <w:rPr>
                <w:sz w:val="16"/>
                <w:szCs w:val="16"/>
              </w:rPr>
              <w:t>0,00%</w:t>
            </w:r>
          </w:p>
        </w:tc>
        <w:tc>
          <w:tcPr>
            <w:tcW w:w="1594" w:type="dxa"/>
            <w:vAlign w:val="center"/>
            <w:hideMark/>
          </w:tcPr>
          <w:p w:rsidR="00EB4327" w:rsidRPr="00CC3C66" w:rsidRDefault="00EB4327" w:rsidP="00B43049">
            <w:pPr>
              <w:jc w:val="center"/>
              <w:rPr>
                <w:sz w:val="16"/>
                <w:szCs w:val="16"/>
              </w:rPr>
            </w:pPr>
            <w:r w:rsidRPr="00CC3C66">
              <w:rPr>
                <w:sz w:val="16"/>
                <w:szCs w:val="16"/>
              </w:rPr>
              <w:t>0,00%</w:t>
            </w:r>
          </w:p>
        </w:tc>
      </w:tr>
    </w:tbl>
    <w:p w:rsidR="00EB4327" w:rsidRPr="00A113F3" w:rsidRDefault="00EB4327" w:rsidP="00EB4327">
      <w:pPr>
        <w:spacing w:after="160" w:line="259" w:lineRule="auto"/>
      </w:pPr>
    </w:p>
    <w:p w:rsidR="00EB4327" w:rsidRPr="00A113F3" w:rsidRDefault="00EB4327" w:rsidP="00EB4327">
      <w:r w:rsidRPr="00A113F3">
        <w:lastRenderedPageBreak/>
        <w:t xml:space="preserve">Ως προς τους </w:t>
      </w:r>
      <w:r w:rsidR="00537A79">
        <w:t>τ</w:t>
      </w:r>
      <w:r w:rsidRPr="00A113F3">
        <w:t xml:space="preserve">ομείς </w:t>
      </w:r>
      <w:r w:rsidR="00537A79">
        <w:t>π</w:t>
      </w:r>
      <w:r w:rsidRPr="00A113F3">
        <w:t xml:space="preserve">ροτεραιότητας της RIS3, από την επεξεργασία των </w:t>
      </w:r>
      <w:r w:rsidR="00BB4527">
        <w:t>διαθέσιμων</w:t>
      </w:r>
      <w:r w:rsidRPr="00A113F3">
        <w:t xml:space="preserve"> στοιχείων για την πρώτη πρόσκληση «Δράση Εθνικής Εμβέλειας «Ευρωπαϊκή Ε&amp;Τ Συνεργασία - Πράξη Επιχορήγησης Ελληνικών φορέων που συμμετείχαν επιτυχώς σε Κοινές Προκηρύξεις Υποβολής Προτάσεων των Ευρωπαϊκών Δικτύων ERA NETS»» προκύπτουν τα εξής:</w:t>
      </w:r>
    </w:p>
    <w:p w:rsidR="00AF2B22" w:rsidRPr="001C30F7" w:rsidRDefault="00AF2B22" w:rsidP="00AF2B22">
      <w:pPr>
        <w:spacing w:after="160" w:line="259" w:lineRule="auto"/>
        <w:rPr>
          <w:highlight w:val="yellow"/>
        </w:rPr>
      </w:pPr>
      <w:r w:rsidRPr="001C30F7">
        <w:t>Ο μεγαλύτερος αριθμός των ενταγμένων πράξεων αφορά στον τομέα «</w:t>
      </w:r>
      <w:r w:rsidR="00576EF0" w:rsidRPr="001C30F7">
        <w:t>Βιοεπιστήμες / Υγεία &amp; Φάρμακα</w:t>
      </w:r>
      <w:r w:rsidRPr="001C30F7">
        <w:t>» (</w:t>
      </w:r>
      <w:r w:rsidR="00576EF0" w:rsidRPr="001C30F7">
        <w:t>13</w:t>
      </w:r>
      <w:r w:rsidRPr="001C30F7">
        <w:t xml:space="preserve"> πράξεις) και ακολουθούν οι τομείς «Ενέργεια» (8 πράξεις), </w:t>
      </w:r>
      <w:r w:rsidR="00576EF0" w:rsidRPr="001C30F7">
        <w:t xml:space="preserve">«Αγροδιατροφή» (4 πράξεις), </w:t>
      </w:r>
      <w:r w:rsidRPr="001C30F7">
        <w:t>«Περιβάλλον και βιώσιμη ανάπτυξη - Κλιματική Αλλαγή» (</w:t>
      </w:r>
      <w:r w:rsidR="00576EF0" w:rsidRPr="001C30F7">
        <w:t>4</w:t>
      </w:r>
      <w:r w:rsidRPr="001C30F7">
        <w:t xml:space="preserve"> πράξεις</w:t>
      </w:r>
      <w:bookmarkStart w:id="25" w:name="_Hlk21439483"/>
      <w:r w:rsidRPr="001C30F7">
        <w:t xml:space="preserve">), «Διεπιστημονικές παρεμβάσεις που σχετίζονται με τον στρατηγικό άξονα 3 της RIS» </w:t>
      </w:r>
      <w:bookmarkEnd w:id="25"/>
      <w:r w:rsidR="00576EF0" w:rsidRPr="001C30F7">
        <w:t xml:space="preserve">(2 πράξεις) </w:t>
      </w:r>
      <w:r w:rsidRPr="001C30F7">
        <w:t>και «Τεχνολογίες πληροφορικής και επικοινωνιών» (1</w:t>
      </w:r>
      <w:r w:rsidR="00576EF0" w:rsidRPr="001C30F7">
        <w:t xml:space="preserve"> </w:t>
      </w:r>
      <w:r w:rsidRPr="001C30F7">
        <w:t>πράξη). Δεν υπάρχει κανένα ενταγμένο έργο στους τομείς προτεραιότητας «Μεταφορές και Εφοδιαστική Αλυ</w:t>
      </w:r>
      <w:r w:rsidR="00576EF0" w:rsidRPr="001C30F7">
        <w:t>σ</w:t>
      </w:r>
      <w:r w:rsidRPr="001C30F7">
        <w:t>ί</w:t>
      </w:r>
      <w:r w:rsidR="00576EF0" w:rsidRPr="001C30F7">
        <w:t>δ</w:t>
      </w:r>
      <w:r w:rsidRPr="001C30F7">
        <w:t>α (Logistics», «Υλικά-Κατασκευές» και «Πολιτισμός - Τουρισμός -Πολιτιστικές και Δημιουργικές Βιομηχανίες».</w:t>
      </w:r>
    </w:p>
    <w:p w:rsidR="00C9627D" w:rsidRPr="001C30F7" w:rsidRDefault="00576EF0" w:rsidP="00AF2B22">
      <w:pPr>
        <w:spacing w:after="160" w:line="259" w:lineRule="auto"/>
      </w:pPr>
      <w:r w:rsidRPr="001C30F7">
        <w:t xml:space="preserve">Όσον αφορά </w:t>
      </w:r>
      <w:r w:rsidR="00537A79">
        <w:t>σ</w:t>
      </w:r>
      <w:r w:rsidRPr="001C30F7">
        <w:t xml:space="preserve">τον </w:t>
      </w:r>
      <w:r w:rsidR="00537A79">
        <w:t>π</w:t>
      </w:r>
      <w:r w:rsidRPr="001C30F7">
        <w:t>ροϋπολογισμό δημόσιας δαπάνης, ποσοστό 41,47% του προϋπολογισμού των ενταγμένων πράξεων συγκεντρώνεται στον τομέα προτεραιότητας «Βιοεπιστήμες / Υγεία &amp; Φάρμακα», και ακολουθούν οι τομείς «Ενέργεια» με ποσοστό 24,28%, «Περιβάλλον και βιώσιμη ανάπτυξη - Κλιματική Αλλαγή» με ποσο</w:t>
      </w:r>
      <w:r w:rsidR="001C30F7" w:rsidRPr="001C30F7">
        <w:t>σ</w:t>
      </w:r>
      <w:r w:rsidRPr="001C30F7">
        <w:t xml:space="preserve">τό 12,99%, «Αγροδιατροφή» </w:t>
      </w:r>
      <w:r w:rsidR="001C30F7" w:rsidRPr="001C30F7">
        <w:t xml:space="preserve">με ποσοστό </w:t>
      </w:r>
      <w:r w:rsidRPr="001C30F7">
        <w:t>12,61%</w:t>
      </w:r>
      <w:r w:rsidR="001C30F7" w:rsidRPr="001C30F7">
        <w:t xml:space="preserve">, «Διεπιστημονικές παρεμβάσεις που σχετίζονται με τον στρατηγικό άξονα 3 της RIS» με ποσοστό 6,71% και «Τεχνολογίες πληροφορικής και επικοινωνιών» με ποσοστό 1,94%. </w:t>
      </w:r>
      <w:r w:rsidRPr="001C30F7">
        <w:t>Συνολικά, ως προς τις κατηγορίες Περιφερειών, ποσοστό 24,90% του προϋπολογισμού των ενταγμένων έργων αφορά στις Περιφέρειες σε μετάβαση, ποσοστό 40,93% στις περισσότερο ανεπτυγμένες Περιφέρειες και το υπόλοιπο 34,17% στις λιγότερο ανεπτυγμένες Περιφέρειες.</w:t>
      </w:r>
    </w:p>
    <w:p w:rsidR="00C9627D" w:rsidRDefault="00C9627D" w:rsidP="00AF2B22">
      <w:pPr>
        <w:spacing w:after="160" w:line="259" w:lineRule="auto"/>
        <w:rPr>
          <w:color w:val="0070C0"/>
        </w:rPr>
      </w:pPr>
    </w:p>
    <w:p w:rsidR="00C9627D" w:rsidRDefault="00C9627D" w:rsidP="00AF2B22">
      <w:pPr>
        <w:spacing w:after="160" w:line="259" w:lineRule="auto"/>
        <w:rPr>
          <w:color w:val="0070C0"/>
        </w:rPr>
      </w:pPr>
    </w:p>
    <w:p w:rsidR="00AF2B22" w:rsidRPr="00813894" w:rsidRDefault="00AF2B22" w:rsidP="00AF2B22">
      <w:pPr>
        <w:spacing w:after="160" w:line="259" w:lineRule="auto"/>
        <w:rPr>
          <w:color w:val="0070C0"/>
        </w:rPr>
        <w:sectPr w:rsidR="00AF2B22" w:rsidRPr="00813894" w:rsidSect="005476F0">
          <w:headerReference w:type="default" r:id="rId42"/>
          <w:footerReference w:type="default" r:id="rId43"/>
          <w:pgSz w:w="12240" w:h="15840"/>
          <w:pgMar w:top="1440" w:right="1247" w:bottom="1440" w:left="1247" w:header="720" w:footer="720" w:gutter="0"/>
          <w:cols w:space="720"/>
          <w:docGrid w:linePitch="360"/>
        </w:sectPr>
      </w:pPr>
    </w:p>
    <w:p w:rsidR="00EB4327" w:rsidRPr="0061319E" w:rsidRDefault="00EB4327" w:rsidP="00EB4327">
      <w:pPr>
        <w:pStyle w:val="Caption"/>
      </w:pPr>
      <w:r w:rsidRPr="001C30F7">
        <w:lastRenderedPageBreak/>
        <w:t xml:space="preserve">Πίνακας </w:t>
      </w:r>
      <w:r w:rsidRPr="001C30F7">
        <w:rPr>
          <w:noProof/>
        </w:rPr>
        <w:fldChar w:fldCharType="begin"/>
      </w:r>
      <w:r w:rsidRPr="001C30F7">
        <w:rPr>
          <w:noProof/>
        </w:rPr>
        <w:instrText xml:space="preserve"> STYLEREF 1 \s </w:instrText>
      </w:r>
      <w:r w:rsidRPr="001C30F7">
        <w:rPr>
          <w:noProof/>
        </w:rPr>
        <w:fldChar w:fldCharType="separate"/>
      </w:r>
      <w:r w:rsidR="00332E24" w:rsidRPr="001C30F7">
        <w:rPr>
          <w:noProof/>
        </w:rPr>
        <w:t>3</w:t>
      </w:r>
      <w:r w:rsidRPr="001C30F7">
        <w:rPr>
          <w:noProof/>
        </w:rPr>
        <w:fldChar w:fldCharType="end"/>
      </w:r>
      <w:r w:rsidRPr="001C30F7">
        <w:noBreakHyphen/>
      </w:r>
      <w:r w:rsidR="00EF1252" w:rsidRPr="001C30F7">
        <w:rPr>
          <w:noProof/>
        </w:rPr>
        <w:t>13</w:t>
      </w:r>
      <w:r w:rsidRPr="001C30F7">
        <w:rPr>
          <w:noProof/>
        </w:rPr>
        <w:t>:</w:t>
      </w:r>
      <w:r w:rsidRPr="001C30F7">
        <w:t xml:space="preserve"> Στοιχεία εντάξεων και πληρωμών (έως 31.12.2017) δράσεων που υποβλήθηκαν στο πλαίσιο των Προσκλήσεων για τα Ευρωπαϊκά Δίκτυα ERA NETS ανά Τομέα Προτεραιότητας της RIS3</w:t>
      </w:r>
    </w:p>
    <w:p w:rsidR="00EB4327" w:rsidRDefault="001C30F7" w:rsidP="00EB4327">
      <w:pPr>
        <w:spacing w:after="160" w:line="259" w:lineRule="auto"/>
      </w:pPr>
      <w:r w:rsidRPr="001C30F7">
        <w:rPr>
          <w:noProof/>
        </w:rPr>
        <w:drawing>
          <wp:inline distT="0" distB="0" distL="0" distR="0">
            <wp:extent cx="8229600" cy="209359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29600" cy="2093595"/>
                    </a:xfrm>
                    <a:prstGeom prst="rect">
                      <a:avLst/>
                    </a:prstGeom>
                    <a:noFill/>
                    <a:ln>
                      <a:noFill/>
                    </a:ln>
                  </pic:spPr>
                </pic:pic>
              </a:graphicData>
            </a:graphic>
          </wp:inline>
        </w:drawing>
      </w:r>
    </w:p>
    <w:p w:rsidR="00EB4327" w:rsidRPr="0061319E" w:rsidRDefault="00EB4327" w:rsidP="00EB4327">
      <w:pPr>
        <w:pStyle w:val="Caption"/>
      </w:pPr>
      <w:r w:rsidRPr="001C30F7">
        <w:t xml:space="preserve">Πίνακας </w:t>
      </w:r>
      <w:r w:rsidRPr="001C30F7">
        <w:rPr>
          <w:noProof/>
        </w:rPr>
        <w:fldChar w:fldCharType="begin"/>
      </w:r>
      <w:r w:rsidRPr="001C30F7">
        <w:rPr>
          <w:noProof/>
        </w:rPr>
        <w:instrText xml:space="preserve"> STYLEREF 1 \s </w:instrText>
      </w:r>
      <w:r w:rsidRPr="001C30F7">
        <w:rPr>
          <w:noProof/>
        </w:rPr>
        <w:fldChar w:fldCharType="separate"/>
      </w:r>
      <w:r w:rsidR="00332E24" w:rsidRPr="001C30F7">
        <w:rPr>
          <w:noProof/>
        </w:rPr>
        <w:t>3</w:t>
      </w:r>
      <w:r w:rsidRPr="001C30F7">
        <w:rPr>
          <w:noProof/>
        </w:rPr>
        <w:fldChar w:fldCharType="end"/>
      </w:r>
      <w:r w:rsidRPr="001C30F7">
        <w:noBreakHyphen/>
      </w:r>
      <w:r w:rsidR="00625E8D" w:rsidRPr="001C30F7">
        <w:rPr>
          <w:noProof/>
        </w:rPr>
        <w:t>14</w:t>
      </w:r>
      <w:r w:rsidRPr="001C30F7">
        <w:rPr>
          <w:noProof/>
        </w:rPr>
        <w:t>:</w:t>
      </w:r>
      <w:r w:rsidRPr="001C30F7">
        <w:t xml:space="preserve"> Ποσοστιαία κατανομή των εντάξεων και πληρωμών (έως 31.12.2017) δράσεων που υποβλήθηκαν στο πλαίσιο των Προσκλήσεων για τα Ευρωπαϊκά Δίκτυα ERA NETS ανά Τομέα Προτεραιότητας της RIS3</w:t>
      </w:r>
    </w:p>
    <w:p w:rsidR="00EB4327" w:rsidRDefault="00EB4327" w:rsidP="00EB4327">
      <w:pPr>
        <w:spacing w:after="160" w:line="259" w:lineRule="auto"/>
      </w:pPr>
      <w:r w:rsidRPr="00F53B40">
        <w:rPr>
          <w:noProof/>
          <w:lang w:eastAsia="el-GR"/>
        </w:rPr>
        <w:drawing>
          <wp:inline distT="0" distB="0" distL="0" distR="0" wp14:anchorId="319348E7" wp14:editId="7A60854E">
            <wp:extent cx="8229600" cy="12960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29600" cy="1296035"/>
                    </a:xfrm>
                    <a:prstGeom prst="rect">
                      <a:avLst/>
                    </a:prstGeom>
                    <a:noFill/>
                    <a:ln>
                      <a:noFill/>
                    </a:ln>
                  </pic:spPr>
                </pic:pic>
              </a:graphicData>
            </a:graphic>
          </wp:inline>
        </w:drawing>
      </w:r>
    </w:p>
    <w:p w:rsidR="00C9627D" w:rsidRDefault="00C9627D" w:rsidP="00EB4327">
      <w:pPr>
        <w:spacing w:after="160" w:line="259" w:lineRule="auto"/>
      </w:pPr>
    </w:p>
    <w:p w:rsidR="00C9627D" w:rsidRDefault="00C9627D" w:rsidP="00EB4327">
      <w:pPr>
        <w:spacing w:after="160" w:line="259" w:lineRule="auto"/>
      </w:pPr>
    </w:p>
    <w:p w:rsidR="00C9627D" w:rsidRDefault="00C9627D" w:rsidP="00EB4327">
      <w:pPr>
        <w:spacing w:after="160" w:line="259" w:lineRule="auto"/>
        <w:sectPr w:rsidR="00C9627D" w:rsidSect="003D021E">
          <w:headerReference w:type="default" r:id="rId45"/>
          <w:footerReference w:type="default" r:id="rId46"/>
          <w:pgSz w:w="15840" w:h="12240" w:orient="landscape"/>
          <w:pgMar w:top="1440" w:right="1440" w:bottom="1440" w:left="1440" w:header="720" w:footer="720" w:gutter="0"/>
          <w:cols w:space="720"/>
          <w:docGrid w:linePitch="360"/>
        </w:sectPr>
      </w:pPr>
    </w:p>
    <w:p w:rsidR="00EB4327" w:rsidRPr="00FE2C14" w:rsidRDefault="00EB4327" w:rsidP="00EB4327">
      <w:pPr>
        <w:pStyle w:val="Heading4"/>
      </w:pPr>
      <w:bookmarkStart w:id="26" w:name="_Toc14268843"/>
      <w:bookmarkStart w:id="27" w:name="_Toc22645113"/>
      <w:r w:rsidRPr="00FE2C14">
        <w:lastRenderedPageBreak/>
        <w:t>Διμερείς και Πολυμερείς Ε&amp;Τ Συνεργασίες</w:t>
      </w:r>
      <w:bookmarkEnd w:id="26"/>
      <w:bookmarkEnd w:id="27"/>
    </w:p>
    <w:p w:rsidR="00EB4327" w:rsidRPr="00DF43D2" w:rsidRDefault="00EB4327" w:rsidP="00EB4327">
      <w:r w:rsidRPr="00DF43D2">
        <w:t xml:space="preserve">Οι Διμερείς και Πολυμερείς Ε&amp;Τ Συνεργασίες αφορούν στην ενίσχυση έργων έρευνας, τεχνολογικής </w:t>
      </w:r>
      <w:r w:rsidRPr="000D5F33">
        <w:t>ανάπτυξης</w:t>
      </w:r>
      <w:r w:rsidRPr="00DF43D2">
        <w:t xml:space="preserve"> και καινοτομίας φορέων του ιδιωτικού και δημόσιου τομέα δύο συνεργαζόμενων χωρών.</w:t>
      </w:r>
    </w:p>
    <w:p w:rsidR="00EB4327" w:rsidRPr="00DF43D2" w:rsidRDefault="00EB4327" w:rsidP="00EB4327">
      <w:r w:rsidRPr="00DF43D2">
        <w:t>Στόχοι των δράσεων που υλοποιούνται μέσω διμερών και πολυμερών Ε&amp;Τ συνεργασιών είναι:</w:t>
      </w:r>
    </w:p>
    <w:p w:rsidR="00EB4327" w:rsidRPr="000D5F33" w:rsidRDefault="00EB4327" w:rsidP="001B2DD1">
      <w:pPr>
        <w:pStyle w:val="ListParagraph"/>
        <w:numPr>
          <w:ilvl w:val="0"/>
          <w:numId w:val="23"/>
        </w:numPr>
      </w:pPr>
      <w:r w:rsidRPr="000D5F33">
        <w:t>Η ενίσχυση της εξωστρέφειας και βελτιστοποίηση της ελληνικής συμμετοχής στις διεθνείς και ευρωπαϊκές Ε&amp;Τ διεργασίες δικτύωσης, η συμμετοχή σε αυτές δυναμικών και με υψηλή τεχνογνωσία Επιχειρήσεων, η εκπλήρωση των εθνικών υποχρεώσεων σε Ευρωπαϊκές πολιτικές.</w:t>
      </w:r>
    </w:p>
    <w:p w:rsidR="00EB4327" w:rsidRPr="000D5F33" w:rsidRDefault="00EB4327" w:rsidP="001B2DD1">
      <w:pPr>
        <w:pStyle w:val="ListParagraph"/>
        <w:numPr>
          <w:ilvl w:val="0"/>
          <w:numId w:val="23"/>
        </w:numPr>
      </w:pPr>
      <w:r w:rsidRPr="000D5F33">
        <w:t>Η επικέντρωση των προσπαθειών και των διαθέσιμων πόρων σε ερευνητικά θεματικά πεδία, μείζονος ενδιαφέροντος για τις δύο (συνεργαζόμενες) χώρες και σημαντικά για την κοινωνία και την οικονομία, σύμφωνα με τις προτεραιότητες της Εθνικής Στρατηγικής ΕΤΑΚ για την Έξυπνη Εξειδίκευση.</w:t>
      </w:r>
    </w:p>
    <w:p w:rsidR="00EB4327" w:rsidRPr="000D5F33" w:rsidRDefault="00EB4327" w:rsidP="001B2DD1">
      <w:pPr>
        <w:pStyle w:val="ListParagraph"/>
        <w:numPr>
          <w:ilvl w:val="0"/>
          <w:numId w:val="23"/>
        </w:numPr>
      </w:pPr>
      <w:r w:rsidRPr="000D5F33">
        <w:t>Η ανάπτυξη νέων γνώσεων - συμπεριλαμβανομένων των νέων τεχνολογιών – με στόχο τη βελτίωση της ανταγωνιστικότητας της ελληνικής οικονομίας και την αντιμετώπιση σημαντικών κοινωνικών και περιβαλλοντικών αναγκών.</w:t>
      </w:r>
    </w:p>
    <w:p w:rsidR="00EB4327" w:rsidRPr="000D5F33" w:rsidRDefault="00EB4327" w:rsidP="001B2DD1">
      <w:pPr>
        <w:pStyle w:val="ListParagraph"/>
        <w:numPr>
          <w:ilvl w:val="0"/>
          <w:numId w:val="23"/>
        </w:numPr>
      </w:pPr>
      <w:r w:rsidRPr="000D5F33">
        <w:t>Η διείσδυση καινοτομιών σε νέες αγορές.</w:t>
      </w:r>
    </w:p>
    <w:p w:rsidR="00EB4327" w:rsidRPr="000D5F33" w:rsidRDefault="00EB4327" w:rsidP="00EB4327">
      <w:r w:rsidRPr="000D5F33">
        <w:t>Δικαιούχοι είναι α) ερευνητικοί οργανισμοί (Πανεπιστήμια &amp; Ερευνητικά Κέντρα), β) επιχειρήσεις και γ) λοιποί φορείς (δημόσιοι και άλλοι φορείς).</w:t>
      </w:r>
    </w:p>
    <w:p w:rsidR="00EB4327" w:rsidRPr="000D5F33" w:rsidRDefault="00EB4327" w:rsidP="00EB4327">
      <w:r w:rsidRPr="000D5F33">
        <w:t>Το είδος της ενίσχυσης είναι επιχορήγηση των δαπανών εκτέλεσης ερευνητικού έργου (κατηγορίες έρευνας: βασική έρευνα, βιομηχανική έρευνα ή/και πειραματική ανάπτυξη) και δαπανών καινοτομίας εφόσον προκύπτουν από το ενισχυόμενο ερευνητικό έργο διμερούς χαρακτήρα. Κάθε πρόταση πρέπει να έχει διακρατικό εταίρο.</w:t>
      </w:r>
    </w:p>
    <w:p w:rsidR="00EB4327" w:rsidRPr="000D5F33" w:rsidRDefault="00EB4327" w:rsidP="00EB4327">
      <w:r w:rsidRPr="000D5F33">
        <w:t>Οι Διμερείς και Πολυμερείς Ε&amp;Τ Συνεργασίες απευθύνονται στον ιδιωτικό και δημόσιο τομέα των δύο συνεργαζομένων χωρών. Προτάσεις για μεγάλης κλίμακας διακρατικά Ε&amp;Τ έργα μπορούν να υποβάλλονται από συμπράξεις Ιδιωτικών Φορέων (επιχειρήσεων όλων των μεγεθών), Δημοσίων Φορέων (Ερευνητικοί &amp; Τεχνολογικοί φορείς, Πανεπιστήμια, ΑΤΕΙ, Ερευνητικά Κέντρα, Ινστιτούτα και Εργαστήρια αυτών) και Λοιπών Φορέων και από τα δύο Κράτη. Τα προτεινόμενα μεγάλης κλίμακας Ε&amp;Τ έργα πρέπει να αποφέρουν προφανές όφελος στις δύο χώρες, στους συμμετέχοντες των συμπράξεων, αλλά και γενικότερα οφέλη στην οικονομία.</w:t>
      </w:r>
    </w:p>
    <w:p w:rsidR="00EB4327" w:rsidRDefault="00EB4327" w:rsidP="00EB4327">
      <w:r w:rsidRPr="000D5F33">
        <w:t xml:space="preserve">Στις εν λόγω Προσκλήσεις γίνονταν συγκεκριμένη αναφορά στους </w:t>
      </w:r>
      <w:r w:rsidR="00537A79">
        <w:t>τ</w:t>
      </w:r>
      <w:r w:rsidRPr="000D5F33">
        <w:t xml:space="preserve">ομείς </w:t>
      </w:r>
      <w:r w:rsidR="00537A79">
        <w:t>π</w:t>
      </w:r>
      <w:r w:rsidRPr="000D5F33">
        <w:t>ροτεραιότητας της RIS3 στους οποίους οι προτεινόμενες δράσεις θα έπρεπε να επικεντρωθούν</w:t>
      </w:r>
      <w:r w:rsidR="00537A79">
        <w:t>,</w:t>
      </w:r>
      <w:r w:rsidRPr="000D5F33">
        <w:t xml:space="preserve"> οι οποίοι κατονομάζονται κατωτέρω στη σύντομη περιγραφή</w:t>
      </w:r>
      <w:r>
        <w:t xml:space="preserve"> των Προσκλήσεων.</w:t>
      </w:r>
    </w:p>
    <w:p w:rsidR="00EB4327" w:rsidRDefault="00EB4327" w:rsidP="00EB4327">
      <w:r w:rsidRPr="009B7BFE">
        <w:t xml:space="preserve">Έως </w:t>
      </w:r>
      <w:r w:rsidRPr="00A113F3">
        <w:t xml:space="preserve">τις 31.12.2017 είχαν </w:t>
      </w:r>
      <w:r w:rsidRPr="009B7BFE">
        <w:t xml:space="preserve">εκδοθεί </w:t>
      </w:r>
      <w:r w:rsidRPr="00DF43D2">
        <w:rPr>
          <w:b/>
        </w:rPr>
        <w:t>3 σχετικές Προσκλήσεις</w:t>
      </w:r>
      <w:r w:rsidRPr="00DF43D2">
        <w:t xml:space="preserve"> για την υποβολή προτάσεων στο ΕΠΑνΕΚ, στον Άξονα Προτεραιότητας 1 «Ανάπτυξη επιχειρηματικότητας με τομεακές </w:t>
      </w:r>
      <w:r w:rsidRPr="000D5F33">
        <w:t>προτεραιότητες</w:t>
      </w:r>
      <w:r w:rsidRPr="00DF43D2">
        <w:t>» και στον Άξονα Προτεραιότητας 1Σ «Ανάπτυξη επιχειρηματικότητας με τομεακές προτεραιότητες (Στερεά Ελλάδα, Νότιο Αιγαίο)».</w:t>
      </w:r>
    </w:p>
    <w:p w:rsidR="00EB4327" w:rsidRPr="00312BF7"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rPr>
      </w:pPr>
      <w:r w:rsidRPr="00312BF7">
        <w:rPr>
          <w:b/>
        </w:rPr>
        <w:t>«Διμερής Ε&amp;Τ Συνεργασία Ελλάδας – Γερμανίας»</w:t>
      </w:r>
    </w:p>
    <w:p w:rsidR="00EB4327" w:rsidRPr="00DF43D2"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DF43D2">
        <w:t xml:space="preserve">Στις 06.12.2016 δημοσιεύθηκε η πρόσκληση (αρ. πρωτ. 7494/2457/Α2) για την υποβολή αιτήσεων χρηματοδότησης ερευνητικών έργων στη Δράση Εθνικής Εμβέλειας «Διμερής Ε&amp;Τ Συνεργασία Ελλάδας – Γερμανίας». Ο προϋπολογισμός της πρόσκλησης ανέρχονταν σε 4.500.000 € (ΔΔ). Η καταληκτική ημερομηνία υποβολής προτάσεων ήταν η </w:t>
      </w:r>
      <w:r w:rsidR="001C30F7">
        <w:t>07</w:t>
      </w:r>
      <w:r w:rsidRPr="00DF43D2">
        <w:t>.0</w:t>
      </w:r>
      <w:r w:rsidR="001C30F7">
        <w:t>4</w:t>
      </w:r>
      <w:r w:rsidRPr="00DF43D2">
        <w:t>.2017.</w:t>
      </w:r>
    </w:p>
    <w:p w:rsidR="00EB4327" w:rsidRPr="00F63F6A"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DF43D2">
        <w:t xml:space="preserve">Η Δράση αφορά την </w:t>
      </w:r>
      <w:r w:rsidRPr="00F63F6A">
        <w:t>ενίσχυση για υλοποίηση ερευνητικού έργου και δαπανών Καινοτομίας και επικεντρώνεται στους Τομείς Προτεραιότητας της Εθνικής Στρατηγικής για την Έξυπνη Εξειδίκευση RIS3 2014-2020, και πιο συγκεκριμένα στους εξής: Αγροδιατροφή, Βιοεπιστήμες, Υγεία και Φάρμακα, Ενέργεια, Υλικά και Κατασκευές, Πολιτισμός, Τουρισμός, Πολιτισμός/Καινοτομία και Κοινωνικές Προκλήσεις, Βασικές Τεχνολογίες Γενικής Εφαρμογής (Key Enabling Technologies - KETs).</w:t>
      </w:r>
    </w:p>
    <w:p w:rsidR="00EB4327" w:rsidRDefault="00EB4327" w:rsidP="00EB4327">
      <w:pPr>
        <w:spacing w:before="0" w:after="160" w:line="259" w:lineRule="auto"/>
        <w:jc w:val="left"/>
        <w:rPr>
          <w:b/>
        </w:rPr>
      </w:pPr>
      <w:r>
        <w:rPr>
          <w:b/>
        </w:rPr>
        <w:br w:type="page"/>
      </w:r>
    </w:p>
    <w:p w:rsidR="00EB4327" w:rsidRPr="00F63F6A" w:rsidRDefault="00EB4327" w:rsidP="00EB4327">
      <w:pPr>
        <w:rPr>
          <w:b/>
        </w:rPr>
      </w:pPr>
    </w:p>
    <w:p w:rsidR="00EB4327" w:rsidRPr="00F63F6A"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rPr>
      </w:pPr>
      <w:r w:rsidRPr="00F63F6A">
        <w:rPr>
          <w:b/>
        </w:rPr>
        <w:t>«Διμερής Ε&amp;Τ Συνεργασία Ελλάδας – Ρωσίας»</w:t>
      </w:r>
    </w:p>
    <w:p w:rsidR="00EB4327" w:rsidRPr="00F63F6A"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F63F6A">
        <w:t xml:space="preserve">Στις 09.12.2016 δημοσιεύθηκε η πρόσκληση (αρ. πρωτ. . 7620/2526/Α2) για την υποβολή αιτήσεων χρηματοδότησης ερευνητικών έργων στη Δράση Εθνικής Εμβέλειας «Διμερής Ε&amp;Τ Συνεργασία Ελλάδας – Ρωσίας». Ο προϋπολογισμός της πρόσκλησης ανέρχονταν σε 2.000.000 € (ΔΔ). Η καταληκτική ημερομηνία υποβολής προτάσεων ήταν η </w:t>
      </w:r>
      <w:r w:rsidR="001C30F7">
        <w:t>03</w:t>
      </w:r>
      <w:r w:rsidRPr="00F63F6A">
        <w:t>.0</w:t>
      </w:r>
      <w:r w:rsidR="001C30F7">
        <w:t>3</w:t>
      </w:r>
      <w:r w:rsidRPr="00F63F6A">
        <w:t xml:space="preserve">.2017. </w:t>
      </w:r>
    </w:p>
    <w:p w:rsidR="00EB4327" w:rsidRPr="00F63F6A"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F63F6A">
        <w:t>Η Δράση αφορά την ενίσχυση για υλοποίηση ερευνητικού έργου και δαπανών Καινοτομίας και επικεντρώνεται στους Τομείς Προτεραιότητας της Εθνικής Στρατηγικής για την Έξυπνη Εξειδίκευση RIS3 2014-2020, και πιο συγκεκριμένα στις «Βασικές Τεχνολογίες Γενικής Εφαρμογής (Key Enabling Technologies - KETs), με διεπιστημονικό χαρακτήρα «Κβαντικές Τεχνολογίες (που σχετίζονται με την Νανοηλεκτρονική, Νανοφωτονική, Κβαντική Πληροφορική και Επικοινωνία, Μεταϋλικά)».</w:t>
      </w:r>
    </w:p>
    <w:p w:rsidR="00EB4327" w:rsidRPr="00F63F6A" w:rsidRDefault="00EB4327" w:rsidP="00EB4327">
      <w:pPr>
        <w:rPr>
          <w:b/>
        </w:rPr>
      </w:pPr>
    </w:p>
    <w:p w:rsidR="00EB4327" w:rsidRPr="00F63F6A"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rPr>
      </w:pPr>
      <w:r w:rsidRPr="00F63F6A">
        <w:rPr>
          <w:b/>
        </w:rPr>
        <w:t>«Διμερής Ε&amp;Τ Συνεργασία Ελλάδας – Ισραήλ»</w:t>
      </w:r>
    </w:p>
    <w:p w:rsidR="00EB4327" w:rsidRPr="000D5F33"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F63F6A">
        <w:t>Στις 13.01.2017 δημοσιεύθηκε η πρόσκληση (αρ. πρωτ. 93/27/Α2) για την υποβολή αιτήσεων χρηματοδότησης ερευνητικών έργων στη Δράση Εθν</w:t>
      </w:r>
      <w:r w:rsidRPr="000D5F33">
        <w:t xml:space="preserve">ικής Εμβέλειας «Διμερής Ε&amp;Τ Συνεργασία Ελλάδας – Ισραήλ». Ο προϋπολογισμός της πρόσκλησης ανέρχονταν 4.500.000 € (ΔΔ). Η καταληκτική ημερομηνία υποβολής προτάσεων ήταν η 25.04.2017. </w:t>
      </w:r>
    </w:p>
    <w:p w:rsidR="00EB4327" w:rsidRPr="000D5F33"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0D5F33">
        <w:t>Η Δράση αφορά την ενίσχυση για υλοποίηση ερευνητικού έργου και δαπανών Καινοτομίας και επικεντρώνεται στους Τομείς Προτεραιότητας της Εθνικής Στρατηγικής για την Έξυπνη Εξειδίκευση RIS3 2014-2020, και πιο συγκεκριμένα στους της Αγροδιατροφής, των Βιοεπιστημών, της Ενέργειας και του Περιβάλλοντος.</w:t>
      </w:r>
    </w:p>
    <w:p w:rsidR="00EB4327" w:rsidRPr="00594818" w:rsidRDefault="00EB4327" w:rsidP="00EB4327">
      <w:r w:rsidRPr="00594818">
        <w:t xml:space="preserve">Όπως φαίνεται και από τα στοιχεία που </w:t>
      </w:r>
      <w:r w:rsidR="00594818">
        <w:t xml:space="preserve">παρουσιάζονται </w:t>
      </w:r>
      <w:r w:rsidRPr="00594818">
        <w:t>στους παρακάτω πίνακες, ο συνολικός προϋπολογισμός των 3 Προσκλήσεων ανέρχεται σε 15.500.000 €, με το μεγαλύτερο ποσοστό αυτού να αφορά στις λιγότερο ανεπτυγμένες Περιφέρειες (53,71%) και ακολούθως στις  περισσότερο ανεπτυγμένες Περιφέρειες (27,61%) και τις Περιφέρειες σε μετάβαση (18,68%). Έως 31.12.2017, δεν πραγματοποιήθηκε καμία ένταξη πράξεων και συνεπώς καμία πληρωμή.</w:t>
      </w:r>
    </w:p>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EF1252">
        <w:rPr>
          <w:noProof/>
        </w:rPr>
        <w:t>15</w:t>
      </w:r>
      <w:r>
        <w:t xml:space="preserve">: </w:t>
      </w:r>
      <w:r w:rsidRPr="0061319E">
        <w:t>Στοιχεία εντάξεων και πληρωμών (έως 31.12.201</w:t>
      </w:r>
      <w:r>
        <w:t>7</w:t>
      </w:r>
      <w:r w:rsidRPr="0061319E">
        <w:t xml:space="preserve">) δράσεων που υποβλήθηκαν στο πλαίσιο των Προσκλήσεων για </w:t>
      </w:r>
      <w:r w:rsidR="00EF1252">
        <w:t>τις δράσεις</w:t>
      </w:r>
      <w:r w:rsidRPr="0061319E">
        <w:t xml:space="preserve"> Διμερ</w:t>
      </w:r>
      <w:r w:rsidR="00EF1252">
        <w:t>ούς</w:t>
      </w:r>
      <w:r w:rsidRPr="0061319E">
        <w:t xml:space="preserve"> και Πολυμερ</w:t>
      </w:r>
      <w:r w:rsidR="00EF1252">
        <w:t>ούς</w:t>
      </w:r>
      <w:r w:rsidRPr="0061319E">
        <w:t xml:space="preserve"> Ε&amp;Τ Συνεργασία</w:t>
      </w:r>
      <w:r w:rsidR="00EF1252">
        <w:t>ς</w:t>
      </w:r>
    </w:p>
    <w:tbl>
      <w:tblPr>
        <w:tblStyle w:val="TableGrid1"/>
        <w:tblW w:w="935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148"/>
        <w:gridCol w:w="1519"/>
        <w:gridCol w:w="1544"/>
        <w:gridCol w:w="1540"/>
        <w:gridCol w:w="1601"/>
      </w:tblGrid>
      <w:tr w:rsidR="00EB4327" w:rsidRPr="006D4A4A" w:rsidTr="00B43049">
        <w:trPr>
          <w:trHeight w:val="825"/>
          <w:jc w:val="center"/>
        </w:trPr>
        <w:tc>
          <w:tcPr>
            <w:tcW w:w="3148"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Διμερής Ε&amp;Τ Συνεργασία</w:t>
            </w:r>
          </w:p>
        </w:tc>
        <w:tc>
          <w:tcPr>
            <w:tcW w:w="151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Σύνολο</w:t>
            </w:r>
          </w:p>
        </w:tc>
        <w:tc>
          <w:tcPr>
            <w:tcW w:w="1544"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Περισσότερο Ανεπτυγμένες Περιφέρειες</w:t>
            </w:r>
          </w:p>
        </w:tc>
        <w:tc>
          <w:tcPr>
            <w:tcW w:w="1540"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Περιφέρειες σε Μετάβαση</w:t>
            </w:r>
          </w:p>
        </w:tc>
        <w:tc>
          <w:tcPr>
            <w:tcW w:w="1601"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Λιγότερο Ανεπτυγμένες Περιφέρειες</w:t>
            </w:r>
          </w:p>
        </w:tc>
      </w:tr>
      <w:tr w:rsidR="00EB4327" w:rsidRPr="006D4A4A" w:rsidTr="00B43049">
        <w:trPr>
          <w:trHeight w:val="285"/>
          <w:jc w:val="center"/>
        </w:trPr>
        <w:tc>
          <w:tcPr>
            <w:tcW w:w="3148" w:type="dxa"/>
            <w:hideMark/>
          </w:tcPr>
          <w:p w:rsidR="00EB4327" w:rsidRPr="006D4A4A" w:rsidRDefault="00EB4327" w:rsidP="00B43049">
            <w:pPr>
              <w:rPr>
                <w:rFonts w:cs="Calibri"/>
                <w:sz w:val="16"/>
                <w:szCs w:val="16"/>
              </w:rPr>
            </w:pPr>
            <w:r w:rsidRPr="006D4A4A">
              <w:rPr>
                <w:rFonts w:cs="Calibri"/>
                <w:sz w:val="16"/>
                <w:szCs w:val="16"/>
              </w:rPr>
              <w:t>Προϋπ/σμός πρόσκλησης (ΔΔ):</w:t>
            </w:r>
          </w:p>
        </w:tc>
        <w:tc>
          <w:tcPr>
            <w:tcW w:w="1519" w:type="dxa"/>
            <w:hideMark/>
          </w:tcPr>
          <w:p w:rsidR="00EB4327" w:rsidRPr="008D7F1A" w:rsidRDefault="00EB4327" w:rsidP="00B43049">
            <w:pPr>
              <w:spacing w:before="80"/>
              <w:jc w:val="center"/>
              <w:rPr>
                <w:b/>
                <w:bCs/>
                <w:sz w:val="16"/>
                <w:szCs w:val="16"/>
              </w:rPr>
            </w:pPr>
            <w:r w:rsidRPr="008D7F1A">
              <w:rPr>
                <w:b/>
                <w:bCs/>
                <w:sz w:val="16"/>
                <w:szCs w:val="16"/>
              </w:rPr>
              <w:t>15.500.000,00 €</w:t>
            </w:r>
          </w:p>
        </w:tc>
        <w:tc>
          <w:tcPr>
            <w:tcW w:w="1544" w:type="dxa"/>
            <w:hideMark/>
          </w:tcPr>
          <w:p w:rsidR="00EB4327" w:rsidRPr="008D7F1A" w:rsidRDefault="00EB4327" w:rsidP="00B43049">
            <w:pPr>
              <w:spacing w:before="80"/>
              <w:jc w:val="center"/>
              <w:rPr>
                <w:sz w:val="16"/>
                <w:szCs w:val="16"/>
              </w:rPr>
            </w:pPr>
            <w:r w:rsidRPr="008D7F1A">
              <w:rPr>
                <w:sz w:val="16"/>
                <w:szCs w:val="16"/>
              </w:rPr>
              <w:t>4.280.000,00 €</w:t>
            </w:r>
          </w:p>
        </w:tc>
        <w:tc>
          <w:tcPr>
            <w:tcW w:w="1540" w:type="dxa"/>
            <w:hideMark/>
          </w:tcPr>
          <w:p w:rsidR="00EB4327" w:rsidRPr="008D7F1A" w:rsidRDefault="00EB4327" w:rsidP="00B43049">
            <w:pPr>
              <w:spacing w:before="80"/>
              <w:jc w:val="center"/>
              <w:rPr>
                <w:sz w:val="16"/>
                <w:szCs w:val="16"/>
              </w:rPr>
            </w:pPr>
            <w:r w:rsidRPr="008D7F1A">
              <w:rPr>
                <w:sz w:val="16"/>
                <w:szCs w:val="16"/>
              </w:rPr>
              <w:t>2.895.000,00 €</w:t>
            </w:r>
          </w:p>
        </w:tc>
        <w:tc>
          <w:tcPr>
            <w:tcW w:w="1601" w:type="dxa"/>
            <w:hideMark/>
          </w:tcPr>
          <w:p w:rsidR="00EB4327" w:rsidRPr="008D7F1A" w:rsidRDefault="00EB4327" w:rsidP="00B43049">
            <w:pPr>
              <w:spacing w:before="80"/>
              <w:jc w:val="center"/>
              <w:rPr>
                <w:sz w:val="16"/>
                <w:szCs w:val="16"/>
              </w:rPr>
            </w:pPr>
            <w:r w:rsidRPr="008D7F1A">
              <w:rPr>
                <w:sz w:val="16"/>
                <w:szCs w:val="16"/>
              </w:rPr>
              <w:t>8.325.000,00 €</w:t>
            </w:r>
          </w:p>
        </w:tc>
      </w:tr>
      <w:tr w:rsidR="00EB4327" w:rsidRPr="006D4A4A" w:rsidTr="00B43049">
        <w:trPr>
          <w:trHeight w:val="255"/>
          <w:jc w:val="center"/>
        </w:trPr>
        <w:tc>
          <w:tcPr>
            <w:tcW w:w="3148" w:type="dxa"/>
            <w:hideMark/>
          </w:tcPr>
          <w:p w:rsidR="00EB4327" w:rsidRPr="006D4A4A" w:rsidRDefault="00EB4327" w:rsidP="00B43049">
            <w:pPr>
              <w:rPr>
                <w:rFonts w:cs="Calibri"/>
                <w:sz w:val="16"/>
                <w:szCs w:val="16"/>
              </w:rPr>
            </w:pPr>
            <w:r w:rsidRPr="006D4A4A">
              <w:rPr>
                <w:rFonts w:cs="Calibri"/>
                <w:sz w:val="16"/>
                <w:szCs w:val="16"/>
              </w:rPr>
              <w:t xml:space="preserve">Προϋπ/σμός ενταγμένων έργων (ΔΔ): </w:t>
            </w:r>
          </w:p>
        </w:tc>
        <w:tc>
          <w:tcPr>
            <w:tcW w:w="1519" w:type="dxa"/>
            <w:hideMark/>
          </w:tcPr>
          <w:p w:rsidR="00EB4327" w:rsidRPr="008D7F1A" w:rsidRDefault="00EB4327" w:rsidP="00B43049">
            <w:pPr>
              <w:spacing w:before="80"/>
              <w:jc w:val="center"/>
              <w:rPr>
                <w:b/>
                <w:bCs/>
                <w:sz w:val="16"/>
                <w:szCs w:val="16"/>
              </w:rPr>
            </w:pPr>
            <w:r w:rsidRPr="008D7F1A">
              <w:rPr>
                <w:b/>
                <w:bCs/>
                <w:sz w:val="16"/>
                <w:szCs w:val="16"/>
              </w:rPr>
              <w:t>0,00 €</w:t>
            </w:r>
          </w:p>
        </w:tc>
        <w:tc>
          <w:tcPr>
            <w:tcW w:w="1544" w:type="dxa"/>
            <w:hideMark/>
          </w:tcPr>
          <w:p w:rsidR="00EB4327" w:rsidRPr="008D7F1A" w:rsidRDefault="00EB4327" w:rsidP="00B43049">
            <w:pPr>
              <w:spacing w:before="80"/>
              <w:jc w:val="center"/>
              <w:rPr>
                <w:sz w:val="16"/>
                <w:szCs w:val="16"/>
              </w:rPr>
            </w:pPr>
            <w:r w:rsidRPr="008D7F1A">
              <w:rPr>
                <w:sz w:val="16"/>
                <w:szCs w:val="16"/>
              </w:rPr>
              <w:t>0,00 €</w:t>
            </w:r>
          </w:p>
        </w:tc>
        <w:tc>
          <w:tcPr>
            <w:tcW w:w="1540" w:type="dxa"/>
            <w:hideMark/>
          </w:tcPr>
          <w:p w:rsidR="00EB4327" w:rsidRPr="008D7F1A" w:rsidRDefault="00EB4327" w:rsidP="00B43049">
            <w:pPr>
              <w:spacing w:before="80"/>
              <w:jc w:val="center"/>
              <w:rPr>
                <w:sz w:val="16"/>
                <w:szCs w:val="16"/>
              </w:rPr>
            </w:pPr>
            <w:r w:rsidRPr="008D7F1A">
              <w:rPr>
                <w:sz w:val="16"/>
                <w:szCs w:val="16"/>
              </w:rPr>
              <w:t>0,00 €</w:t>
            </w:r>
          </w:p>
        </w:tc>
        <w:tc>
          <w:tcPr>
            <w:tcW w:w="1601" w:type="dxa"/>
            <w:hideMark/>
          </w:tcPr>
          <w:p w:rsidR="00EB4327" w:rsidRPr="008D7F1A" w:rsidRDefault="00EB4327" w:rsidP="00B43049">
            <w:pPr>
              <w:spacing w:before="80"/>
              <w:jc w:val="center"/>
              <w:rPr>
                <w:sz w:val="16"/>
                <w:szCs w:val="16"/>
              </w:rPr>
            </w:pPr>
            <w:r w:rsidRPr="008D7F1A">
              <w:rPr>
                <w:sz w:val="16"/>
                <w:szCs w:val="16"/>
              </w:rPr>
              <w:t>0,00 €</w:t>
            </w:r>
          </w:p>
        </w:tc>
      </w:tr>
      <w:tr w:rsidR="00EB4327" w:rsidRPr="006D4A4A" w:rsidTr="00B43049">
        <w:trPr>
          <w:trHeight w:val="255"/>
          <w:jc w:val="center"/>
        </w:trPr>
        <w:tc>
          <w:tcPr>
            <w:tcW w:w="3148" w:type="dxa"/>
            <w:hideMark/>
          </w:tcPr>
          <w:p w:rsidR="00EB4327" w:rsidRPr="006D4A4A" w:rsidRDefault="00EB4327" w:rsidP="00B43049">
            <w:pPr>
              <w:rPr>
                <w:rFonts w:cs="Calibri"/>
                <w:sz w:val="16"/>
                <w:szCs w:val="16"/>
              </w:rPr>
            </w:pPr>
            <w:r w:rsidRPr="006D4A4A">
              <w:rPr>
                <w:rFonts w:cs="Calibri"/>
                <w:sz w:val="16"/>
                <w:szCs w:val="16"/>
              </w:rPr>
              <w:t xml:space="preserve">Δαπάνες έργων (ΔΔ): </w:t>
            </w:r>
          </w:p>
        </w:tc>
        <w:tc>
          <w:tcPr>
            <w:tcW w:w="1519" w:type="dxa"/>
            <w:hideMark/>
          </w:tcPr>
          <w:p w:rsidR="00EB4327" w:rsidRPr="008D7F1A" w:rsidRDefault="00EB4327" w:rsidP="00B43049">
            <w:pPr>
              <w:spacing w:before="80"/>
              <w:jc w:val="center"/>
              <w:rPr>
                <w:b/>
                <w:bCs/>
                <w:sz w:val="16"/>
                <w:szCs w:val="16"/>
              </w:rPr>
            </w:pPr>
            <w:r w:rsidRPr="008D7F1A">
              <w:rPr>
                <w:b/>
                <w:bCs/>
                <w:sz w:val="16"/>
                <w:szCs w:val="16"/>
              </w:rPr>
              <w:t>0,00 €</w:t>
            </w:r>
          </w:p>
        </w:tc>
        <w:tc>
          <w:tcPr>
            <w:tcW w:w="1544" w:type="dxa"/>
            <w:hideMark/>
          </w:tcPr>
          <w:p w:rsidR="00EB4327" w:rsidRPr="008D7F1A" w:rsidRDefault="00EB4327" w:rsidP="00B43049">
            <w:pPr>
              <w:spacing w:before="80"/>
              <w:jc w:val="center"/>
              <w:rPr>
                <w:sz w:val="16"/>
                <w:szCs w:val="16"/>
              </w:rPr>
            </w:pPr>
            <w:r w:rsidRPr="008D7F1A">
              <w:rPr>
                <w:sz w:val="16"/>
                <w:szCs w:val="16"/>
              </w:rPr>
              <w:t>0,00 €</w:t>
            </w:r>
          </w:p>
        </w:tc>
        <w:tc>
          <w:tcPr>
            <w:tcW w:w="1540" w:type="dxa"/>
            <w:hideMark/>
          </w:tcPr>
          <w:p w:rsidR="00EB4327" w:rsidRPr="008D7F1A" w:rsidRDefault="00EB4327" w:rsidP="00B43049">
            <w:pPr>
              <w:spacing w:before="80"/>
              <w:jc w:val="center"/>
              <w:rPr>
                <w:sz w:val="16"/>
                <w:szCs w:val="16"/>
              </w:rPr>
            </w:pPr>
            <w:r w:rsidRPr="008D7F1A">
              <w:rPr>
                <w:sz w:val="16"/>
                <w:szCs w:val="16"/>
              </w:rPr>
              <w:t>0,00 €</w:t>
            </w:r>
          </w:p>
        </w:tc>
        <w:tc>
          <w:tcPr>
            <w:tcW w:w="1601" w:type="dxa"/>
            <w:hideMark/>
          </w:tcPr>
          <w:p w:rsidR="00EB4327" w:rsidRPr="008D7F1A" w:rsidRDefault="00EB4327" w:rsidP="00B43049">
            <w:pPr>
              <w:spacing w:before="80"/>
              <w:jc w:val="center"/>
              <w:rPr>
                <w:sz w:val="16"/>
                <w:szCs w:val="16"/>
              </w:rPr>
            </w:pPr>
            <w:r w:rsidRPr="008D7F1A">
              <w:rPr>
                <w:sz w:val="16"/>
                <w:szCs w:val="16"/>
              </w:rPr>
              <w:t>0,00 €</w:t>
            </w:r>
          </w:p>
        </w:tc>
      </w:tr>
      <w:tr w:rsidR="00EB4327" w:rsidRPr="006D4A4A" w:rsidTr="00B43049">
        <w:trPr>
          <w:trHeight w:val="255"/>
          <w:jc w:val="center"/>
        </w:trPr>
        <w:tc>
          <w:tcPr>
            <w:tcW w:w="3148" w:type="dxa"/>
            <w:hideMark/>
          </w:tcPr>
          <w:p w:rsidR="00EB4327" w:rsidRPr="006D4A4A" w:rsidRDefault="00EB4327" w:rsidP="00B43049">
            <w:pPr>
              <w:rPr>
                <w:rFonts w:cs="Calibri"/>
                <w:sz w:val="16"/>
                <w:szCs w:val="16"/>
              </w:rPr>
            </w:pPr>
            <w:r w:rsidRPr="006D4A4A">
              <w:rPr>
                <w:rFonts w:cs="Calibri"/>
                <w:sz w:val="16"/>
                <w:szCs w:val="16"/>
              </w:rPr>
              <w:t>Αριθμ. ενταγμένων πράξεων:</w:t>
            </w:r>
          </w:p>
        </w:tc>
        <w:tc>
          <w:tcPr>
            <w:tcW w:w="1519" w:type="dxa"/>
            <w:hideMark/>
          </w:tcPr>
          <w:p w:rsidR="00EB4327" w:rsidRPr="008D7F1A" w:rsidRDefault="00EB4327" w:rsidP="00B43049">
            <w:pPr>
              <w:spacing w:before="80"/>
              <w:jc w:val="center"/>
              <w:rPr>
                <w:b/>
                <w:bCs/>
                <w:sz w:val="16"/>
                <w:szCs w:val="16"/>
              </w:rPr>
            </w:pPr>
            <w:r w:rsidRPr="008D7F1A">
              <w:rPr>
                <w:b/>
                <w:bCs/>
                <w:sz w:val="16"/>
                <w:szCs w:val="16"/>
              </w:rPr>
              <w:t>0</w:t>
            </w:r>
          </w:p>
        </w:tc>
        <w:tc>
          <w:tcPr>
            <w:tcW w:w="1544" w:type="dxa"/>
            <w:hideMark/>
          </w:tcPr>
          <w:p w:rsidR="00EB4327" w:rsidRPr="008D7F1A" w:rsidRDefault="00EB4327" w:rsidP="00B43049">
            <w:pPr>
              <w:spacing w:before="80"/>
              <w:jc w:val="center"/>
              <w:rPr>
                <w:sz w:val="16"/>
                <w:szCs w:val="16"/>
              </w:rPr>
            </w:pPr>
            <w:r w:rsidRPr="008D7F1A">
              <w:rPr>
                <w:sz w:val="16"/>
                <w:szCs w:val="16"/>
              </w:rPr>
              <w:t>0</w:t>
            </w:r>
          </w:p>
        </w:tc>
        <w:tc>
          <w:tcPr>
            <w:tcW w:w="1540" w:type="dxa"/>
            <w:hideMark/>
          </w:tcPr>
          <w:p w:rsidR="00EB4327" w:rsidRPr="008D7F1A" w:rsidRDefault="00EB4327" w:rsidP="00B43049">
            <w:pPr>
              <w:spacing w:before="80"/>
              <w:jc w:val="center"/>
              <w:rPr>
                <w:sz w:val="16"/>
                <w:szCs w:val="16"/>
              </w:rPr>
            </w:pPr>
            <w:r w:rsidRPr="008D7F1A">
              <w:rPr>
                <w:sz w:val="16"/>
                <w:szCs w:val="16"/>
              </w:rPr>
              <w:t>0</w:t>
            </w:r>
          </w:p>
        </w:tc>
        <w:tc>
          <w:tcPr>
            <w:tcW w:w="1601" w:type="dxa"/>
            <w:hideMark/>
          </w:tcPr>
          <w:p w:rsidR="00EB4327" w:rsidRPr="008D7F1A" w:rsidRDefault="00EB4327" w:rsidP="00B43049">
            <w:pPr>
              <w:spacing w:before="80"/>
              <w:jc w:val="center"/>
              <w:rPr>
                <w:sz w:val="16"/>
                <w:szCs w:val="16"/>
              </w:rPr>
            </w:pPr>
            <w:r w:rsidRPr="008D7F1A">
              <w:rPr>
                <w:sz w:val="16"/>
                <w:szCs w:val="16"/>
              </w:rPr>
              <w:t>0</w:t>
            </w:r>
          </w:p>
        </w:tc>
      </w:tr>
      <w:tr w:rsidR="00EB4327" w:rsidRPr="006D4A4A" w:rsidTr="00B43049">
        <w:trPr>
          <w:trHeight w:val="255"/>
          <w:jc w:val="center"/>
        </w:trPr>
        <w:tc>
          <w:tcPr>
            <w:tcW w:w="3148" w:type="dxa"/>
            <w:hideMark/>
          </w:tcPr>
          <w:p w:rsidR="00EB4327" w:rsidRPr="006D4A4A" w:rsidRDefault="00EB4327" w:rsidP="00B43049">
            <w:pPr>
              <w:rPr>
                <w:rFonts w:cs="Calibri"/>
                <w:sz w:val="16"/>
                <w:szCs w:val="16"/>
              </w:rPr>
            </w:pPr>
            <w:r w:rsidRPr="006D4A4A">
              <w:rPr>
                <w:rFonts w:cs="Calibri"/>
                <w:sz w:val="16"/>
                <w:szCs w:val="16"/>
              </w:rPr>
              <w:t>Αριθμ. συμμετοχών:</w:t>
            </w:r>
          </w:p>
        </w:tc>
        <w:tc>
          <w:tcPr>
            <w:tcW w:w="1519" w:type="dxa"/>
            <w:hideMark/>
          </w:tcPr>
          <w:p w:rsidR="00EB4327" w:rsidRPr="008D7F1A" w:rsidRDefault="00EB4327" w:rsidP="00B43049">
            <w:pPr>
              <w:spacing w:before="80"/>
              <w:jc w:val="center"/>
              <w:rPr>
                <w:b/>
                <w:bCs/>
                <w:sz w:val="16"/>
                <w:szCs w:val="16"/>
              </w:rPr>
            </w:pPr>
            <w:r w:rsidRPr="008D7F1A">
              <w:rPr>
                <w:b/>
                <w:bCs/>
                <w:sz w:val="16"/>
                <w:szCs w:val="16"/>
              </w:rPr>
              <w:t>0</w:t>
            </w:r>
          </w:p>
        </w:tc>
        <w:tc>
          <w:tcPr>
            <w:tcW w:w="1544" w:type="dxa"/>
            <w:hideMark/>
          </w:tcPr>
          <w:p w:rsidR="00EB4327" w:rsidRPr="008D7F1A" w:rsidRDefault="00EB4327" w:rsidP="00B43049">
            <w:pPr>
              <w:spacing w:before="80"/>
              <w:jc w:val="center"/>
              <w:rPr>
                <w:sz w:val="16"/>
                <w:szCs w:val="16"/>
              </w:rPr>
            </w:pPr>
            <w:r w:rsidRPr="008D7F1A">
              <w:rPr>
                <w:sz w:val="16"/>
                <w:szCs w:val="16"/>
              </w:rPr>
              <w:t>0</w:t>
            </w:r>
          </w:p>
        </w:tc>
        <w:tc>
          <w:tcPr>
            <w:tcW w:w="1540" w:type="dxa"/>
            <w:hideMark/>
          </w:tcPr>
          <w:p w:rsidR="00EB4327" w:rsidRPr="008D7F1A" w:rsidRDefault="00EB4327" w:rsidP="00B43049">
            <w:pPr>
              <w:spacing w:before="80"/>
              <w:jc w:val="center"/>
              <w:rPr>
                <w:sz w:val="16"/>
                <w:szCs w:val="16"/>
              </w:rPr>
            </w:pPr>
            <w:r w:rsidRPr="008D7F1A">
              <w:rPr>
                <w:sz w:val="16"/>
                <w:szCs w:val="16"/>
              </w:rPr>
              <w:t>0</w:t>
            </w:r>
          </w:p>
        </w:tc>
        <w:tc>
          <w:tcPr>
            <w:tcW w:w="1601" w:type="dxa"/>
            <w:hideMark/>
          </w:tcPr>
          <w:p w:rsidR="00EB4327" w:rsidRPr="008D7F1A" w:rsidRDefault="00EB4327" w:rsidP="00B43049">
            <w:pPr>
              <w:spacing w:before="80"/>
              <w:jc w:val="center"/>
              <w:rPr>
                <w:sz w:val="16"/>
                <w:szCs w:val="16"/>
              </w:rPr>
            </w:pPr>
            <w:r w:rsidRPr="008D7F1A">
              <w:rPr>
                <w:sz w:val="16"/>
                <w:szCs w:val="16"/>
              </w:rPr>
              <w:t>0</w:t>
            </w:r>
          </w:p>
        </w:tc>
      </w:tr>
    </w:tbl>
    <w:p w:rsidR="00EB4327" w:rsidRPr="0061319E" w:rsidRDefault="00EB4327" w:rsidP="00EB4327">
      <w:pPr>
        <w:pStyle w:val="Caption"/>
      </w:pPr>
      <w:r>
        <w:rPr>
          <w:b w:val="0"/>
        </w:rPr>
        <w:br w:type="page"/>
      </w:r>
      <w:r>
        <w:lastRenderedPageBreak/>
        <w:t xml:space="preserve">Πίνακας </w:t>
      </w:r>
      <w:r w:rsidR="004E7006">
        <w:rPr>
          <w:noProof/>
        </w:rPr>
        <w:fldChar w:fldCharType="begin"/>
      </w:r>
      <w:r w:rsidR="004E7006">
        <w:rPr>
          <w:noProof/>
        </w:rPr>
        <w:instrText xml:space="preserve"> STYLEREF 1 \s </w:instrText>
      </w:r>
      <w:r w:rsidR="004E7006">
        <w:rPr>
          <w:noProof/>
        </w:rPr>
        <w:fldChar w:fldCharType="separate"/>
      </w:r>
      <w:r w:rsidR="00332E24">
        <w:rPr>
          <w:noProof/>
        </w:rPr>
        <w:t>3</w:t>
      </w:r>
      <w:r w:rsidR="004E7006">
        <w:rPr>
          <w:noProof/>
        </w:rPr>
        <w:fldChar w:fldCharType="end"/>
      </w:r>
      <w:r>
        <w:noBreakHyphen/>
      </w:r>
      <w:r w:rsidR="00EF1252">
        <w:rPr>
          <w:noProof/>
        </w:rPr>
        <w:t>16</w:t>
      </w:r>
      <w:r>
        <w:t xml:space="preserve">: </w:t>
      </w:r>
      <w:r w:rsidRPr="0061319E">
        <w:t>Ποσοστιαία κατανομή εντάξεων και πληρωμών (έως 31.12.201</w:t>
      </w:r>
      <w:r>
        <w:t>7</w:t>
      </w:r>
      <w:r w:rsidRPr="0061319E">
        <w:t xml:space="preserve">) δράσεων που υποβλήθηκαν στο πλαίσιο των Προσκλήσεων για </w:t>
      </w:r>
      <w:r w:rsidR="00EF1252">
        <w:t>τις δράσεις</w:t>
      </w:r>
      <w:r w:rsidRPr="0061319E">
        <w:t xml:space="preserve"> </w:t>
      </w:r>
      <w:r w:rsidR="00EF1252" w:rsidRPr="0061319E">
        <w:t>Διμερ</w:t>
      </w:r>
      <w:r w:rsidR="00EF1252">
        <w:t>ούς</w:t>
      </w:r>
      <w:r w:rsidRPr="0061319E">
        <w:t xml:space="preserve"> και Πολυμερ</w:t>
      </w:r>
      <w:r w:rsidR="00EF1252">
        <w:t>ούς</w:t>
      </w:r>
      <w:r w:rsidRPr="0061319E">
        <w:t xml:space="preserve"> Ε&amp;Τ Συνεργασία</w:t>
      </w:r>
      <w:r w:rsidR="00EF1252">
        <w:t>ς</w:t>
      </w:r>
    </w:p>
    <w:tbl>
      <w:tblPr>
        <w:tblStyle w:val="TableGrid1"/>
        <w:tblW w:w="9360"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720"/>
        <w:gridCol w:w="1523"/>
        <w:gridCol w:w="1523"/>
        <w:gridCol w:w="1594"/>
      </w:tblGrid>
      <w:tr w:rsidR="00EB4327" w:rsidRPr="006D4A4A" w:rsidTr="00B43049">
        <w:trPr>
          <w:trHeight w:val="510"/>
          <w:jc w:val="center"/>
        </w:trPr>
        <w:tc>
          <w:tcPr>
            <w:tcW w:w="4720"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Διμερής Ε&amp;Τ Συνεργασία</w:t>
            </w:r>
          </w:p>
        </w:tc>
        <w:tc>
          <w:tcPr>
            <w:tcW w:w="1523"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Περισσότερο Ανεπτυγμένες Περιφέρειες</w:t>
            </w:r>
          </w:p>
        </w:tc>
        <w:tc>
          <w:tcPr>
            <w:tcW w:w="1523"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Περιφέρειες σε Μετάβαση</w:t>
            </w:r>
          </w:p>
        </w:tc>
        <w:tc>
          <w:tcPr>
            <w:tcW w:w="1594"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Λιγότερο Ανεπτυγμένες Περιφέρειες</w:t>
            </w:r>
          </w:p>
        </w:tc>
      </w:tr>
      <w:tr w:rsidR="00EB4327" w:rsidRPr="006D4A4A" w:rsidTr="00B43049">
        <w:trPr>
          <w:trHeight w:val="645"/>
          <w:jc w:val="center"/>
        </w:trPr>
        <w:tc>
          <w:tcPr>
            <w:tcW w:w="4720" w:type="dxa"/>
            <w:vAlign w:val="center"/>
            <w:hideMark/>
          </w:tcPr>
          <w:p w:rsidR="00EB4327" w:rsidRPr="006D4A4A" w:rsidRDefault="00EB4327" w:rsidP="00B43049">
            <w:pPr>
              <w:spacing w:before="80"/>
              <w:rPr>
                <w:rFonts w:cs="Calibri"/>
                <w:sz w:val="16"/>
                <w:szCs w:val="16"/>
              </w:rPr>
            </w:pPr>
            <w:r w:rsidRPr="00DF43D2">
              <w:rPr>
                <w:rFonts w:cs="Calibri"/>
                <w:sz w:val="16"/>
                <w:szCs w:val="16"/>
              </w:rPr>
              <w:t>Ποσοστό προϋπ/σμού της Πρόσκλησης που αφορά στην κατηγορία Περιφέρειας</w:t>
            </w:r>
          </w:p>
        </w:tc>
        <w:tc>
          <w:tcPr>
            <w:tcW w:w="1523" w:type="dxa"/>
            <w:vAlign w:val="center"/>
            <w:hideMark/>
          </w:tcPr>
          <w:p w:rsidR="00EB4327" w:rsidRPr="008D7F1A" w:rsidRDefault="00EB4327" w:rsidP="00B43049">
            <w:pPr>
              <w:spacing w:before="80"/>
              <w:jc w:val="center"/>
              <w:rPr>
                <w:sz w:val="16"/>
                <w:szCs w:val="16"/>
              </w:rPr>
            </w:pPr>
            <w:r w:rsidRPr="008D7F1A">
              <w:rPr>
                <w:sz w:val="16"/>
                <w:szCs w:val="16"/>
              </w:rPr>
              <w:t>27,61%</w:t>
            </w:r>
          </w:p>
        </w:tc>
        <w:tc>
          <w:tcPr>
            <w:tcW w:w="1523" w:type="dxa"/>
            <w:vAlign w:val="center"/>
            <w:hideMark/>
          </w:tcPr>
          <w:p w:rsidR="00EB4327" w:rsidRPr="008D7F1A" w:rsidRDefault="00EB4327" w:rsidP="00B43049">
            <w:pPr>
              <w:spacing w:before="80"/>
              <w:jc w:val="center"/>
              <w:rPr>
                <w:sz w:val="16"/>
                <w:szCs w:val="16"/>
              </w:rPr>
            </w:pPr>
            <w:r w:rsidRPr="008D7F1A">
              <w:rPr>
                <w:sz w:val="16"/>
                <w:szCs w:val="16"/>
              </w:rPr>
              <w:t>18,68%</w:t>
            </w:r>
          </w:p>
        </w:tc>
        <w:tc>
          <w:tcPr>
            <w:tcW w:w="1594" w:type="dxa"/>
            <w:vAlign w:val="center"/>
            <w:hideMark/>
          </w:tcPr>
          <w:p w:rsidR="00EB4327" w:rsidRPr="008D7F1A" w:rsidRDefault="00EB4327" w:rsidP="00B43049">
            <w:pPr>
              <w:spacing w:before="80"/>
              <w:jc w:val="center"/>
              <w:rPr>
                <w:sz w:val="16"/>
                <w:szCs w:val="16"/>
              </w:rPr>
            </w:pPr>
            <w:r w:rsidRPr="008D7F1A">
              <w:rPr>
                <w:sz w:val="16"/>
                <w:szCs w:val="16"/>
              </w:rPr>
              <w:t>53,71%</w:t>
            </w:r>
          </w:p>
        </w:tc>
      </w:tr>
      <w:tr w:rsidR="00EB4327" w:rsidRPr="006D4A4A" w:rsidTr="00B43049">
        <w:trPr>
          <w:trHeight w:val="510"/>
          <w:jc w:val="center"/>
        </w:trPr>
        <w:tc>
          <w:tcPr>
            <w:tcW w:w="4720" w:type="dxa"/>
            <w:vAlign w:val="center"/>
            <w:hideMark/>
          </w:tcPr>
          <w:p w:rsidR="00EB4327" w:rsidRPr="006D4A4A" w:rsidRDefault="00EB4327" w:rsidP="00B43049">
            <w:pPr>
              <w:spacing w:before="80"/>
              <w:rPr>
                <w:rFonts w:cs="Calibri"/>
                <w:sz w:val="16"/>
                <w:szCs w:val="16"/>
              </w:rPr>
            </w:pPr>
            <w:r w:rsidRPr="00DF43D2">
              <w:rPr>
                <w:rFonts w:cs="Calibri"/>
                <w:sz w:val="16"/>
                <w:szCs w:val="16"/>
              </w:rPr>
              <w:t xml:space="preserve">Ποσοστό προϋπ/σμού ενταγμένων </w:t>
            </w:r>
            <w:r>
              <w:rPr>
                <w:rFonts w:cs="Calibri"/>
                <w:sz w:val="16"/>
                <w:szCs w:val="16"/>
              </w:rPr>
              <w:t>έργων ανά κατηγορία Περιφερειών</w:t>
            </w:r>
          </w:p>
        </w:tc>
        <w:tc>
          <w:tcPr>
            <w:tcW w:w="1523" w:type="dxa"/>
            <w:vAlign w:val="center"/>
            <w:hideMark/>
          </w:tcPr>
          <w:p w:rsidR="00EB4327" w:rsidRPr="008D7F1A" w:rsidRDefault="00EB4327" w:rsidP="00B43049">
            <w:pPr>
              <w:spacing w:before="80"/>
              <w:jc w:val="center"/>
              <w:rPr>
                <w:sz w:val="16"/>
                <w:szCs w:val="16"/>
              </w:rPr>
            </w:pPr>
            <w:r w:rsidRPr="008D7F1A">
              <w:rPr>
                <w:sz w:val="16"/>
                <w:szCs w:val="16"/>
              </w:rPr>
              <w:t>0,00%</w:t>
            </w:r>
          </w:p>
        </w:tc>
        <w:tc>
          <w:tcPr>
            <w:tcW w:w="1523" w:type="dxa"/>
            <w:vAlign w:val="center"/>
            <w:hideMark/>
          </w:tcPr>
          <w:p w:rsidR="00EB4327" w:rsidRPr="008D7F1A" w:rsidRDefault="00EB4327" w:rsidP="00B43049">
            <w:pPr>
              <w:spacing w:before="80"/>
              <w:jc w:val="center"/>
              <w:rPr>
                <w:sz w:val="16"/>
                <w:szCs w:val="16"/>
              </w:rPr>
            </w:pPr>
            <w:r w:rsidRPr="008D7F1A">
              <w:rPr>
                <w:sz w:val="16"/>
                <w:szCs w:val="16"/>
              </w:rPr>
              <w:t>0,00%</w:t>
            </w:r>
          </w:p>
        </w:tc>
        <w:tc>
          <w:tcPr>
            <w:tcW w:w="1594" w:type="dxa"/>
            <w:vAlign w:val="center"/>
            <w:hideMark/>
          </w:tcPr>
          <w:p w:rsidR="00EB4327" w:rsidRPr="008D7F1A" w:rsidRDefault="00EB4327" w:rsidP="00B43049">
            <w:pPr>
              <w:spacing w:before="80"/>
              <w:jc w:val="center"/>
              <w:rPr>
                <w:sz w:val="16"/>
                <w:szCs w:val="16"/>
              </w:rPr>
            </w:pPr>
            <w:r w:rsidRPr="008D7F1A">
              <w:rPr>
                <w:sz w:val="16"/>
                <w:szCs w:val="16"/>
              </w:rPr>
              <w:t>0,00%</w:t>
            </w:r>
          </w:p>
        </w:tc>
      </w:tr>
      <w:tr w:rsidR="00EB4327" w:rsidRPr="006D4A4A" w:rsidTr="00B43049">
        <w:trPr>
          <w:trHeight w:val="690"/>
          <w:jc w:val="center"/>
        </w:trPr>
        <w:tc>
          <w:tcPr>
            <w:tcW w:w="4720" w:type="dxa"/>
            <w:vAlign w:val="center"/>
            <w:hideMark/>
          </w:tcPr>
          <w:p w:rsidR="00EB4327" w:rsidRPr="006D4A4A" w:rsidRDefault="00EB4327" w:rsidP="00B43049">
            <w:pPr>
              <w:spacing w:before="80"/>
              <w:rPr>
                <w:rFonts w:cs="Calibri"/>
                <w:color w:val="000000"/>
                <w:sz w:val="16"/>
                <w:szCs w:val="16"/>
              </w:rPr>
            </w:pPr>
            <w:r w:rsidRPr="00DF43D2">
              <w:rPr>
                <w:rFonts w:cs="Calibri"/>
                <w:color w:val="000000"/>
                <w:sz w:val="16"/>
                <w:szCs w:val="16"/>
              </w:rPr>
              <w:t xml:space="preserve">Κατανομή του προϋπ/σμού (ΔΔ) των ενταγμένων </w:t>
            </w:r>
            <w:r>
              <w:rPr>
                <w:rFonts w:cs="Calibri"/>
                <w:color w:val="000000"/>
                <w:sz w:val="16"/>
                <w:szCs w:val="16"/>
              </w:rPr>
              <w:t>έργων ανά κατηγορία Περιφερειών</w:t>
            </w:r>
          </w:p>
        </w:tc>
        <w:tc>
          <w:tcPr>
            <w:tcW w:w="1523" w:type="dxa"/>
            <w:vAlign w:val="center"/>
            <w:hideMark/>
          </w:tcPr>
          <w:p w:rsidR="00EB4327" w:rsidRDefault="00EB4327" w:rsidP="00B43049">
            <w:pPr>
              <w:jc w:val="center"/>
            </w:pPr>
            <w:r w:rsidRPr="00AA65F5">
              <w:rPr>
                <w:sz w:val="16"/>
                <w:szCs w:val="16"/>
              </w:rPr>
              <w:t>0,00%</w:t>
            </w:r>
          </w:p>
        </w:tc>
        <w:tc>
          <w:tcPr>
            <w:tcW w:w="1523" w:type="dxa"/>
            <w:vAlign w:val="center"/>
            <w:hideMark/>
          </w:tcPr>
          <w:p w:rsidR="00EB4327" w:rsidRDefault="00EB4327" w:rsidP="00B43049">
            <w:pPr>
              <w:jc w:val="center"/>
            </w:pPr>
            <w:r w:rsidRPr="00AA65F5">
              <w:rPr>
                <w:sz w:val="16"/>
                <w:szCs w:val="16"/>
              </w:rPr>
              <w:t>0,00%</w:t>
            </w:r>
          </w:p>
        </w:tc>
        <w:tc>
          <w:tcPr>
            <w:tcW w:w="1594" w:type="dxa"/>
            <w:vAlign w:val="center"/>
            <w:hideMark/>
          </w:tcPr>
          <w:p w:rsidR="00EB4327" w:rsidRDefault="00EB4327" w:rsidP="00B43049">
            <w:pPr>
              <w:jc w:val="center"/>
            </w:pPr>
            <w:r w:rsidRPr="00AA65F5">
              <w:rPr>
                <w:sz w:val="16"/>
                <w:szCs w:val="16"/>
              </w:rPr>
              <w:t>0,00%</w:t>
            </w:r>
          </w:p>
        </w:tc>
      </w:tr>
      <w:tr w:rsidR="00EB4327" w:rsidRPr="006D4A4A" w:rsidTr="00B43049">
        <w:trPr>
          <w:trHeight w:val="510"/>
          <w:jc w:val="center"/>
        </w:trPr>
        <w:tc>
          <w:tcPr>
            <w:tcW w:w="4720" w:type="dxa"/>
            <w:vAlign w:val="center"/>
            <w:hideMark/>
          </w:tcPr>
          <w:p w:rsidR="00EB4327" w:rsidRPr="006D4A4A" w:rsidRDefault="00EB4327" w:rsidP="00B43049">
            <w:pPr>
              <w:spacing w:before="80"/>
              <w:rPr>
                <w:rFonts w:cs="Calibri"/>
                <w:color w:val="000000"/>
                <w:sz w:val="16"/>
                <w:szCs w:val="16"/>
              </w:rPr>
            </w:pPr>
            <w:r w:rsidRPr="00DF43D2">
              <w:rPr>
                <w:rFonts w:cs="Calibri"/>
                <w:color w:val="000000"/>
                <w:sz w:val="16"/>
                <w:szCs w:val="16"/>
              </w:rPr>
              <w:t>Κατανομή των δαπανών (Δ</w:t>
            </w:r>
            <w:r>
              <w:rPr>
                <w:rFonts w:cs="Calibri"/>
                <w:color w:val="000000"/>
                <w:sz w:val="16"/>
                <w:szCs w:val="16"/>
              </w:rPr>
              <w:t xml:space="preserve">Δ) στις κατηγορίες Περιφερειών </w:t>
            </w:r>
          </w:p>
        </w:tc>
        <w:tc>
          <w:tcPr>
            <w:tcW w:w="1523" w:type="dxa"/>
            <w:vAlign w:val="center"/>
          </w:tcPr>
          <w:p w:rsidR="00EB4327" w:rsidRDefault="00EB4327" w:rsidP="00B43049">
            <w:pPr>
              <w:jc w:val="center"/>
            </w:pPr>
            <w:r w:rsidRPr="00AA65F5">
              <w:rPr>
                <w:sz w:val="16"/>
                <w:szCs w:val="16"/>
              </w:rPr>
              <w:t>0,00%</w:t>
            </w:r>
          </w:p>
        </w:tc>
        <w:tc>
          <w:tcPr>
            <w:tcW w:w="1523" w:type="dxa"/>
            <w:vAlign w:val="center"/>
          </w:tcPr>
          <w:p w:rsidR="00EB4327" w:rsidRDefault="00EB4327" w:rsidP="00B43049">
            <w:pPr>
              <w:jc w:val="center"/>
            </w:pPr>
            <w:r w:rsidRPr="00AA65F5">
              <w:rPr>
                <w:sz w:val="16"/>
                <w:szCs w:val="16"/>
              </w:rPr>
              <w:t>0,00%</w:t>
            </w:r>
          </w:p>
        </w:tc>
        <w:tc>
          <w:tcPr>
            <w:tcW w:w="1594" w:type="dxa"/>
            <w:vAlign w:val="center"/>
          </w:tcPr>
          <w:p w:rsidR="00EB4327" w:rsidRDefault="00EB4327" w:rsidP="00B43049">
            <w:pPr>
              <w:jc w:val="center"/>
            </w:pPr>
            <w:r w:rsidRPr="00AA65F5">
              <w:rPr>
                <w:sz w:val="16"/>
                <w:szCs w:val="16"/>
              </w:rPr>
              <w:t>0,00%</w:t>
            </w:r>
          </w:p>
        </w:tc>
      </w:tr>
    </w:tbl>
    <w:p w:rsidR="00EB4327" w:rsidRPr="00594818" w:rsidRDefault="00EB4327" w:rsidP="00EB4327">
      <w:pPr>
        <w:rPr>
          <w:szCs w:val="18"/>
        </w:rPr>
      </w:pPr>
      <w:r w:rsidRPr="00594818">
        <w:t xml:space="preserve">Όσον αφορά στις υποβολές και εγκρίσεις προτάσεων/δράσεων ως προς τους </w:t>
      </w:r>
      <w:r w:rsidR="00537A79">
        <w:t>τ</w:t>
      </w:r>
      <w:r w:rsidRPr="00594818">
        <w:t xml:space="preserve">ομείς </w:t>
      </w:r>
      <w:r w:rsidR="00537A79">
        <w:t>π</w:t>
      </w:r>
      <w:r w:rsidRPr="00594818">
        <w:t>ροτεραιότητας της RIS3 και ως προς τις Περιφέρειες για τις 3 προσκλήσεις της Διμερούς Ε&amp;Τ Συνεργασίας της Ελλάδας με τη Γερμανία, τη Ρωσία και το Ισραήλ, προκύπτουν τα εξής</w:t>
      </w:r>
      <w:r w:rsidR="005062D2" w:rsidRPr="00594818">
        <w:t xml:space="preserve"> (πίνακες 3-10 και 3-11)</w:t>
      </w:r>
      <w:r w:rsidRPr="00594818">
        <w:t xml:space="preserve">: </w:t>
      </w:r>
    </w:p>
    <w:p w:rsidR="00EB4327" w:rsidRPr="00594818" w:rsidRDefault="00471043" w:rsidP="00515E6C">
      <w:pPr>
        <w:rPr>
          <w:szCs w:val="18"/>
        </w:rPr>
      </w:pPr>
      <w:r w:rsidRPr="00594818">
        <w:rPr>
          <w:szCs w:val="18"/>
        </w:rPr>
        <w:t xml:space="preserve">Ο </w:t>
      </w:r>
      <w:r w:rsidR="00537A79">
        <w:rPr>
          <w:szCs w:val="18"/>
        </w:rPr>
        <w:t>τ</w:t>
      </w:r>
      <w:r w:rsidRPr="00594818">
        <w:rPr>
          <w:szCs w:val="18"/>
        </w:rPr>
        <w:t xml:space="preserve">ομέας </w:t>
      </w:r>
      <w:r w:rsidR="00537A79">
        <w:rPr>
          <w:szCs w:val="18"/>
        </w:rPr>
        <w:t>π</w:t>
      </w:r>
      <w:r w:rsidR="00515E6C" w:rsidRPr="00594818">
        <w:rPr>
          <w:szCs w:val="18"/>
        </w:rPr>
        <w:t xml:space="preserve">ροτεραιότητας Ενέργεια </w:t>
      </w:r>
      <w:r w:rsidRPr="00594818">
        <w:rPr>
          <w:szCs w:val="18"/>
        </w:rPr>
        <w:t>παρουσιάζει την υψηλότερη ζήτηση σε επίπεδο αιτούμενου προϋπολογισμού δημόσιας δαπάνης (</w:t>
      </w:r>
      <w:r w:rsidR="00515E6C" w:rsidRPr="00594818">
        <w:rPr>
          <w:szCs w:val="18"/>
        </w:rPr>
        <w:t xml:space="preserve">33,2%), ενώ για τις </w:t>
      </w:r>
      <w:r w:rsidR="00C8703E">
        <w:rPr>
          <w:szCs w:val="18"/>
        </w:rPr>
        <w:t>λ</w:t>
      </w:r>
      <w:r w:rsidR="00515E6C" w:rsidRPr="00594818">
        <w:rPr>
          <w:szCs w:val="18"/>
        </w:rPr>
        <w:t xml:space="preserve">ιγότερο </w:t>
      </w:r>
      <w:r w:rsidR="00C8703E">
        <w:rPr>
          <w:szCs w:val="18"/>
        </w:rPr>
        <w:t>α</w:t>
      </w:r>
      <w:r w:rsidR="00515E6C" w:rsidRPr="00594818">
        <w:rPr>
          <w:szCs w:val="18"/>
        </w:rPr>
        <w:t xml:space="preserve">νεπτυγμένες Περιφέρειες </w:t>
      </w:r>
      <w:r w:rsidR="00594818" w:rsidRPr="00594818">
        <w:rPr>
          <w:szCs w:val="18"/>
        </w:rPr>
        <w:t>το αντίστοιχο ποσοστό είναι 35%</w:t>
      </w:r>
      <w:r w:rsidR="00515E6C" w:rsidRPr="00594818">
        <w:rPr>
          <w:szCs w:val="18"/>
        </w:rPr>
        <w:t xml:space="preserve">. Ακολουθεί ο </w:t>
      </w:r>
      <w:r w:rsidR="00C8703E">
        <w:rPr>
          <w:szCs w:val="18"/>
        </w:rPr>
        <w:t>τ</w:t>
      </w:r>
      <w:r w:rsidR="00515E6C" w:rsidRPr="00594818">
        <w:rPr>
          <w:szCs w:val="18"/>
        </w:rPr>
        <w:t xml:space="preserve">ομέας της Αγροδιατροφής (18,1% και 19,6% για τις </w:t>
      </w:r>
      <w:r w:rsidR="00C8703E">
        <w:rPr>
          <w:szCs w:val="18"/>
        </w:rPr>
        <w:t>π</w:t>
      </w:r>
      <w:r w:rsidR="00515E6C" w:rsidRPr="00594818">
        <w:rPr>
          <w:szCs w:val="18"/>
        </w:rPr>
        <w:t xml:space="preserve">ερισσότερο </w:t>
      </w:r>
      <w:r w:rsidR="00C8703E">
        <w:rPr>
          <w:szCs w:val="18"/>
        </w:rPr>
        <w:t>α</w:t>
      </w:r>
      <w:r w:rsidR="00515E6C" w:rsidRPr="00594818">
        <w:rPr>
          <w:szCs w:val="18"/>
        </w:rPr>
        <w:t xml:space="preserve">νεπτυγμένες Περιφέρειες) και ο </w:t>
      </w:r>
      <w:r w:rsidR="00C8703E">
        <w:rPr>
          <w:szCs w:val="18"/>
        </w:rPr>
        <w:t>τ</w:t>
      </w:r>
      <w:r w:rsidR="00515E6C" w:rsidRPr="00594818">
        <w:rPr>
          <w:szCs w:val="18"/>
        </w:rPr>
        <w:t>ομέας Πολιτισμός-Τουρισμός –ΠΔΒ (17,1% και 21,5% για τις Περισσότερο Ανεπτυγμένες Περιφέρειες</w:t>
      </w:r>
      <w:r w:rsidR="00D0409E" w:rsidRPr="00594818">
        <w:rPr>
          <w:szCs w:val="18"/>
        </w:rPr>
        <w:t>). Αξιοσημείωτο είναι ότι στον Τομέα ΤΠΕ δεν υποβλήθηκαν προτάσεις, ενώ ο Τομέας Περιβάλλον είχε ένα ποσοστό μόλις 2,3% σε όρους ζήτησης δημόσιας δαπάνης.</w:t>
      </w:r>
      <w:r w:rsidR="007D7783" w:rsidRPr="00594818">
        <w:rPr>
          <w:szCs w:val="18"/>
        </w:rPr>
        <w:t xml:space="preserve"> </w:t>
      </w:r>
    </w:p>
    <w:p w:rsidR="00EB4327" w:rsidRDefault="00EB4327" w:rsidP="00EB4327">
      <w:pPr>
        <w:pStyle w:val="Caption"/>
      </w:pPr>
      <w:r w:rsidRPr="00515E6C">
        <w:t xml:space="preserve">Πίνακας </w:t>
      </w:r>
      <w:r w:rsidRPr="00515E6C">
        <w:rPr>
          <w:noProof/>
        </w:rPr>
        <w:fldChar w:fldCharType="begin"/>
      </w:r>
      <w:r w:rsidRPr="00515E6C">
        <w:rPr>
          <w:noProof/>
        </w:rPr>
        <w:instrText xml:space="preserve"> STYLEREF 1 \s </w:instrText>
      </w:r>
      <w:r w:rsidRPr="00515E6C">
        <w:rPr>
          <w:noProof/>
        </w:rPr>
        <w:fldChar w:fldCharType="separate"/>
      </w:r>
      <w:r w:rsidR="00332E24">
        <w:rPr>
          <w:noProof/>
        </w:rPr>
        <w:t>3</w:t>
      </w:r>
      <w:r w:rsidRPr="00515E6C">
        <w:rPr>
          <w:noProof/>
        </w:rPr>
        <w:fldChar w:fldCharType="end"/>
      </w:r>
      <w:r w:rsidRPr="00515E6C">
        <w:noBreakHyphen/>
      </w:r>
      <w:r w:rsidR="00625E8D">
        <w:rPr>
          <w:noProof/>
        </w:rPr>
        <w:t>17</w:t>
      </w:r>
      <w:r w:rsidRPr="00515E6C">
        <w:rPr>
          <w:noProof/>
        </w:rPr>
        <w:t>:</w:t>
      </w:r>
      <w:r w:rsidRPr="00515E6C">
        <w:t xml:space="preserve"> Στοιχεία υποβολών και εγκρίσεων δράσεων (έως 31.12.2017) που υποβλήθηκαν στο πλαίσιο των Προσκλήσεων </w:t>
      </w:r>
      <w:r w:rsidR="00EF1252" w:rsidRPr="00515E6C">
        <w:t xml:space="preserve">των Δράσεων </w:t>
      </w:r>
      <w:r w:rsidRPr="00515E6C">
        <w:t xml:space="preserve">Διμερούς Ε&amp;Τ Συνεργασίας της Ελλάδας με τη Γερμανία, τη Ρωσία και το Ισραήλ </w:t>
      </w:r>
    </w:p>
    <w:p w:rsidR="00EF1252" w:rsidRDefault="00E667B6" w:rsidP="00EF1252">
      <w:r w:rsidRPr="00E667B6">
        <w:rPr>
          <w:noProof/>
          <w:lang w:eastAsia="el-GR"/>
        </w:rPr>
        <w:drawing>
          <wp:inline distT="0" distB="0" distL="0" distR="0">
            <wp:extent cx="6187893" cy="3381375"/>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90522" cy="3382812"/>
                    </a:xfrm>
                    <a:prstGeom prst="rect">
                      <a:avLst/>
                    </a:prstGeom>
                    <a:noFill/>
                    <a:ln>
                      <a:noFill/>
                    </a:ln>
                  </pic:spPr>
                </pic:pic>
              </a:graphicData>
            </a:graphic>
          </wp:inline>
        </w:drawing>
      </w:r>
    </w:p>
    <w:p w:rsidR="00EF1252" w:rsidRDefault="00EF1252" w:rsidP="00EF1252"/>
    <w:p w:rsidR="00287BD7" w:rsidRDefault="00287BD7" w:rsidP="00EF1252"/>
    <w:p w:rsidR="00287BD7" w:rsidRDefault="00287BD7" w:rsidP="00EF1252"/>
    <w:p w:rsidR="00287BD7" w:rsidRDefault="00287BD7" w:rsidP="00EF1252"/>
    <w:p w:rsidR="00EF1252" w:rsidRDefault="00EF1252" w:rsidP="00EF1252">
      <w:pPr>
        <w:pStyle w:val="Caption"/>
      </w:pPr>
      <w:r w:rsidRPr="00515E6C">
        <w:t xml:space="preserve">Πίνακας </w:t>
      </w:r>
      <w:r w:rsidRPr="00515E6C">
        <w:rPr>
          <w:noProof/>
        </w:rPr>
        <w:fldChar w:fldCharType="begin"/>
      </w:r>
      <w:r w:rsidRPr="00515E6C">
        <w:rPr>
          <w:noProof/>
        </w:rPr>
        <w:instrText xml:space="preserve"> STYLEREF 1 \s </w:instrText>
      </w:r>
      <w:r w:rsidRPr="00515E6C">
        <w:rPr>
          <w:noProof/>
        </w:rPr>
        <w:fldChar w:fldCharType="separate"/>
      </w:r>
      <w:r w:rsidR="00332E24">
        <w:rPr>
          <w:noProof/>
        </w:rPr>
        <w:t>3</w:t>
      </w:r>
      <w:r w:rsidRPr="00515E6C">
        <w:rPr>
          <w:noProof/>
        </w:rPr>
        <w:fldChar w:fldCharType="end"/>
      </w:r>
      <w:r w:rsidRPr="00515E6C">
        <w:noBreakHyphen/>
      </w:r>
      <w:r w:rsidRPr="00515E6C">
        <w:rPr>
          <w:noProof/>
        </w:rPr>
        <w:tab/>
      </w:r>
      <w:r w:rsidR="00E667B6">
        <w:rPr>
          <w:noProof/>
        </w:rPr>
        <w:t>18</w:t>
      </w:r>
      <w:r w:rsidRPr="00515E6C">
        <w:t xml:space="preserve"> Ποσοστιαία κατανομή υποβολών και εγκρίσεων δράσεων (έως 31.12.2017) που υποβλήθηκαν στο πλαίσιο των Προσκλήσεων των Δράσεων Διμερούς Ε&amp;Τ Συνεργασίας της Ελλάδας με τη Γερμανία, τη Ρωσία και το Ισραήλ </w:t>
      </w:r>
    </w:p>
    <w:p w:rsidR="00EB4327" w:rsidRDefault="005062D2" w:rsidP="00EB4327">
      <w:pPr>
        <w:rPr>
          <w:szCs w:val="18"/>
        </w:rPr>
      </w:pPr>
      <w:r w:rsidRPr="005062D2">
        <w:rPr>
          <w:noProof/>
          <w:lang w:eastAsia="el-GR"/>
        </w:rPr>
        <w:drawing>
          <wp:inline distT="0" distB="0" distL="0" distR="0">
            <wp:extent cx="6187668" cy="2552700"/>
            <wp:effectExtent l="0" t="0" r="381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93498" cy="2555105"/>
                    </a:xfrm>
                    <a:prstGeom prst="rect">
                      <a:avLst/>
                    </a:prstGeom>
                    <a:noFill/>
                    <a:ln>
                      <a:noFill/>
                    </a:ln>
                  </pic:spPr>
                </pic:pic>
              </a:graphicData>
            </a:graphic>
          </wp:inline>
        </w:drawing>
      </w:r>
    </w:p>
    <w:p w:rsidR="005062D2" w:rsidRDefault="005062D2" w:rsidP="00EB4327">
      <w:pPr>
        <w:rPr>
          <w:szCs w:val="18"/>
        </w:rPr>
      </w:pPr>
    </w:p>
    <w:p w:rsidR="005062D2" w:rsidRPr="00744E45" w:rsidRDefault="00FA12AE" w:rsidP="00EB4327">
      <w:pPr>
        <w:rPr>
          <w:szCs w:val="18"/>
        </w:rPr>
      </w:pPr>
      <w:r w:rsidRPr="00744E45">
        <w:rPr>
          <w:szCs w:val="18"/>
        </w:rPr>
        <w:t>Όσον αφορά στη σύγκριση της ζήτ</w:t>
      </w:r>
      <w:r w:rsidR="00744E45">
        <w:rPr>
          <w:szCs w:val="18"/>
        </w:rPr>
        <w:t>ηση</w:t>
      </w:r>
      <w:r w:rsidR="003477A0">
        <w:rPr>
          <w:szCs w:val="18"/>
        </w:rPr>
        <w:t>ς</w:t>
      </w:r>
      <w:r w:rsidRPr="00744E45">
        <w:rPr>
          <w:szCs w:val="18"/>
        </w:rPr>
        <w:t xml:space="preserve"> (υποβολές) με τις εγκρίσεις σε όρους δημόσιας δαπάνης</w:t>
      </w:r>
      <w:r w:rsidR="00744E45">
        <w:rPr>
          <w:szCs w:val="18"/>
        </w:rPr>
        <w:t>,</w:t>
      </w:r>
      <w:r w:rsidRPr="00744E45">
        <w:rPr>
          <w:szCs w:val="18"/>
        </w:rPr>
        <w:t xml:space="preserve"> παρατηρ</w:t>
      </w:r>
      <w:r w:rsidR="00C27AA8">
        <w:rPr>
          <w:szCs w:val="18"/>
        </w:rPr>
        <w:t xml:space="preserve">είται </w:t>
      </w:r>
      <w:r w:rsidRPr="00744E45">
        <w:rPr>
          <w:szCs w:val="18"/>
        </w:rPr>
        <w:t xml:space="preserve">ότι ο </w:t>
      </w:r>
      <w:r w:rsidR="00C27AA8">
        <w:rPr>
          <w:szCs w:val="18"/>
        </w:rPr>
        <w:t>τ</w:t>
      </w:r>
      <w:r w:rsidRPr="00744E45">
        <w:rPr>
          <w:szCs w:val="18"/>
        </w:rPr>
        <w:t xml:space="preserve">ομέας της Αγροδιατροφής </w:t>
      </w:r>
      <w:r w:rsidR="007D7783" w:rsidRPr="00744E45">
        <w:rPr>
          <w:szCs w:val="18"/>
        </w:rPr>
        <w:t xml:space="preserve">παρουσίασε τη </w:t>
      </w:r>
      <w:r w:rsidR="0075330A" w:rsidRPr="00744E45">
        <w:rPr>
          <w:szCs w:val="18"/>
        </w:rPr>
        <w:t>χαμηλότερη</w:t>
      </w:r>
      <w:r w:rsidR="007D7783" w:rsidRPr="00744E45">
        <w:rPr>
          <w:szCs w:val="18"/>
        </w:rPr>
        <w:t xml:space="preserve"> αναλογία εγκρίσεων </w:t>
      </w:r>
      <w:r w:rsidR="00C27AA8">
        <w:rPr>
          <w:szCs w:val="18"/>
        </w:rPr>
        <w:t>και</w:t>
      </w:r>
      <w:r w:rsidR="007D7783" w:rsidRPr="00744E45">
        <w:rPr>
          <w:szCs w:val="18"/>
        </w:rPr>
        <w:t xml:space="preserve"> υποβολ</w:t>
      </w:r>
      <w:r w:rsidR="00C27AA8">
        <w:rPr>
          <w:szCs w:val="18"/>
        </w:rPr>
        <w:t>ών</w:t>
      </w:r>
      <w:r w:rsidR="007D7783" w:rsidRPr="00744E45">
        <w:rPr>
          <w:szCs w:val="18"/>
        </w:rPr>
        <w:t xml:space="preserve"> </w:t>
      </w:r>
      <w:r w:rsidR="0075330A" w:rsidRPr="00744E45">
        <w:rPr>
          <w:szCs w:val="18"/>
        </w:rPr>
        <w:t xml:space="preserve">γεγονός που καταδεικνύει την υψηλή </w:t>
      </w:r>
      <w:r w:rsidR="00744E45">
        <w:rPr>
          <w:szCs w:val="18"/>
        </w:rPr>
        <w:t xml:space="preserve">αναλογικά </w:t>
      </w:r>
      <w:r w:rsidR="0075330A" w:rsidRPr="00744E45">
        <w:rPr>
          <w:szCs w:val="18"/>
        </w:rPr>
        <w:t xml:space="preserve">ζήτηση </w:t>
      </w:r>
      <w:r w:rsidR="007653EE" w:rsidRPr="00744E45">
        <w:rPr>
          <w:szCs w:val="18"/>
        </w:rPr>
        <w:t xml:space="preserve">χρηματοδότησης </w:t>
      </w:r>
      <w:r w:rsidR="0075330A" w:rsidRPr="00744E45">
        <w:rPr>
          <w:szCs w:val="18"/>
        </w:rPr>
        <w:t xml:space="preserve">στον </w:t>
      </w:r>
      <w:r w:rsidR="00C27AA8">
        <w:rPr>
          <w:szCs w:val="18"/>
        </w:rPr>
        <w:t>τ</w:t>
      </w:r>
      <w:r w:rsidR="0075330A" w:rsidRPr="00744E45">
        <w:rPr>
          <w:szCs w:val="18"/>
        </w:rPr>
        <w:t xml:space="preserve">ομέα. Οι αναλογίες των εγκρίσεων προς τις υποβολές </w:t>
      </w:r>
      <w:r w:rsidR="007653EE" w:rsidRPr="00744E45">
        <w:rPr>
          <w:szCs w:val="18"/>
        </w:rPr>
        <w:t xml:space="preserve">ανέρχεται κοντά στο 25% για τρεις </w:t>
      </w:r>
      <w:r w:rsidR="00C27AA8">
        <w:rPr>
          <w:szCs w:val="18"/>
        </w:rPr>
        <w:t>(3) τ</w:t>
      </w:r>
      <w:r w:rsidR="007653EE" w:rsidRPr="00744E45">
        <w:rPr>
          <w:szCs w:val="18"/>
        </w:rPr>
        <w:t xml:space="preserve">ομείς: Βιοεπιστήμες /Υγεία &amp; Φάρμακα, Περιβάλλον-Βιώσιμη Ανάπτυξη και Υλικά-Κατασκευές. </w:t>
      </w:r>
    </w:p>
    <w:p w:rsidR="007653EE" w:rsidRPr="00744E45" w:rsidRDefault="007D10FF" w:rsidP="00EB4327">
      <w:pPr>
        <w:rPr>
          <w:szCs w:val="18"/>
        </w:rPr>
      </w:pPr>
      <w:r w:rsidRPr="00744E45">
        <w:rPr>
          <w:szCs w:val="18"/>
        </w:rPr>
        <w:t xml:space="preserve">Από την άλλη, η αναλογία εγκρίσεων </w:t>
      </w:r>
      <w:r w:rsidR="00C27AA8">
        <w:rPr>
          <w:szCs w:val="18"/>
        </w:rPr>
        <w:t xml:space="preserve">και </w:t>
      </w:r>
      <w:r w:rsidRPr="00744E45">
        <w:rPr>
          <w:szCs w:val="18"/>
        </w:rPr>
        <w:t>υποβολ</w:t>
      </w:r>
      <w:r w:rsidR="00C27AA8">
        <w:rPr>
          <w:szCs w:val="18"/>
        </w:rPr>
        <w:t>ών</w:t>
      </w:r>
      <w:r w:rsidRPr="00744E45">
        <w:rPr>
          <w:szCs w:val="18"/>
        </w:rPr>
        <w:t xml:space="preserve"> είναι στο 12,5% για τ</w:t>
      </w:r>
      <w:r w:rsidR="00C27AA8">
        <w:rPr>
          <w:szCs w:val="18"/>
        </w:rPr>
        <w:t>ι</w:t>
      </w:r>
      <w:r w:rsidRPr="00744E45">
        <w:rPr>
          <w:szCs w:val="18"/>
        </w:rPr>
        <w:t xml:space="preserve">ς </w:t>
      </w:r>
      <w:r w:rsidR="00C27AA8">
        <w:rPr>
          <w:szCs w:val="18"/>
        </w:rPr>
        <w:t>π</w:t>
      </w:r>
      <w:r w:rsidRPr="00744E45">
        <w:rPr>
          <w:szCs w:val="18"/>
        </w:rPr>
        <w:t xml:space="preserve">ερισσότερο </w:t>
      </w:r>
      <w:r w:rsidR="00C27AA8">
        <w:rPr>
          <w:szCs w:val="18"/>
        </w:rPr>
        <w:t>α</w:t>
      </w:r>
      <w:r w:rsidRPr="00744E45">
        <w:rPr>
          <w:szCs w:val="18"/>
        </w:rPr>
        <w:t xml:space="preserve">νεπτυγμένες Περιφέρεις, ενώ για τις </w:t>
      </w:r>
      <w:r w:rsidR="00C27AA8">
        <w:rPr>
          <w:szCs w:val="18"/>
        </w:rPr>
        <w:t>λ</w:t>
      </w:r>
      <w:r w:rsidRPr="00744E45">
        <w:rPr>
          <w:szCs w:val="18"/>
        </w:rPr>
        <w:t xml:space="preserve">ιγότερο </w:t>
      </w:r>
      <w:r w:rsidR="00C27AA8">
        <w:rPr>
          <w:szCs w:val="18"/>
        </w:rPr>
        <w:t>α</w:t>
      </w:r>
      <w:r w:rsidRPr="00744E45">
        <w:rPr>
          <w:szCs w:val="18"/>
        </w:rPr>
        <w:t xml:space="preserve">νεπτυγμένες η ίδια σχέση φθάνει στο 19,3%. </w:t>
      </w:r>
    </w:p>
    <w:p w:rsidR="007D10FF" w:rsidRPr="00744E45" w:rsidRDefault="007D10FF" w:rsidP="00EB4327">
      <w:pPr>
        <w:rPr>
          <w:szCs w:val="18"/>
        </w:rPr>
      </w:pPr>
      <w:r w:rsidRPr="00744E45">
        <w:rPr>
          <w:szCs w:val="18"/>
        </w:rPr>
        <w:t>Συγκεντρωτικά, οι εγκρίσεις ανήλθαν στο 15% περίπου καταδεικνύοντας το υψηλό ενδιαφέρον των δυνητικών δικαιούχων σε σύγκριση με το διαθέσιμο προϋπολογισμό δημόσιας δαπάνης των τριών δράσεων.</w:t>
      </w:r>
    </w:p>
    <w:p w:rsidR="00E667B6" w:rsidRDefault="00E667B6" w:rsidP="00E667B6">
      <w:pPr>
        <w:pStyle w:val="Caption"/>
      </w:pPr>
      <w:r w:rsidRPr="00907772">
        <w:t xml:space="preserve">Πίνακας </w:t>
      </w:r>
      <w:r w:rsidR="00C03A43">
        <w:rPr>
          <w:noProof/>
        </w:rPr>
        <w:fldChar w:fldCharType="begin"/>
      </w:r>
      <w:r w:rsidR="00C03A43">
        <w:rPr>
          <w:noProof/>
        </w:rPr>
        <w:instrText xml:space="preserve"> STYLEREF 1 \s </w:instrText>
      </w:r>
      <w:r w:rsidR="00C03A43">
        <w:rPr>
          <w:noProof/>
        </w:rPr>
        <w:fldChar w:fldCharType="separate"/>
      </w:r>
      <w:r w:rsidR="00332E24">
        <w:rPr>
          <w:noProof/>
        </w:rPr>
        <w:t>3</w:t>
      </w:r>
      <w:r w:rsidR="00C03A43">
        <w:rPr>
          <w:noProof/>
        </w:rPr>
        <w:fldChar w:fldCharType="end"/>
      </w:r>
      <w:r w:rsidRPr="00907772">
        <w:noBreakHyphen/>
      </w:r>
      <w:r>
        <w:t>19</w:t>
      </w:r>
      <w:r w:rsidRPr="00907772">
        <w:t>:</w:t>
      </w:r>
      <w:r>
        <w:t xml:space="preserve"> Συγκεντρωτικά σ στοιχεία Υποβολών και Εγκρίσεων στο πλαίσιο των Δράσεων Διμερούς Ε&amp;Τ Συνεργασίας</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2"/>
        <w:gridCol w:w="4416"/>
      </w:tblGrid>
      <w:tr w:rsidR="00E667B6" w:rsidTr="00E667B6">
        <w:tc>
          <w:tcPr>
            <w:tcW w:w="8586" w:type="dxa"/>
          </w:tcPr>
          <w:p w:rsidR="00E47AA7" w:rsidRDefault="001C7391" w:rsidP="00517E1B">
            <w:pPr>
              <w:rPr>
                <w:szCs w:val="18"/>
              </w:rPr>
            </w:pPr>
            <w:r>
              <w:rPr>
                <w:noProof/>
              </w:rPr>
              <w:drawing>
                <wp:inline distT="0" distB="0" distL="0" distR="0" wp14:anchorId="254F90E6" wp14:editId="48DB5D6E">
                  <wp:extent cx="3305175" cy="2695575"/>
                  <wp:effectExtent l="0" t="0" r="9525"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305390" cy="2695750"/>
                          </a:xfrm>
                          <a:prstGeom prst="rect">
                            <a:avLst/>
                          </a:prstGeom>
                        </pic:spPr>
                      </pic:pic>
                    </a:graphicData>
                  </a:graphic>
                </wp:inline>
              </w:drawing>
            </w:r>
          </w:p>
        </w:tc>
        <w:tc>
          <w:tcPr>
            <w:tcW w:w="1376" w:type="dxa"/>
          </w:tcPr>
          <w:p w:rsidR="00E47AA7" w:rsidRDefault="00E667B6" w:rsidP="00517E1B">
            <w:pPr>
              <w:rPr>
                <w:szCs w:val="18"/>
              </w:rPr>
            </w:pPr>
            <w:r>
              <w:rPr>
                <w:noProof/>
              </w:rPr>
              <w:drawing>
                <wp:inline distT="0" distB="0" distL="0" distR="0" wp14:anchorId="4C3E5196" wp14:editId="0DCCCF7F">
                  <wp:extent cx="2786380" cy="126658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863106" cy="1301459"/>
                          </a:xfrm>
                          <a:prstGeom prst="rect">
                            <a:avLst/>
                          </a:prstGeom>
                        </pic:spPr>
                      </pic:pic>
                    </a:graphicData>
                  </a:graphic>
                </wp:inline>
              </w:drawing>
            </w:r>
          </w:p>
        </w:tc>
      </w:tr>
    </w:tbl>
    <w:p w:rsidR="00C9627D" w:rsidRDefault="00C9627D" w:rsidP="00EB4327">
      <w:pPr>
        <w:rPr>
          <w:szCs w:val="18"/>
        </w:rPr>
      </w:pPr>
    </w:p>
    <w:p w:rsidR="00C9627D" w:rsidRDefault="00C9627D">
      <w:pPr>
        <w:spacing w:before="0" w:after="160" w:line="259" w:lineRule="auto"/>
        <w:jc w:val="left"/>
        <w:rPr>
          <w:szCs w:val="18"/>
        </w:rPr>
      </w:pPr>
      <w:r>
        <w:rPr>
          <w:szCs w:val="18"/>
        </w:rPr>
        <w:br w:type="page"/>
      </w:r>
    </w:p>
    <w:p w:rsidR="005062D2" w:rsidRDefault="005062D2" w:rsidP="00EB4327">
      <w:pPr>
        <w:rPr>
          <w:szCs w:val="18"/>
        </w:rPr>
      </w:pPr>
    </w:p>
    <w:p w:rsidR="00EB4327" w:rsidRPr="00CD0CAF" w:rsidRDefault="00EB4327" w:rsidP="00EB4327">
      <w:pPr>
        <w:pStyle w:val="Heading3"/>
        <w:rPr>
          <w:rFonts w:eastAsia="Calibri"/>
        </w:rPr>
      </w:pPr>
      <w:bookmarkStart w:id="28" w:name="_Toc14268844"/>
      <w:bookmarkStart w:id="29" w:name="_Toc22645114"/>
      <w:r w:rsidRPr="00CD0CAF">
        <w:rPr>
          <w:rFonts w:eastAsia="Calibri"/>
        </w:rPr>
        <w:t>Δράσεις ΕΠΑνΕΚ στο πλαίσιο της Επενδυτικής Προτεραιότητας 1</w:t>
      </w:r>
      <w:r w:rsidRPr="00CD0CAF">
        <w:rPr>
          <w:rFonts w:eastAsia="Calibri"/>
          <w:lang w:val="en-US"/>
        </w:rPr>
        <w:t>a</w:t>
      </w:r>
      <w:bookmarkEnd w:id="28"/>
      <w:bookmarkEnd w:id="29"/>
    </w:p>
    <w:p w:rsidR="00EB4327" w:rsidRPr="000D5F33" w:rsidRDefault="00EB4327" w:rsidP="00EB4327">
      <w:r w:rsidRPr="000D5F33">
        <w:t xml:space="preserve">Η Επενδυτική Προτεραιότητα 1a  </w:t>
      </w:r>
      <w:r w:rsidRPr="00C27AA8">
        <w:rPr>
          <w:i/>
          <w:iCs/>
        </w:rPr>
        <w:t>«Ενίσχυση υποδομών έρευνας και καινοτομίας και ικανοτήτων ανάπτυξης αριστείας στον τομέα της έρευνας και καινοτομίας και προώθηση κέντρων ικανότητας, ιδίως των κέντρων ευρωπαϊκού ενδιαφέροντος»</w:t>
      </w:r>
      <w:r w:rsidRPr="000D5F33">
        <w:t xml:space="preserve"> υποστηρίζει τη στρατηγική της Έξυπνης Εξειδίκευσης, για το λόγο αυτό εξετάζεται η πρόοδος υλοποίησης των έργων εκείνων που εντάσσονται στον Άξονα Προτεραιότητας 3 «Ανάπτυξη μηχανισμών στήριξης της επιχειρηματικότητας» και στον Άξονα Προτεραιότητας 3Σ «Ανάπτυξη μηχανισμών στήριξης της επιχειρηματικότητας (Στερεά Ελλάδα-Νότιο Αιγαίο)» του ΕΠΑνΕΚ, καθώς αποτελεί τους Άξονες εκείνους που περιλαμβάνουν τη συγκεκριμένη Επενδυτική Προτεραιότητα.</w:t>
      </w:r>
    </w:p>
    <w:p w:rsidR="00EB4327" w:rsidRPr="000D5F33" w:rsidRDefault="00EB4327" w:rsidP="00EB4327">
      <w:r w:rsidRPr="000D5F33">
        <w:t>Ειδικότερα, στο πλαίσιο του Ειδικού Στόχου  3.</w:t>
      </w:r>
      <w:r w:rsidRPr="00C27AA8">
        <w:rPr>
          <w:i/>
          <w:iCs/>
        </w:rPr>
        <w:t xml:space="preserve">1 «Αναβάθμιση ή/και ανάπτυξη υποδομών έρευνας και καινοτομίας για την ανάπτυξη της καινοτομικής ικανότητας της χώρας για τη στήριξη της επιχειρηματικότητας» </w:t>
      </w:r>
      <w:r w:rsidRPr="000D5F33">
        <w:t xml:space="preserve">προβλέπεται η ενίσχυση υφιστάμενων ή νέων ερευνητικών υποδομών εθνικής σημασίας, που απαιτούνται για </w:t>
      </w:r>
      <w:r w:rsidR="00C27AA8">
        <w:t xml:space="preserve">την </w:t>
      </w:r>
      <w:r w:rsidRPr="000D5F33">
        <w:t>υποστήριξη της στρατηγικής έξυπνης εξειδίκευσης και του Ευρωπαϊκού Χάρτη Ερευνητικών Υποδομών (ESFRI), δημιουργώντας ελκυστικό περιβάλλον για την έρευνα, για την προώθηση της καινοτομίας και για τη δημιουργία οικοσυστήματος καινοτομίας στην Ελλάδα. Εκτιμώμενα αποτελέσματα του συγκεκριμένου Ειδικού Στόχου, είναι τα εξής:</w:t>
      </w:r>
    </w:p>
    <w:p w:rsidR="00EB4327" w:rsidRPr="000D5F33" w:rsidRDefault="00EB4327" w:rsidP="001B2DD1">
      <w:pPr>
        <w:pStyle w:val="ListParagraph"/>
        <w:numPr>
          <w:ilvl w:val="0"/>
          <w:numId w:val="23"/>
        </w:numPr>
      </w:pPr>
      <w:r w:rsidRPr="000D5F33">
        <w:t>Βελτίωση της καινοτομικής ικανότητας της χώρας και σύνδεση αυτής με την αγορά, για τη δημιουργία οικοσυστήματος καινοτομίας</w:t>
      </w:r>
      <w:r>
        <w:t>.</w:t>
      </w:r>
    </w:p>
    <w:p w:rsidR="00EB4327" w:rsidRPr="000D5F33" w:rsidRDefault="00EB4327" w:rsidP="001B2DD1">
      <w:pPr>
        <w:pStyle w:val="ListParagraph"/>
        <w:numPr>
          <w:ilvl w:val="0"/>
          <w:numId w:val="23"/>
        </w:numPr>
      </w:pPr>
      <w:r w:rsidRPr="000D5F33">
        <w:t>Συμβολή της χώρας στον Ενιαίο Ευρωπαϊκό Χώρο Έρευνας</w:t>
      </w:r>
      <w:r>
        <w:t>.</w:t>
      </w:r>
    </w:p>
    <w:p w:rsidR="00EB4327" w:rsidRPr="000D5F33" w:rsidRDefault="00EB4327" w:rsidP="001B2DD1">
      <w:pPr>
        <w:pStyle w:val="ListParagraph"/>
        <w:numPr>
          <w:ilvl w:val="0"/>
          <w:numId w:val="23"/>
        </w:numPr>
      </w:pPr>
      <w:r w:rsidRPr="000D5F33">
        <w:t>Βελτίωση της ανταγωνιστικότητας των ελληνικών επιχειρήσεων και αύξηση παραγωγής καινοτόμων προϊόντων και υπηρεσιών</w:t>
      </w:r>
      <w:r>
        <w:t>.</w:t>
      </w:r>
    </w:p>
    <w:p w:rsidR="00EB4327" w:rsidRPr="000D5F33" w:rsidRDefault="00EB4327" w:rsidP="001B2DD1">
      <w:pPr>
        <w:pStyle w:val="ListParagraph"/>
        <w:numPr>
          <w:ilvl w:val="0"/>
          <w:numId w:val="23"/>
        </w:numPr>
      </w:pPr>
      <w:r w:rsidRPr="000D5F33">
        <w:t>Δημιουργία ελκυστικού ερευνητικού περιβάλλοντος το οποίο θα προσελκύσει ιδιωτικές επενδύσεις, συνεργασίες και συμπράξεις σε θέματα έρευνας και καινοτομία</w:t>
      </w:r>
      <w:r>
        <w:t>ς.</w:t>
      </w:r>
    </w:p>
    <w:p w:rsidR="00EB4327" w:rsidRDefault="00EB4327" w:rsidP="00EB4327">
      <w:pPr>
        <w:rPr>
          <w:szCs w:val="18"/>
        </w:rPr>
      </w:pPr>
      <w:r>
        <w:rPr>
          <w:szCs w:val="18"/>
        </w:rPr>
        <w:t xml:space="preserve">Έως το τέλος του 2017, </w:t>
      </w:r>
      <w:r w:rsidRPr="00986830">
        <w:rPr>
          <w:szCs w:val="18"/>
        </w:rPr>
        <w:t>είχαν εκδοθεί</w:t>
      </w:r>
      <w:r w:rsidRPr="0004617F">
        <w:rPr>
          <w:b/>
          <w:szCs w:val="18"/>
        </w:rPr>
        <w:t xml:space="preserve"> 3 Προσκλήσεις</w:t>
      </w:r>
      <w:r>
        <w:rPr>
          <w:szCs w:val="18"/>
        </w:rPr>
        <w:t xml:space="preserve">, οι δύο εκ των οποίων αφορούσαν στην ενίσχυση υποδομών έρευνας και τεχνολογίας (δύο κύκλοι) και η τρίτη αφορούσε στην </w:t>
      </w:r>
      <w:r w:rsidRPr="00512C7A">
        <w:rPr>
          <w:szCs w:val="18"/>
        </w:rPr>
        <w:t>ενίσχυση έργων υψηλής ερευνητικής και επιστημονικής στάθμης</w:t>
      </w:r>
      <w:r>
        <w:rPr>
          <w:szCs w:val="18"/>
        </w:rPr>
        <w:t xml:space="preserve"> </w:t>
      </w:r>
      <w:r w:rsidRPr="00512C7A">
        <w:rPr>
          <w:szCs w:val="18"/>
        </w:rPr>
        <w:t xml:space="preserve">και </w:t>
      </w:r>
      <w:r>
        <w:rPr>
          <w:szCs w:val="18"/>
        </w:rPr>
        <w:t xml:space="preserve">στην </w:t>
      </w:r>
      <w:r w:rsidRPr="00512C7A">
        <w:rPr>
          <w:szCs w:val="18"/>
        </w:rPr>
        <w:t>αξιοποίηση των αποτελεσ</w:t>
      </w:r>
      <w:r>
        <w:rPr>
          <w:szCs w:val="18"/>
        </w:rPr>
        <w:t xml:space="preserve">μάτων που θα προέλθουν από αυτά. Παρακάτω, παρατίθενται συνοπτικά στοιχεία των εν λόγω Προσκλήσεων. </w:t>
      </w:r>
    </w:p>
    <w:p w:rsidR="00EB4327" w:rsidRPr="0069759E"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i/>
        </w:rPr>
      </w:pPr>
      <w:r w:rsidRPr="0069759E">
        <w:rPr>
          <w:b/>
          <w:i/>
        </w:rPr>
        <w:t>Πρόσκληση: «Ενίσχυση των υποδομών έρευνας και καινοτομίας» (Α΄ κύκλος)</w:t>
      </w:r>
    </w:p>
    <w:p w:rsidR="00EB4327" w:rsidRPr="00DF43D2"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DF43D2">
        <w:t>Στις 29.07.2016 δημοσιεύθηκε η πρόσκληση (αρ. πρωτ. 4047/1137/Α2) «Ενίσχυση των υποδομών</w:t>
      </w:r>
      <w:r w:rsidRPr="00523EE7">
        <w:rPr>
          <w:i/>
        </w:rPr>
        <w:t xml:space="preserve"> </w:t>
      </w:r>
      <w:r w:rsidRPr="00DF43D2">
        <w:t xml:space="preserve">έρευνας και καινοτομίας». Ο προϋπολογισμός της πρόσκλησης ανέρχονταν 73.000.000 € (ΔΔ) και η καταληκτική ημερομηνία υποβολής προτάσεων ήταν η 21.10.2016.  </w:t>
      </w:r>
    </w:p>
    <w:p w:rsidR="00EB4327"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DF43D2">
        <w:t>Η Πρόσκληση αφορούσε στην υποβολή εκ μέρους συγκεκριμένων ερευνητικών φορέων της χώρας</w:t>
      </w:r>
      <w:r>
        <w:t xml:space="preserve"> (οι</w:t>
      </w:r>
      <w:r w:rsidRPr="002E3181">
        <w:t xml:space="preserve"> προτάσε</w:t>
      </w:r>
      <w:r>
        <w:t>ις</w:t>
      </w:r>
      <w:r w:rsidRPr="002E3181">
        <w:t xml:space="preserve"> των οποίων έχουν περιληφθεί στον κατάλογο υποδομών έρευνας, τεχνολογικής ανάπτυξης και καινοτομίας, ο οποίος εγκρίθηκε  μετά από αξιολόγηση ως προς τη συνάφεια με την Εθνικής Στρατηγική Έξυπνης Εξειδίκευσης των υποδομών Εθνικού δικού Χάρτη Ερευνητικών Υποδομών</w:t>
      </w:r>
      <w:r>
        <w:t>)</w:t>
      </w:r>
      <w:r w:rsidRPr="00DF43D2">
        <w:t>, επικαιροποιημένων αναλυτικών προτάσεων για την προπαρασκευαστική φάση ανάπτυξη της υποδομής η οποία θα περιλαμβάνει την εκτέλεση ερευνητικού έργου, βασικής ή εφαρμοσμένης έρευνας, δραστηριότητες δικτύωσης και ενίσχυσης της πρόσβασης. Στόχος της δράσης είναι η αύξηση της καινοτομικής ικανότητας της χώρας μέσα από την ενίσχυση σημαντικών υποδομών ΕΤΑΚ, τη διασύνδεσή τους με τον ιδιωτικό τομέα, την εξυπηρέτηση κοινωνικών προκλήσεων, καθώς και τη δικτύωσή τους με αντίστοιχες υποδομές στον Ευρωπαϊκό και Διεθνή χώρο.</w:t>
      </w:r>
    </w:p>
    <w:p w:rsidR="00EB4327" w:rsidRPr="00DF43D2" w:rsidRDefault="00EB4327" w:rsidP="00EB4327"/>
    <w:p w:rsidR="00EB4327" w:rsidRPr="0069759E"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i/>
        </w:rPr>
      </w:pPr>
      <w:r w:rsidRPr="0069759E">
        <w:rPr>
          <w:b/>
          <w:i/>
        </w:rPr>
        <w:t>Πρόσκληση: «Ενίσχυση των υποδομών έρευνας και καινοτομίας» (Β΄ κύκλος)</w:t>
      </w:r>
    </w:p>
    <w:p w:rsidR="00EB4327"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pPr>
      <w:r w:rsidRPr="00DF43D2">
        <w:t>Η Πρόσκληση αποτελεί το Β΄ κύκλο της πρόσκλησης «Ενίσχυση των υποδομών έρευνας και καινοτομίας» και εκδόθηκε στις 22.12.</w:t>
      </w:r>
      <w:r w:rsidRPr="000D5F33">
        <w:rPr>
          <w:szCs w:val="18"/>
        </w:rPr>
        <w:t>2017</w:t>
      </w:r>
      <w:r w:rsidRPr="00DF43D2">
        <w:t xml:space="preserve"> (αρ. πρωτ. 7064/1968/Α2). Ο προϋπολογισμός της Πρόσκλησης ανέρχεται σε 20.000.000 € (ΔΔ) και η καταληκτική της ημερομηνία ήταν η 30.03.2018.</w:t>
      </w:r>
    </w:p>
    <w:p w:rsidR="00EB4327" w:rsidRDefault="00EB4327" w:rsidP="00EB4327"/>
    <w:p w:rsidR="00C7515C" w:rsidRPr="00DF43D2" w:rsidRDefault="00C7515C" w:rsidP="00EB4327"/>
    <w:p w:rsidR="00EB4327" w:rsidRPr="0069759E"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b/>
          <w:i/>
        </w:rPr>
      </w:pPr>
      <w:r w:rsidRPr="0069759E">
        <w:rPr>
          <w:b/>
          <w:i/>
        </w:rPr>
        <w:t>Πρόσκληση: «Δράση στρατηγικής ανάπτυξης ερευνητικών και τεχνολογικών φορέων»</w:t>
      </w:r>
    </w:p>
    <w:p w:rsidR="00EB4327" w:rsidRPr="000D5F33"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szCs w:val="18"/>
        </w:rPr>
      </w:pPr>
      <w:r w:rsidRPr="000D5F33">
        <w:rPr>
          <w:szCs w:val="18"/>
        </w:rPr>
        <w:t xml:space="preserve">Στις 29.07.2016 δημοσιεύθηκε η πρόσκληση (αρ. πρωτ. 4045/1136/Α2) «Δράση στρατηγικής ανάπτυξης ερευνητικών και τεχνολογικών φορέων». Ο προϋπολογισμός της πρόσκλησης ανέρχονταν 31.860.000 € (ΔΔ) και η καταληκτική ημερομηνία υποβολής προτάσεων ήταν η 23.09.2016.  </w:t>
      </w:r>
    </w:p>
    <w:p w:rsidR="00EB4327" w:rsidRPr="000D5F33" w:rsidRDefault="00EB4327" w:rsidP="00EB4327">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rPr>
          <w:szCs w:val="18"/>
        </w:rPr>
      </w:pPr>
      <w:r w:rsidRPr="000D5F33">
        <w:rPr>
          <w:szCs w:val="18"/>
        </w:rPr>
        <w:t xml:space="preserve">Η Πρόσκληση απευθυνόταν σε ΝΠΔΔ και ΝΠΙΔ, εποπτευόμενα από τη ΓΓΕΤ Ερευνητικών Κέντρων / Ινστιτούτων και Τεχνολογικών Φορέων για την υποβολή προτάσεων σχετικών με τους στόχους της Δράσης στρατηγικής ανάπτυξης ερευνητικών και τεχνολογικών φορέων. Βασική επιδίωξη της Δράσης είναι η ενίσχυση της έρευνας και η εν δυνάμει αξιοποίηση των αποτελεσμάτων που θα προέλθουν από αυτήν, με την υλοποίηση έργων υψηλής ερευνητικής και επιστημονικής στάθμης, τα οποία αποτελούν χρήσιμο εργαλείο στη χάραξη της στρατηγικής ανάπτυξης των εποπτευόμενων από τη ΓΓΕΤ Ερευνητικών και Τεχνολογικών Φορέων προς την κατεύθυνση που θέτει η RIS3 2014-2020. </w:t>
      </w:r>
    </w:p>
    <w:p w:rsidR="00EB4327" w:rsidRDefault="00EB4327" w:rsidP="00EB4327">
      <w:pPr>
        <w:rPr>
          <w:szCs w:val="18"/>
        </w:rPr>
      </w:pPr>
      <w:r>
        <w:t xml:space="preserve">Σημειώνεται δε, ότι στο πλαίσιο των προσκλήσεων αυτών, </w:t>
      </w:r>
      <w:r w:rsidRPr="0069759E">
        <w:rPr>
          <w:b/>
        </w:rPr>
        <w:t xml:space="preserve">δε γίνονταν αναφορά στους τομείς Προτεραιότητας της </w:t>
      </w:r>
      <w:r w:rsidRPr="0069759E">
        <w:rPr>
          <w:b/>
          <w:szCs w:val="18"/>
        </w:rPr>
        <w:t>RIS3</w:t>
      </w:r>
      <w:r w:rsidRPr="000D5F33">
        <w:rPr>
          <w:szCs w:val="18"/>
        </w:rPr>
        <w:t>, συνεπώς θεωρείται ότι οι εν δυνάμει δράσεις συμβάλλουν στις οριζόντιες συνιστώσες της RIS3 και κυρίως στη δημιουργία υποδομών έρευνας και καινοτομίας, που συνεισφέρουν με τη σειρά τους στη διευκόλυνση για την ανάπτυξη καινοτόμων προϊόντων και υπηρεσιών, στην παραγωγή  νέας γνώσης, στη διασύνδεση της επιστήμης με την κοινωνία και στη διεθνή συνεργασία.</w:t>
      </w:r>
    </w:p>
    <w:p w:rsidR="00EB4327" w:rsidRDefault="00EB4327" w:rsidP="00EB4327">
      <w:r>
        <w:t xml:space="preserve">Οι προκηρυχθείσες δράσεις εντάσσονται στη </w:t>
      </w:r>
      <w:r w:rsidRPr="00914FBC">
        <w:rPr>
          <w:b/>
        </w:rPr>
        <w:t>Στρατηγική Επιλογή 1</w:t>
      </w:r>
      <w:r>
        <w:t xml:space="preserve"> «Επένδυση στη δημιουργία και διάχυση τη Νέας Γνώσης» της </w:t>
      </w:r>
      <w:r>
        <w:rPr>
          <w:lang w:val="en-US"/>
        </w:rPr>
        <w:t>RIS</w:t>
      </w:r>
      <w:r w:rsidRPr="005A73A7">
        <w:t>3</w:t>
      </w:r>
      <w:r>
        <w:t xml:space="preserve">, στον </w:t>
      </w:r>
      <w:r w:rsidRPr="00914FBC">
        <w:rPr>
          <w:b/>
        </w:rPr>
        <w:t>Άξονα Παρέμβασης</w:t>
      </w:r>
      <w:r>
        <w:t xml:space="preserve"> «α. Ανάπτυξη δυναμικού (</w:t>
      </w:r>
      <w:r>
        <w:rPr>
          <w:lang w:val="en-US"/>
        </w:rPr>
        <w:t>capacity</w:t>
      </w:r>
      <w:r w:rsidRPr="00F612FE">
        <w:t xml:space="preserve"> </w:t>
      </w:r>
      <w:r>
        <w:rPr>
          <w:lang w:val="en-US"/>
        </w:rPr>
        <w:t>building</w:t>
      </w:r>
      <w:r>
        <w:t xml:space="preserve">)» και, στην </w:t>
      </w:r>
      <w:r w:rsidRPr="00914FBC">
        <w:rPr>
          <w:b/>
        </w:rPr>
        <w:t>κατηγορί</w:t>
      </w:r>
      <w:r>
        <w:rPr>
          <w:b/>
        </w:rPr>
        <w:t>α</w:t>
      </w:r>
      <w:r w:rsidRPr="00914FBC">
        <w:rPr>
          <w:b/>
        </w:rPr>
        <w:t xml:space="preserve"> παρέμβασης</w:t>
      </w:r>
      <w:r>
        <w:t xml:space="preserve"> «</w:t>
      </w:r>
      <w:r w:rsidRPr="00F612FE">
        <w:t>Ανάπτυξη δυναμικού ΕΤΑΚ στους τομείς εξειδίκευσης</w:t>
      </w:r>
      <w:r>
        <w:t xml:space="preserve">» (1.α.1 Ενίσχυση ερευνητικών υποδομών σύμφωνα με τον Εθνικό Οδικό Χάρτη Ερευνητικών Υποδομών» καθώς επίσης και στον </w:t>
      </w:r>
      <w:r w:rsidRPr="00914FBC">
        <w:rPr>
          <w:b/>
        </w:rPr>
        <w:t>Άξονα Παρέμβασης</w:t>
      </w:r>
      <w:r>
        <w:rPr>
          <w:b/>
        </w:rPr>
        <w:t xml:space="preserve"> </w:t>
      </w:r>
      <w:r w:rsidRPr="004C4D4D">
        <w:t>«β. Ενίσχυση δραστηριοτήτων ΕΤΑΚ»</w:t>
      </w:r>
      <w:r>
        <w:t xml:space="preserve"> και στην </w:t>
      </w:r>
      <w:r w:rsidRPr="003731B9">
        <w:rPr>
          <w:b/>
        </w:rPr>
        <w:t>κατηγορία παρέμβασης</w:t>
      </w:r>
      <w:r>
        <w:t xml:space="preserve"> «1.β Ενίσχυση δραστηριοτήτων ΕΤΑΚ» (1.β.8 Στρατηγικά σχέδια ερευνητικών φορέων (ΚΡΗΠΙΣ ΕΚ), 1.β.9 «Ολοκληρωμένες Στρατηγικές Έρευνας ΑΕΙ (ΚΡΗΠΙΣ ΑΕΙ)»).</w:t>
      </w:r>
    </w:p>
    <w:p w:rsidR="00EB4327" w:rsidRPr="000D5F33" w:rsidRDefault="00EB4327" w:rsidP="00EB4327">
      <w:pPr>
        <w:rPr>
          <w:szCs w:val="18"/>
        </w:rPr>
      </w:pPr>
      <w:r w:rsidRPr="000D5F33">
        <w:rPr>
          <w:szCs w:val="18"/>
        </w:rPr>
        <w:t>Τα συνολικά στοιχεία για την εξέλιξη της υλοποίησης των δράσεων της εν λόγω Επενδυτικής Προτεραιότητας, παρουσιάζονται στους κάτωθι πίνακες.</w:t>
      </w:r>
    </w:p>
    <w:p w:rsidR="00EB4327" w:rsidRPr="000B5AD2" w:rsidRDefault="000B5AD2" w:rsidP="00EB4327">
      <w:pPr>
        <w:rPr>
          <w:szCs w:val="18"/>
        </w:rPr>
      </w:pPr>
      <w:r>
        <w:rPr>
          <w:szCs w:val="18"/>
        </w:rPr>
        <w:t>Από τα στοιχεία</w:t>
      </w:r>
      <w:r w:rsidR="00EB4327" w:rsidRPr="000B5AD2">
        <w:rPr>
          <w:szCs w:val="18"/>
        </w:rPr>
        <w:t xml:space="preserve"> προκύπτει ότι ο προϋπολογισμός των τριών προσκλήσεων </w:t>
      </w:r>
      <w:r w:rsidRPr="000B5AD2">
        <w:rPr>
          <w:szCs w:val="18"/>
        </w:rPr>
        <w:t xml:space="preserve">που εκδόθηκαν </w:t>
      </w:r>
      <w:r>
        <w:rPr>
          <w:szCs w:val="18"/>
        </w:rPr>
        <w:t xml:space="preserve">ανήλθε </w:t>
      </w:r>
      <w:r w:rsidRPr="000B5AD2">
        <w:rPr>
          <w:szCs w:val="18"/>
        </w:rPr>
        <w:t>σε 124.</w:t>
      </w:r>
      <w:r w:rsidR="00EB4327" w:rsidRPr="000B5AD2">
        <w:rPr>
          <w:szCs w:val="18"/>
        </w:rPr>
        <w:t>860</w:t>
      </w:r>
      <w:r w:rsidR="00620C14">
        <w:rPr>
          <w:szCs w:val="18"/>
        </w:rPr>
        <w:t>.</w:t>
      </w:r>
      <w:r w:rsidR="00EB4327" w:rsidRPr="000B5AD2">
        <w:rPr>
          <w:szCs w:val="18"/>
        </w:rPr>
        <w:t>000</w:t>
      </w:r>
      <w:r w:rsidR="00620C14">
        <w:rPr>
          <w:szCs w:val="18"/>
        </w:rPr>
        <w:t xml:space="preserve"> </w:t>
      </w:r>
      <w:r w:rsidR="00EB4327" w:rsidRPr="000B5AD2">
        <w:rPr>
          <w:szCs w:val="18"/>
        </w:rPr>
        <w:t>€, με το ήμισυ – περίπου – αυτού να αφορά στις λιγότερο ανεπτυγμένες Περιφέρειες (44,90%).</w:t>
      </w:r>
    </w:p>
    <w:p w:rsidR="00EB4327" w:rsidRPr="000B5AD2" w:rsidRDefault="00EB4327" w:rsidP="00EB4327">
      <w:pPr>
        <w:rPr>
          <w:szCs w:val="18"/>
        </w:rPr>
      </w:pPr>
      <w:r w:rsidRPr="000B5AD2">
        <w:rPr>
          <w:szCs w:val="18"/>
        </w:rPr>
        <w:t xml:space="preserve">Ως προς τις εντάξεις έργων, το ποσοστό του προϋπολογισμού αυτών κρίνεται ικανοποιητικό, καθώς ανέρχεται σε 85,06% του διατιθέμενου προϋπολογισμού στις Προσκλήσεις. Το μεγαλύτερο ποσοστό του προϋπολογισμού των ενταγμένων έργων αφορά στις περισσότερο ανεπτυγμένες Περιφέρειες (56,86%). </w:t>
      </w:r>
    </w:p>
    <w:p w:rsidR="00EB4327" w:rsidRPr="000B5AD2" w:rsidRDefault="00EB4327" w:rsidP="00EB4327">
      <w:pPr>
        <w:rPr>
          <w:szCs w:val="18"/>
        </w:rPr>
      </w:pPr>
      <w:r w:rsidRPr="000B5AD2">
        <w:rPr>
          <w:szCs w:val="18"/>
        </w:rPr>
        <w:t>Σημειώνεται ότι στο πλαίσιο της Πρόσκλησης «Ενίσχυση των υποδομών έρευνας και καινοτομίας (Α΄ κύκλος)», πραγματοποιήθηκε υπέρβαση του διατιθέμενου προϋπολογισμού για την κατηγορία των περισσότερο ανεπτυγμένων Περιφερειών, εντάσσοντας έργα σημαντικά μεγαλύτερου προϋπολογισμού (</w:t>
      </w:r>
      <w:r w:rsidR="00031D0E" w:rsidRPr="00031D0E">
        <w:rPr>
          <w:szCs w:val="18"/>
        </w:rPr>
        <w:t xml:space="preserve">60.385.892,73 </w:t>
      </w:r>
      <w:r w:rsidRPr="000B5AD2">
        <w:rPr>
          <w:szCs w:val="18"/>
        </w:rPr>
        <w:t xml:space="preserve">€ έναντι </w:t>
      </w:r>
      <w:r w:rsidR="00031D0E">
        <w:rPr>
          <w:szCs w:val="18"/>
        </w:rPr>
        <w:t>43</w:t>
      </w:r>
      <w:r w:rsidRPr="000B5AD2">
        <w:rPr>
          <w:szCs w:val="18"/>
        </w:rPr>
        <w:t>.</w:t>
      </w:r>
      <w:r w:rsidR="00031D0E">
        <w:rPr>
          <w:szCs w:val="18"/>
        </w:rPr>
        <w:t>580.000</w:t>
      </w:r>
      <w:r w:rsidRPr="000B5AD2">
        <w:rPr>
          <w:szCs w:val="18"/>
        </w:rPr>
        <w:t xml:space="preserve"> €), με αποτέλεσμα ο συνολικός προϋπολογισμός των ενταγμένων έργων στην εν λόγω κατηγορία Περιφερειών για το σύνολο της επενδυτικής προτεραιότητας 1</w:t>
      </w:r>
      <w:r w:rsidRPr="000B5AD2">
        <w:rPr>
          <w:szCs w:val="18"/>
          <w:lang w:val="en-US"/>
        </w:rPr>
        <w:t>a</w:t>
      </w:r>
      <w:r w:rsidRPr="000B5AD2">
        <w:rPr>
          <w:szCs w:val="18"/>
        </w:rPr>
        <w:t>, να υπερβαίνει κατά 16.805</w:t>
      </w:r>
      <w:r w:rsidR="00031D0E">
        <w:rPr>
          <w:szCs w:val="18"/>
        </w:rPr>
        <w:t>.</w:t>
      </w:r>
      <w:r w:rsidRPr="000B5AD2">
        <w:rPr>
          <w:szCs w:val="18"/>
        </w:rPr>
        <w:t xml:space="preserve">892,73 € τον συνολικό </w:t>
      </w:r>
      <w:r w:rsidR="00C05E30">
        <w:rPr>
          <w:szCs w:val="18"/>
        </w:rPr>
        <w:t>διαθέσιμο</w:t>
      </w:r>
      <w:r w:rsidRPr="000B5AD2">
        <w:rPr>
          <w:szCs w:val="18"/>
        </w:rPr>
        <w:t xml:space="preserve"> στις προσκλήσεις προϋπολογισμό. </w:t>
      </w:r>
    </w:p>
    <w:p w:rsidR="00EB4327" w:rsidRDefault="00C05E30" w:rsidP="00EB4327">
      <w:r>
        <w:rPr>
          <w:szCs w:val="18"/>
        </w:rPr>
        <w:t>Έ</w:t>
      </w:r>
      <w:r w:rsidRPr="000B5AD2">
        <w:rPr>
          <w:szCs w:val="18"/>
        </w:rPr>
        <w:t>ως</w:t>
      </w:r>
      <w:r w:rsidR="00EB4327" w:rsidRPr="000B5AD2">
        <w:rPr>
          <w:szCs w:val="18"/>
        </w:rPr>
        <w:t xml:space="preserve"> 31.12.2017 δεν </w:t>
      </w:r>
      <w:r>
        <w:rPr>
          <w:szCs w:val="18"/>
        </w:rPr>
        <w:t>υπήρξαν</w:t>
      </w:r>
      <w:r w:rsidR="00EB4327" w:rsidRPr="000B5AD2">
        <w:rPr>
          <w:szCs w:val="18"/>
        </w:rPr>
        <w:t xml:space="preserve"> καταχωρημένες δαπάνες στο ΟΠΣ.</w:t>
      </w:r>
      <w:r w:rsidR="00EB4327" w:rsidRPr="000B5AD2">
        <w:t xml:space="preserve"> </w:t>
      </w:r>
    </w:p>
    <w:p w:rsidR="00287BD7" w:rsidRPr="000B5AD2" w:rsidRDefault="00287BD7" w:rsidP="00EB4327"/>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sidR="00625E8D">
        <w:rPr>
          <w:noProof/>
        </w:rPr>
        <w:t>20</w:t>
      </w:r>
      <w:r>
        <w:t xml:space="preserve">: </w:t>
      </w:r>
      <w:r w:rsidRPr="0061319E">
        <w:t>Στοιχεία εντάξεων και πληρωμών (έως 31.12.201</w:t>
      </w:r>
      <w:r>
        <w:t>7</w:t>
      </w:r>
      <w:r w:rsidRPr="0061319E">
        <w:t>) δράσεων που υποβλήθηκαν στο πλαίσιο προσκλήσεων στην Επενδυτική Προτεραιότητα 1</w:t>
      </w:r>
      <w:r w:rsidRPr="0061319E">
        <w:rPr>
          <w:lang w:val="en-US"/>
        </w:rPr>
        <w:t>a</w:t>
      </w:r>
    </w:p>
    <w:tbl>
      <w:tblPr>
        <w:tblStyle w:val="TableGrid1"/>
        <w:tblW w:w="935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163"/>
        <w:gridCol w:w="1622"/>
        <w:gridCol w:w="1529"/>
        <w:gridCol w:w="1529"/>
        <w:gridCol w:w="1509"/>
      </w:tblGrid>
      <w:tr w:rsidR="00EB4327" w:rsidRPr="009A205D" w:rsidTr="00B43049">
        <w:trPr>
          <w:trHeight w:val="825"/>
          <w:tblHeader/>
          <w:jc w:val="center"/>
        </w:trPr>
        <w:tc>
          <w:tcPr>
            <w:tcW w:w="3163"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b/>
                <w:color w:val="FFFFFF" w:themeColor="background1"/>
                <w:sz w:val="16"/>
                <w:szCs w:val="16"/>
              </w:rPr>
              <w:t>Επενδυτική Προτεραιότητα 1a</w:t>
            </w:r>
          </w:p>
        </w:tc>
        <w:tc>
          <w:tcPr>
            <w:tcW w:w="1622"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Σύνολο</w:t>
            </w:r>
          </w:p>
        </w:tc>
        <w:tc>
          <w:tcPr>
            <w:tcW w:w="152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Περισσότερο Ανεπτυγμένες Περιφέρειες</w:t>
            </w:r>
          </w:p>
        </w:tc>
        <w:tc>
          <w:tcPr>
            <w:tcW w:w="152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Περιφέρειες σε Μετάβαση</w:t>
            </w:r>
          </w:p>
        </w:tc>
        <w:tc>
          <w:tcPr>
            <w:tcW w:w="150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Λιγότερο Ανεπτυγμένες Περιφέρειες</w:t>
            </w:r>
          </w:p>
        </w:tc>
      </w:tr>
      <w:tr w:rsidR="00EB4327" w:rsidRPr="009A205D" w:rsidTr="00B43049">
        <w:trPr>
          <w:trHeight w:val="285"/>
          <w:jc w:val="center"/>
        </w:trPr>
        <w:tc>
          <w:tcPr>
            <w:tcW w:w="3163" w:type="dxa"/>
            <w:hideMark/>
          </w:tcPr>
          <w:p w:rsidR="00EB4327" w:rsidRPr="00DF2AEA" w:rsidRDefault="00EB4327" w:rsidP="00B43049">
            <w:pPr>
              <w:rPr>
                <w:rFonts w:cs="Calibri"/>
                <w:sz w:val="16"/>
                <w:szCs w:val="16"/>
              </w:rPr>
            </w:pPr>
            <w:r w:rsidRPr="00DF2AEA">
              <w:rPr>
                <w:sz w:val="16"/>
                <w:szCs w:val="16"/>
              </w:rPr>
              <w:t>Προϋπ/σμός προσκλήσεων</w:t>
            </w:r>
          </w:p>
        </w:tc>
        <w:tc>
          <w:tcPr>
            <w:tcW w:w="1622" w:type="dxa"/>
            <w:hideMark/>
          </w:tcPr>
          <w:p w:rsidR="00EB4327" w:rsidRPr="00AA4DB3" w:rsidRDefault="00EB4327" w:rsidP="00B43049">
            <w:pPr>
              <w:jc w:val="center"/>
              <w:rPr>
                <w:sz w:val="16"/>
                <w:szCs w:val="16"/>
              </w:rPr>
            </w:pPr>
            <w:r w:rsidRPr="00AA4DB3">
              <w:rPr>
                <w:sz w:val="16"/>
                <w:szCs w:val="16"/>
              </w:rPr>
              <w:t xml:space="preserve"> 124.860.000,00 </w:t>
            </w:r>
          </w:p>
        </w:tc>
        <w:tc>
          <w:tcPr>
            <w:tcW w:w="1529" w:type="dxa"/>
            <w:hideMark/>
          </w:tcPr>
          <w:p w:rsidR="00EB4327" w:rsidRPr="00AA4DB3" w:rsidRDefault="00EB4327" w:rsidP="00B43049">
            <w:pPr>
              <w:jc w:val="center"/>
              <w:rPr>
                <w:sz w:val="16"/>
                <w:szCs w:val="16"/>
              </w:rPr>
            </w:pPr>
            <w:r w:rsidRPr="00AA4DB3">
              <w:rPr>
                <w:sz w:val="16"/>
                <w:szCs w:val="16"/>
              </w:rPr>
              <w:t>43.580.000,00 €</w:t>
            </w:r>
          </w:p>
        </w:tc>
        <w:tc>
          <w:tcPr>
            <w:tcW w:w="1529" w:type="dxa"/>
            <w:hideMark/>
          </w:tcPr>
          <w:p w:rsidR="00EB4327" w:rsidRPr="00AA4DB3" w:rsidRDefault="00EB4327" w:rsidP="00B43049">
            <w:pPr>
              <w:jc w:val="center"/>
              <w:rPr>
                <w:sz w:val="16"/>
                <w:szCs w:val="16"/>
              </w:rPr>
            </w:pPr>
            <w:r w:rsidRPr="00AA4DB3">
              <w:rPr>
                <w:sz w:val="16"/>
                <w:szCs w:val="16"/>
              </w:rPr>
              <w:t>25.219.630,00 €</w:t>
            </w:r>
          </w:p>
        </w:tc>
        <w:tc>
          <w:tcPr>
            <w:tcW w:w="1509" w:type="dxa"/>
            <w:hideMark/>
          </w:tcPr>
          <w:p w:rsidR="00EB4327" w:rsidRPr="00AA4DB3" w:rsidRDefault="00EB4327" w:rsidP="00B43049">
            <w:pPr>
              <w:jc w:val="center"/>
              <w:rPr>
                <w:sz w:val="16"/>
                <w:szCs w:val="16"/>
              </w:rPr>
            </w:pPr>
            <w:r w:rsidRPr="00AA4DB3">
              <w:rPr>
                <w:sz w:val="16"/>
                <w:szCs w:val="16"/>
              </w:rPr>
              <w:t>56.060.370,00 €</w:t>
            </w:r>
          </w:p>
        </w:tc>
      </w:tr>
      <w:tr w:rsidR="00EB4327" w:rsidRPr="009A205D" w:rsidTr="00B43049">
        <w:trPr>
          <w:trHeight w:val="255"/>
          <w:jc w:val="center"/>
        </w:trPr>
        <w:tc>
          <w:tcPr>
            <w:tcW w:w="3163" w:type="dxa"/>
            <w:hideMark/>
          </w:tcPr>
          <w:p w:rsidR="00EB4327" w:rsidRPr="00DF2AEA" w:rsidRDefault="00EB4327" w:rsidP="00B43049">
            <w:pPr>
              <w:rPr>
                <w:rFonts w:cs="Calibri"/>
                <w:sz w:val="16"/>
                <w:szCs w:val="16"/>
              </w:rPr>
            </w:pPr>
            <w:r w:rsidRPr="00DF2AEA">
              <w:rPr>
                <w:sz w:val="16"/>
                <w:szCs w:val="16"/>
              </w:rPr>
              <w:lastRenderedPageBreak/>
              <w:t xml:space="preserve">Προϋπ/σμός ενταγμένων έργων (ΔΔ): </w:t>
            </w:r>
          </w:p>
        </w:tc>
        <w:tc>
          <w:tcPr>
            <w:tcW w:w="1622" w:type="dxa"/>
            <w:hideMark/>
          </w:tcPr>
          <w:p w:rsidR="00EB4327" w:rsidRPr="00AA4DB3" w:rsidRDefault="00EB4327" w:rsidP="00B43049">
            <w:pPr>
              <w:jc w:val="center"/>
              <w:rPr>
                <w:sz w:val="16"/>
                <w:szCs w:val="16"/>
              </w:rPr>
            </w:pPr>
            <w:r w:rsidRPr="00AA4DB3">
              <w:rPr>
                <w:sz w:val="16"/>
                <w:szCs w:val="16"/>
              </w:rPr>
              <w:t xml:space="preserve"> 106.200.933,96 </w:t>
            </w:r>
          </w:p>
        </w:tc>
        <w:tc>
          <w:tcPr>
            <w:tcW w:w="1529" w:type="dxa"/>
            <w:hideMark/>
          </w:tcPr>
          <w:p w:rsidR="00EB4327" w:rsidRPr="00AA4DB3" w:rsidRDefault="00EB4327" w:rsidP="00B43049">
            <w:pPr>
              <w:jc w:val="center"/>
              <w:rPr>
                <w:sz w:val="16"/>
                <w:szCs w:val="16"/>
              </w:rPr>
            </w:pPr>
            <w:r w:rsidRPr="00AA4DB3">
              <w:rPr>
                <w:sz w:val="16"/>
                <w:szCs w:val="16"/>
              </w:rPr>
              <w:t>60.385.892,73 €</w:t>
            </w:r>
          </w:p>
        </w:tc>
        <w:tc>
          <w:tcPr>
            <w:tcW w:w="1529" w:type="dxa"/>
            <w:hideMark/>
          </w:tcPr>
          <w:p w:rsidR="00EB4327" w:rsidRPr="00AA4DB3" w:rsidRDefault="00EB4327" w:rsidP="00B43049">
            <w:pPr>
              <w:jc w:val="center"/>
              <w:rPr>
                <w:sz w:val="16"/>
                <w:szCs w:val="16"/>
              </w:rPr>
            </w:pPr>
            <w:r w:rsidRPr="00AA4DB3">
              <w:rPr>
                <w:sz w:val="16"/>
                <w:szCs w:val="16"/>
              </w:rPr>
              <w:t>14.740.638,65 €</w:t>
            </w:r>
          </w:p>
        </w:tc>
        <w:tc>
          <w:tcPr>
            <w:tcW w:w="1509" w:type="dxa"/>
            <w:hideMark/>
          </w:tcPr>
          <w:p w:rsidR="00EB4327" w:rsidRPr="00AA4DB3" w:rsidRDefault="00EB4327" w:rsidP="00B43049">
            <w:pPr>
              <w:jc w:val="center"/>
              <w:rPr>
                <w:sz w:val="16"/>
                <w:szCs w:val="16"/>
              </w:rPr>
            </w:pPr>
            <w:r w:rsidRPr="00AA4DB3">
              <w:rPr>
                <w:sz w:val="16"/>
                <w:szCs w:val="16"/>
              </w:rPr>
              <w:t>31.074.402,58 €</w:t>
            </w:r>
          </w:p>
        </w:tc>
      </w:tr>
      <w:tr w:rsidR="00EB4327" w:rsidRPr="009A205D" w:rsidTr="00B43049">
        <w:trPr>
          <w:trHeight w:val="255"/>
          <w:jc w:val="center"/>
        </w:trPr>
        <w:tc>
          <w:tcPr>
            <w:tcW w:w="3163" w:type="dxa"/>
            <w:hideMark/>
          </w:tcPr>
          <w:p w:rsidR="00EB4327" w:rsidRPr="00DF2AEA" w:rsidRDefault="00EB4327" w:rsidP="00B43049">
            <w:pPr>
              <w:rPr>
                <w:rFonts w:cs="Calibri"/>
                <w:sz w:val="16"/>
                <w:szCs w:val="16"/>
              </w:rPr>
            </w:pPr>
            <w:r w:rsidRPr="00DF2AEA">
              <w:rPr>
                <w:sz w:val="16"/>
                <w:szCs w:val="16"/>
              </w:rPr>
              <w:t xml:space="preserve">Δαπάνες έργων (ΔΔ): </w:t>
            </w:r>
          </w:p>
        </w:tc>
        <w:tc>
          <w:tcPr>
            <w:tcW w:w="1622" w:type="dxa"/>
            <w:hideMark/>
          </w:tcPr>
          <w:p w:rsidR="00EB4327" w:rsidRPr="00AA4DB3" w:rsidRDefault="00EB4327" w:rsidP="00B43049">
            <w:pPr>
              <w:jc w:val="center"/>
              <w:rPr>
                <w:sz w:val="16"/>
                <w:szCs w:val="16"/>
              </w:rPr>
            </w:pPr>
            <w:r w:rsidRPr="00AA4DB3">
              <w:rPr>
                <w:sz w:val="16"/>
                <w:szCs w:val="16"/>
              </w:rPr>
              <w:t>0,00 €</w:t>
            </w:r>
          </w:p>
        </w:tc>
        <w:tc>
          <w:tcPr>
            <w:tcW w:w="1529" w:type="dxa"/>
            <w:hideMark/>
          </w:tcPr>
          <w:p w:rsidR="00EB4327" w:rsidRPr="00AA4DB3" w:rsidRDefault="00EB4327" w:rsidP="00B43049">
            <w:pPr>
              <w:jc w:val="center"/>
              <w:rPr>
                <w:sz w:val="16"/>
                <w:szCs w:val="16"/>
              </w:rPr>
            </w:pPr>
            <w:r w:rsidRPr="00AA4DB3">
              <w:rPr>
                <w:sz w:val="16"/>
                <w:szCs w:val="16"/>
              </w:rPr>
              <w:t>0,00 €</w:t>
            </w:r>
          </w:p>
        </w:tc>
        <w:tc>
          <w:tcPr>
            <w:tcW w:w="1529" w:type="dxa"/>
            <w:hideMark/>
          </w:tcPr>
          <w:p w:rsidR="00EB4327" w:rsidRPr="00AA4DB3" w:rsidRDefault="00EB4327" w:rsidP="00B43049">
            <w:pPr>
              <w:jc w:val="center"/>
              <w:rPr>
                <w:sz w:val="16"/>
                <w:szCs w:val="16"/>
              </w:rPr>
            </w:pPr>
            <w:r w:rsidRPr="00AA4DB3">
              <w:rPr>
                <w:sz w:val="16"/>
                <w:szCs w:val="16"/>
              </w:rPr>
              <w:t>0,00 €</w:t>
            </w:r>
          </w:p>
        </w:tc>
        <w:tc>
          <w:tcPr>
            <w:tcW w:w="1509" w:type="dxa"/>
            <w:hideMark/>
          </w:tcPr>
          <w:p w:rsidR="00EB4327" w:rsidRPr="00AA4DB3" w:rsidRDefault="00EB4327" w:rsidP="00B43049">
            <w:pPr>
              <w:jc w:val="center"/>
              <w:rPr>
                <w:sz w:val="16"/>
                <w:szCs w:val="16"/>
              </w:rPr>
            </w:pPr>
            <w:r w:rsidRPr="00AA4DB3">
              <w:rPr>
                <w:sz w:val="16"/>
                <w:szCs w:val="16"/>
              </w:rPr>
              <w:t>0,00 €</w:t>
            </w:r>
          </w:p>
        </w:tc>
      </w:tr>
      <w:tr w:rsidR="00EB4327" w:rsidRPr="009A205D" w:rsidTr="00B43049">
        <w:trPr>
          <w:trHeight w:val="255"/>
          <w:jc w:val="center"/>
        </w:trPr>
        <w:tc>
          <w:tcPr>
            <w:tcW w:w="3163" w:type="dxa"/>
            <w:hideMark/>
          </w:tcPr>
          <w:p w:rsidR="00EB4327" w:rsidRPr="00DF2AEA" w:rsidRDefault="00EB4327" w:rsidP="00B43049">
            <w:pPr>
              <w:rPr>
                <w:rFonts w:cs="Calibri"/>
                <w:sz w:val="16"/>
                <w:szCs w:val="16"/>
              </w:rPr>
            </w:pPr>
            <w:r w:rsidRPr="00DF2AEA">
              <w:rPr>
                <w:sz w:val="16"/>
                <w:szCs w:val="16"/>
              </w:rPr>
              <w:t>Αριθμ. ενταγμένων πράξεων:</w:t>
            </w:r>
          </w:p>
        </w:tc>
        <w:tc>
          <w:tcPr>
            <w:tcW w:w="1622" w:type="dxa"/>
            <w:hideMark/>
          </w:tcPr>
          <w:p w:rsidR="00EB4327" w:rsidRPr="00AA4DB3" w:rsidRDefault="00EB4327" w:rsidP="00B43049">
            <w:pPr>
              <w:jc w:val="center"/>
              <w:rPr>
                <w:sz w:val="16"/>
                <w:szCs w:val="16"/>
              </w:rPr>
            </w:pPr>
            <w:r w:rsidRPr="00AA4DB3">
              <w:rPr>
                <w:sz w:val="16"/>
                <w:szCs w:val="16"/>
              </w:rPr>
              <w:t>50</w:t>
            </w:r>
          </w:p>
        </w:tc>
        <w:tc>
          <w:tcPr>
            <w:tcW w:w="1529" w:type="dxa"/>
            <w:hideMark/>
          </w:tcPr>
          <w:p w:rsidR="00EB4327" w:rsidRPr="00AA4DB3" w:rsidRDefault="00EB4327" w:rsidP="00B43049">
            <w:pPr>
              <w:jc w:val="center"/>
              <w:rPr>
                <w:sz w:val="16"/>
                <w:szCs w:val="16"/>
              </w:rPr>
            </w:pPr>
            <w:r w:rsidRPr="00AA4DB3">
              <w:rPr>
                <w:sz w:val="16"/>
                <w:szCs w:val="16"/>
              </w:rPr>
              <w:t>40</w:t>
            </w:r>
          </w:p>
        </w:tc>
        <w:tc>
          <w:tcPr>
            <w:tcW w:w="1529" w:type="dxa"/>
            <w:hideMark/>
          </w:tcPr>
          <w:p w:rsidR="00EB4327" w:rsidRPr="00AA4DB3" w:rsidRDefault="00EB4327" w:rsidP="00B43049">
            <w:pPr>
              <w:jc w:val="center"/>
              <w:rPr>
                <w:sz w:val="16"/>
                <w:szCs w:val="16"/>
              </w:rPr>
            </w:pPr>
            <w:r w:rsidRPr="00AA4DB3">
              <w:rPr>
                <w:sz w:val="16"/>
                <w:szCs w:val="16"/>
              </w:rPr>
              <w:t>20</w:t>
            </w:r>
          </w:p>
        </w:tc>
        <w:tc>
          <w:tcPr>
            <w:tcW w:w="1509" w:type="dxa"/>
            <w:hideMark/>
          </w:tcPr>
          <w:p w:rsidR="00EB4327" w:rsidRPr="00AA4DB3" w:rsidRDefault="00EB4327" w:rsidP="00B43049">
            <w:pPr>
              <w:jc w:val="center"/>
              <w:rPr>
                <w:sz w:val="16"/>
                <w:szCs w:val="16"/>
              </w:rPr>
            </w:pPr>
            <w:r w:rsidRPr="00AA4DB3">
              <w:rPr>
                <w:sz w:val="16"/>
                <w:szCs w:val="16"/>
              </w:rPr>
              <w:t>26</w:t>
            </w:r>
          </w:p>
        </w:tc>
      </w:tr>
      <w:tr w:rsidR="00EB4327" w:rsidRPr="009A205D" w:rsidTr="00B43049">
        <w:trPr>
          <w:trHeight w:val="255"/>
          <w:jc w:val="center"/>
        </w:trPr>
        <w:tc>
          <w:tcPr>
            <w:tcW w:w="3163" w:type="dxa"/>
            <w:hideMark/>
          </w:tcPr>
          <w:p w:rsidR="00EB4327" w:rsidRPr="00DF2AEA" w:rsidRDefault="00EB4327" w:rsidP="00B43049">
            <w:pPr>
              <w:rPr>
                <w:rFonts w:cs="Calibri"/>
                <w:sz w:val="16"/>
                <w:szCs w:val="16"/>
              </w:rPr>
            </w:pPr>
            <w:r w:rsidRPr="00DF2AEA">
              <w:rPr>
                <w:sz w:val="16"/>
                <w:szCs w:val="16"/>
              </w:rPr>
              <w:t>Αριθμ. υποέργων:</w:t>
            </w:r>
          </w:p>
        </w:tc>
        <w:tc>
          <w:tcPr>
            <w:tcW w:w="1622" w:type="dxa"/>
            <w:hideMark/>
          </w:tcPr>
          <w:p w:rsidR="00EB4327" w:rsidRPr="00AA4DB3" w:rsidRDefault="00EB4327" w:rsidP="00B43049">
            <w:pPr>
              <w:jc w:val="center"/>
              <w:rPr>
                <w:sz w:val="16"/>
                <w:szCs w:val="16"/>
              </w:rPr>
            </w:pPr>
            <w:r w:rsidRPr="00AA4DB3">
              <w:rPr>
                <w:sz w:val="16"/>
                <w:szCs w:val="16"/>
              </w:rPr>
              <w:t>305</w:t>
            </w:r>
          </w:p>
        </w:tc>
        <w:tc>
          <w:tcPr>
            <w:tcW w:w="1529" w:type="dxa"/>
            <w:hideMark/>
          </w:tcPr>
          <w:p w:rsidR="00EB4327" w:rsidRPr="00AA4DB3" w:rsidRDefault="00EB4327" w:rsidP="00B43049">
            <w:pPr>
              <w:jc w:val="center"/>
              <w:rPr>
                <w:sz w:val="16"/>
                <w:szCs w:val="16"/>
              </w:rPr>
            </w:pPr>
            <w:r w:rsidRPr="00AA4DB3">
              <w:rPr>
                <w:sz w:val="16"/>
                <w:szCs w:val="16"/>
              </w:rPr>
              <w:t>160</w:t>
            </w:r>
          </w:p>
        </w:tc>
        <w:tc>
          <w:tcPr>
            <w:tcW w:w="1529" w:type="dxa"/>
            <w:hideMark/>
          </w:tcPr>
          <w:p w:rsidR="00EB4327" w:rsidRPr="00AA4DB3" w:rsidRDefault="00EB4327" w:rsidP="00B43049">
            <w:pPr>
              <w:jc w:val="center"/>
              <w:rPr>
                <w:sz w:val="16"/>
                <w:szCs w:val="16"/>
              </w:rPr>
            </w:pPr>
            <w:r w:rsidRPr="00AA4DB3">
              <w:rPr>
                <w:sz w:val="16"/>
                <w:szCs w:val="16"/>
              </w:rPr>
              <w:t>48</w:t>
            </w:r>
          </w:p>
        </w:tc>
        <w:tc>
          <w:tcPr>
            <w:tcW w:w="1509" w:type="dxa"/>
            <w:hideMark/>
          </w:tcPr>
          <w:p w:rsidR="00EB4327" w:rsidRPr="00AA4DB3" w:rsidRDefault="00EB4327" w:rsidP="00B43049">
            <w:pPr>
              <w:jc w:val="center"/>
              <w:rPr>
                <w:sz w:val="16"/>
                <w:szCs w:val="16"/>
              </w:rPr>
            </w:pPr>
            <w:r w:rsidRPr="00AA4DB3">
              <w:rPr>
                <w:sz w:val="16"/>
                <w:szCs w:val="16"/>
              </w:rPr>
              <w:t>97</w:t>
            </w:r>
          </w:p>
        </w:tc>
      </w:tr>
    </w:tbl>
    <w:p w:rsidR="00EB4327" w:rsidRDefault="00EB4327" w:rsidP="00EB4327">
      <w:pPr>
        <w:ind w:left="1440" w:hanging="1440"/>
        <w:rPr>
          <w:b/>
          <w:sz w:val="16"/>
          <w:szCs w:val="16"/>
        </w:rPr>
      </w:pPr>
    </w:p>
    <w:p w:rsidR="00EB4327" w:rsidRPr="0061319E" w:rsidRDefault="00EB4327" w:rsidP="00EB4327">
      <w:pPr>
        <w:pStyle w:val="Caption"/>
      </w:pPr>
      <w:r>
        <w:t xml:space="preserve">Πίνακας </w:t>
      </w:r>
      <w:r>
        <w:rPr>
          <w:noProof/>
        </w:rPr>
        <w:fldChar w:fldCharType="begin"/>
      </w:r>
      <w:r>
        <w:rPr>
          <w:noProof/>
        </w:rPr>
        <w:instrText xml:space="preserve"> STYLEREF 1 \s </w:instrText>
      </w:r>
      <w:r>
        <w:rPr>
          <w:noProof/>
        </w:rPr>
        <w:fldChar w:fldCharType="separate"/>
      </w:r>
      <w:r w:rsidR="00332E24">
        <w:rPr>
          <w:noProof/>
        </w:rPr>
        <w:t>3</w:t>
      </w:r>
      <w:r>
        <w:rPr>
          <w:noProof/>
        </w:rPr>
        <w:fldChar w:fldCharType="end"/>
      </w:r>
      <w:r>
        <w:noBreakHyphen/>
      </w:r>
      <w:r>
        <w:rPr>
          <w:noProof/>
        </w:rPr>
        <w:fldChar w:fldCharType="begin"/>
      </w:r>
      <w:r>
        <w:rPr>
          <w:noProof/>
        </w:rPr>
        <w:instrText xml:space="preserve"> SEQ Πίνακας \* ARABIC \s 1 </w:instrText>
      </w:r>
      <w:r>
        <w:rPr>
          <w:noProof/>
        </w:rPr>
        <w:fldChar w:fldCharType="separate"/>
      </w:r>
      <w:r w:rsidR="00332E24">
        <w:rPr>
          <w:noProof/>
        </w:rPr>
        <w:t>9</w:t>
      </w:r>
      <w:r>
        <w:rPr>
          <w:noProof/>
        </w:rPr>
        <w:fldChar w:fldCharType="end"/>
      </w:r>
      <w:r>
        <w:t xml:space="preserve">: </w:t>
      </w:r>
      <w:r w:rsidRPr="0061319E">
        <w:t>Ποσοστιαία κατανομή εντάξεων και πληρωμών (έως 31.12.201</w:t>
      </w:r>
      <w:r>
        <w:t>7</w:t>
      </w:r>
      <w:r w:rsidRPr="0061319E">
        <w:t>) δράσεων που υποβλήθηκαν στο πλαίσιο προσκλήσεων στην Επενδυτική Προτεραιότητα 1</w:t>
      </w:r>
      <w:r w:rsidRPr="0061319E">
        <w:rPr>
          <w:lang w:val="en-US"/>
        </w:rPr>
        <w:t>a</w:t>
      </w:r>
    </w:p>
    <w:tbl>
      <w:tblPr>
        <w:tblStyle w:val="TableGrid1"/>
        <w:tblW w:w="9268"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809"/>
        <w:gridCol w:w="1569"/>
        <w:gridCol w:w="1342"/>
        <w:gridCol w:w="1548"/>
      </w:tblGrid>
      <w:tr w:rsidR="00EB4327" w:rsidRPr="00FC178C" w:rsidTr="00B43049">
        <w:trPr>
          <w:trHeight w:val="825"/>
          <w:jc w:val="center"/>
        </w:trPr>
        <w:tc>
          <w:tcPr>
            <w:tcW w:w="480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b/>
                <w:color w:val="FFFFFF" w:themeColor="background1"/>
                <w:sz w:val="16"/>
                <w:szCs w:val="16"/>
              </w:rPr>
              <w:t>Επενδυτική Προτεραιότητα 1a</w:t>
            </w:r>
          </w:p>
        </w:tc>
        <w:tc>
          <w:tcPr>
            <w:tcW w:w="1569"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Περισσότερο Ανεπτυγμένες Περιφέρειες</w:t>
            </w:r>
          </w:p>
        </w:tc>
        <w:tc>
          <w:tcPr>
            <w:tcW w:w="1342"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Περιφέρειες σε Μετάβαση</w:t>
            </w:r>
          </w:p>
        </w:tc>
        <w:tc>
          <w:tcPr>
            <w:tcW w:w="1548" w:type="dxa"/>
            <w:shd w:val="clear" w:color="auto" w:fill="800000"/>
            <w:vAlign w:val="center"/>
            <w:hideMark/>
          </w:tcPr>
          <w:p w:rsidR="00EB4327" w:rsidRPr="00F53B40" w:rsidRDefault="00EB4327" w:rsidP="00B43049">
            <w:pPr>
              <w:jc w:val="center"/>
              <w:rPr>
                <w:rFonts w:cs="Calibri"/>
                <w:b/>
                <w:bCs/>
                <w:color w:val="FFFFFF" w:themeColor="background1"/>
                <w:sz w:val="16"/>
                <w:szCs w:val="16"/>
              </w:rPr>
            </w:pPr>
            <w:r w:rsidRPr="00F53B40">
              <w:rPr>
                <w:rFonts w:cs="Calibri"/>
                <w:b/>
                <w:bCs/>
                <w:color w:val="FFFFFF" w:themeColor="background1"/>
                <w:sz w:val="16"/>
                <w:szCs w:val="16"/>
              </w:rPr>
              <w:t>Λιγότερο Ανεπτυγμένες Περιφέρειες</w:t>
            </w:r>
          </w:p>
        </w:tc>
      </w:tr>
      <w:tr w:rsidR="00EB4327" w:rsidRPr="00FC178C" w:rsidTr="00B43049">
        <w:trPr>
          <w:trHeight w:val="285"/>
          <w:jc w:val="center"/>
        </w:trPr>
        <w:tc>
          <w:tcPr>
            <w:tcW w:w="4809" w:type="dxa"/>
            <w:vAlign w:val="center"/>
            <w:hideMark/>
          </w:tcPr>
          <w:p w:rsidR="00EB4327" w:rsidRPr="006A206C" w:rsidRDefault="00EB4327" w:rsidP="00B43049">
            <w:pPr>
              <w:rPr>
                <w:rFonts w:cs="Calibri"/>
                <w:sz w:val="16"/>
                <w:szCs w:val="16"/>
              </w:rPr>
            </w:pPr>
            <w:r w:rsidRPr="006A206C">
              <w:rPr>
                <w:sz w:val="16"/>
                <w:szCs w:val="16"/>
              </w:rPr>
              <w:t xml:space="preserve">Ποσοστό προϋπ/σμού </w:t>
            </w:r>
            <w:r>
              <w:rPr>
                <w:sz w:val="16"/>
                <w:szCs w:val="16"/>
              </w:rPr>
              <w:t>των</w:t>
            </w:r>
            <w:r w:rsidRPr="006A206C">
              <w:rPr>
                <w:sz w:val="16"/>
                <w:szCs w:val="16"/>
              </w:rPr>
              <w:t xml:space="preserve"> Πρ</w:t>
            </w:r>
            <w:r>
              <w:rPr>
                <w:sz w:val="16"/>
                <w:szCs w:val="16"/>
              </w:rPr>
              <w:t>ο</w:t>
            </w:r>
            <w:r w:rsidRPr="006A206C">
              <w:rPr>
                <w:sz w:val="16"/>
                <w:szCs w:val="16"/>
              </w:rPr>
              <w:t>σκλ</w:t>
            </w:r>
            <w:r>
              <w:rPr>
                <w:sz w:val="16"/>
                <w:szCs w:val="16"/>
              </w:rPr>
              <w:t>ήσεων</w:t>
            </w:r>
            <w:r w:rsidRPr="006A206C">
              <w:rPr>
                <w:sz w:val="16"/>
                <w:szCs w:val="16"/>
              </w:rPr>
              <w:t xml:space="preserve"> που αφορ</w:t>
            </w:r>
            <w:r>
              <w:rPr>
                <w:sz w:val="16"/>
                <w:szCs w:val="16"/>
              </w:rPr>
              <w:t>ούν</w:t>
            </w:r>
            <w:r w:rsidRPr="006A206C">
              <w:rPr>
                <w:sz w:val="16"/>
                <w:szCs w:val="16"/>
              </w:rPr>
              <w:t xml:space="preserve"> στην κατηγορία Περιφέρειας</w:t>
            </w:r>
          </w:p>
        </w:tc>
        <w:tc>
          <w:tcPr>
            <w:tcW w:w="1569" w:type="dxa"/>
            <w:vAlign w:val="center"/>
            <w:hideMark/>
          </w:tcPr>
          <w:p w:rsidR="00EB4327" w:rsidRPr="003B1E7A" w:rsidRDefault="00EB4327" w:rsidP="00B43049">
            <w:pPr>
              <w:jc w:val="center"/>
            </w:pPr>
            <w:r w:rsidRPr="003B1E7A">
              <w:t>34,90%</w:t>
            </w:r>
          </w:p>
        </w:tc>
        <w:tc>
          <w:tcPr>
            <w:tcW w:w="1342" w:type="dxa"/>
            <w:vAlign w:val="center"/>
            <w:hideMark/>
          </w:tcPr>
          <w:p w:rsidR="00EB4327" w:rsidRPr="003B1E7A" w:rsidRDefault="00EB4327" w:rsidP="00B43049">
            <w:pPr>
              <w:jc w:val="center"/>
            </w:pPr>
            <w:r w:rsidRPr="003B1E7A">
              <w:t>20,20%</w:t>
            </w:r>
          </w:p>
        </w:tc>
        <w:tc>
          <w:tcPr>
            <w:tcW w:w="1548" w:type="dxa"/>
            <w:vAlign w:val="center"/>
            <w:hideMark/>
          </w:tcPr>
          <w:p w:rsidR="00EB4327" w:rsidRPr="003B1E7A" w:rsidRDefault="00EB4327" w:rsidP="00B43049">
            <w:pPr>
              <w:jc w:val="center"/>
            </w:pPr>
            <w:r w:rsidRPr="003B1E7A">
              <w:t>44,90%</w:t>
            </w:r>
          </w:p>
        </w:tc>
      </w:tr>
      <w:tr w:rsidR="00EB4327" w:rsidRPr="00FC178C" w:rsidTr="00B43049">
        <w:trPr>
          <w:trHeight w:val="255"/>
          <w:jc w:val="center"/>
        </w:trPr>
        <w:tc>
          <w:tcPr>
            <w:tcW w:w="4809" w:type="dxa"/>
            <w:vAlign w:val="center"/>
            <w:hideMark/>
          </w:tcPr>
          <w:p w:rsidR="00EB4327" w:rsidRPr="006A206C" w:rsidRDefault="00EB4327" w:rsidP="00B43049">
            <w:pPr>
              <w:rPr>
                <w:rFonts w:cs="Calibri"/>
                <w:sz w:val="16"/>
                <w:szCs w:val="16"/>
              </w:rPr>
            </w:pPr>
            <w:r w:rsidRPr="006A206C">
              <w:rPr>
                <w:sz w:val="16"/>
                <w:szCs w:val="16"/>
              </w:rPr>
              <w:t>Ποσοστό προϋπ/σμού ενταγμένων έργων ανά κατηγορία Περιφερειών</w:t>
            </w:r>
          </w:p>
        </w:tc>
        <w:tc>
          <w:tcPr>
            <w:tcW w:w="1569" w:type="dxa"/>
            <w:vAlign w:val="center"/>
            <w:hideMark/>
          </w:tcPr>
          <w:p w:rsidR="00EB4327" w:rsidRPr="003B1E7A" w:rsidRDefault="00EB4327" w:rsidP="00B43049">
            <w:pPr>
              <w:jc w:val="center"/>
            </w:pPr>
            <w:r w:rsidRPr="003B1E7A">
              <w:t>138,56%</w:t>
            </w:r>
          </w:p>
        </w:tc>
        <w:tc>
          <w:tcPr>
            <w:tcW w:w="1342" w:type="dxa"/>
            <w:vAlign w:val="center"/>
            <w:hideMark/>
          </w:tcPr>
          <w:p w:rsidR="00EB4327" w:rsidRPr="003B1E7A" w:rsidRDefault="00EB4327" w:rsidP="00B43049">
            <w:pPr>
              <w:jc w:val="center"/>
            </w:pPr>
            <w:r w:rsidRPr="003B1E7A">
              <w:t>58,45%</w:t>
            </w:r>
          </w:p>
        </w:tc>
        <w:tc>
          <w:tcPr>
            <w:tcW w:w="1548" w:type="dxa"/>
            <w:vAlign w:val="center"/>
            <w:hideMark/>
          </w:tcPr>
          <w:p w:rsidR="00EB4327" w:rsidRPr="003B1E7A" w:rsidRDefault="00EB4327" w:rsidP="00B43049">
            <w:pPr>
              <w:jc w:val="center"/>
            </w:pPr>
            <w:r w:rsidRPr="003B1E7A">
              <w:t>55,43%</w:t>
            </w:r>
          </w:p>
        </w:tc>
      </w:tr>
      <w:tr w:rsidR="00EB4327" w:rsidRPr="00FC178C" w:rsidTr="00B43049">
        <w:trPr>
          <w:trHeight w:val="255"/>
          <w:jc w:val="center"/>
        </w:trPr>
        <w:tc>
          <w:tcPr>
            <w:tcW w:w="4809" w:type="dxa"/>
            <w:vAlign w:val="center"/>
            <w:hideMark/>
          </w:tcPr>
          <w:p w:rsidR="00EB4327" w:rsidRPr="006A206C" w:rsidRDefault="00EB4327" w:rsidP="00B43049">
            <w:pPr>
              <w:rPr>
                <w:rFonts w:cs="Calibri"/>
                <w:sz w:val="16"/>
                <w:szCs w:val="16"/>
              </w:rPr>
            </w:pPr>
            <w:r w:rsidRPr="006A206C">
              <w:rPr>
                <w:sz w:val="16"/>
                <w:szCs w:val="16"/>
              </w:rPr>
              <w:t>Κατανομή του προϋπ/σμού (ΔΔ) των ενταγμένων έργων ανά κατηγορία Περιφερειών</w:t>
            </w:r>
          </w:p>
        </w:tc>
        <w:tc>
          <w:tcPr>
            <w:tcW w:w="1569" w:type="dxa"/>
            <w:vAlign w:val="center"/>
            <w:hideMark/>
          </w:tcPr>
          <w:p w:rsidR="00EB4327" w:rsidRPr="003B1E7A" w:rsidRDefault="00EB4327" w:rsidP="00B43049">
            <w:pPr>
              <w:jc w:val="center"/>
            </w:pPr>
            <w:r w:rsidRPr="003B1E7A">
              <w:t>56,86%</w:t>
            </w:r>
          </w:p>
        </w:tc>
        <w:tc>
          <w:tcPr>
            <w:tcW w:w="1342" w:type="dxa"/>
            <w:vAlign w:val="center"/>
            <w:hideMark/>
          </w:tcPr>
          <w:p w:rsidR="00EB4327" w:rsidRPr="003B1E7A" w:rsidRDefault="00EB4327" w:rsidP="00B43049">
            <w:pPr>
              <w:jc w:val="center"/>
            </w:pPr>
            <w:r w:rsidRPr="003B1E7A">
              <w:t>13,88%</w:t>
            </w:r>
          </w:p>
        </w:tc>
        <w:tc>
          <w:tcPr>
            <w:tcW w:w="1548" w:type="dxa"/>
            <w:vAlign w:val="center"/>
            <w:hideMark/>
          </w:tcPr>
          <w:p w:rsidR="00EB4327" w:rsidRPr="003B1E7A" w:rsidRDefault="00EB4327" w:rsidP="00B43049">
            <w:pPr>
              <w:jc w:val="center"/>
            </w:pPr>
            <w:r w:rsidRPr="003B1E7A">
              <w:t>29,26%</w:t>
            </w:r>
          </w:p>
        </w:tc>
      </w:tr>
      <w:tr w:rsidR="00EB4327" w:rsidRPr="00FC178C" w:rsidTr="00B43049">
        <w:trPr>
          <w:trHeight w:val="255"/>
          <w:jc w:val="center"/>
        </w:trPr>
        <w:tc>
          <w:tcPr>
            <w:tcW w:w="4809" w:type="dxa"/>
            <w:vAlign w:val="center"/>
            <w:hideMark/>
          </w:tcPr>
          <w:p w:rsidR="00EB4327" w:rsidRPr="006A206C" w:rsidRDefault="00EB4327" w:rsidP="00B43049">
            <w:pPr>
              <w:rPr>
                <w:rFonts w:cs="Calibri"/>
                <w:sz w:val="16"/>
                <w:szCs w:val="16"/>
              </w:rPr>
            </w:pPr>
            <w:r w:rsidRPr="006A206C">
              <w:rPr>
                <w:sz w:val="16"/>
                <w:szCs w:val="16"/>
              </w:rPr>
              <w:t>Κατανομή των δαπανών (ΔΔ) στις κατηγορίες Περιφερειών</w:t>
            </w:r>
          </w:p>
        </w:tc>
        <w:tc>
          <w:tcPr>
            <w:tcW w:w="1569" w:type="dxa"/>
            <w:vAlign w:val="center"/>
            <w:hideMark/>
          </w:tcPr>
          <w:p w:rsidR="00EB4327" w:rsidRPr="003B1E7A" w:rsidRDefault="00EB4327" w:rsidP="00B43049">
            <w:pPr>
              <w:jc w:val="center"/>
            </w:pPr>
            <w:r>
              <w:t>0,00%</w:t>
            </w:r>
          </w:p>
        </w:tc>
        <w:tc>
          <w:tcPr>
            <w:tcW w:w="1342" w:type="dxa"/>
            <w:hideMark/>
          </w:tcPr>
          <w:p w:rsidR="00EB4327" w:rsidRDefault="00EB4327" w:rsidP="00B43049">
            <w:pPr>
              <w:jc w:val="center"/>
            </w:pPr>
            <w:r w:rsidRPr="00CA29D8">
              <w:t>0,00%</w:t>
            </w:r>
          </w:p>
        </w:tc>
        <w:tc>
          <w:tcPr>
            <w:tcW w:w="1548" w:type="dxa"/>
            <w:hideMark/>
          </w:tcPr>
          <w:p w:rsidR="00EB4327" w:rsidRDefault="00EB4327" w:rsidP="00B43049">
            <w:pPr>
              <w:jc w:val="center"/>
            </w:pPr>
            <w:r w:rsidRPr="00CA29D8">
              <w:t>0,00%</w:t>
            </w:r>
          </w:p>
        </w:tc>
      </w:tr>
    </w:tbl>
    <w:p w:rsidR="00EB4327" w:rsidRDefault="00EB4327" w:rsidP="00EB4327">
      <w:pPr>
        <w:spacing w:after="160" w:line="259" w:lineRule="auto"/>
      </w:pPr>
    </w:p>
    <w:p w:rsidR="00EB4327" w:rsidRPr="004D30B3" w:rsidRDefault="00EB4327" w:rsidP="00EB4327">
      <w:pPr>
        <w:pStyle w:val="Heading2"/>
        <w:rPr>
          <w:rFonts w:eastAsia="Calibri"/>
        </w:rPr>
      </w:pPr>
      <w:bookmarkStart w:id="30" w:name="_Toc14268845"/>
      <w:bookmarkStart w:id="31" w:name="_Toc22645115"/>
      <w:r w:rsidRPr="004D30B3">
        <w:rPr>
          <w:rFonts w:eastAsia="Calibri"/>
        </w:rPr>
        <w:t>Εμβληματικές πρωτοβουλίες και Δράσεις ΕΛΙΔΕΚ</w:t>
      </w:r>
      <w:bookmarkEnd w:id="30"/>
      <w:bookmarkEnd w:id="31"/>
    </w:p>
    <w:p w:rsidR="00EB4327" w:rsidRPr="003770DC" w:rsidRDefault="00EB4327" w:rsidP="00EB4327">
      <w:r>
        <w:t>Στη συνέχεια παρουσιάζονται</w:t>
      </w:r>
      <w:r w:rsidRPr="004D30B3">
        <w:t xml:space="preserve"> </w:t>
      </w:r>
      <w:r>
        <w:t xml:space="preserve">εμβληματικές πρωτοβουλίες που </w:t>
      </w:r>
      <w:r w:rsidR="00C05E30">
        <w:t>σχεδιάσθηκαν</w:t>
      </w:r>
      <w:r>
        <w:t xml:space="preserve"> και συνδέονται με την εφαρμογή της Στρατηγικής </w:t>
      </w:r>
      <w:r>
        <w:rPr>
          <w:lang w:val="en-US"/>
        </w:rPr>
        <w:t>RIS</w:t>
      </w:r>
      <w:r w:rsidRPr="00651313">
        <w:t>3</w:t>
      </w:r>
      <w:r>
        <w:t xml:space="preserve">, τη </w:t>
      </w:r>
      <w:r w:rsidRPr="00651313">
        <w:t xml:space="preserve">διαχείριση και την παρακολούθηση </w:t>
      </w:r>
      <w:r>
        <w:t xml:space="preserve">των οποίων έχει η ΓΓΕΤ, </w:t>
      </w:r>
      <w:r w:rsidRPr="004D30B3">
        <w:t>καθώς και δύο (2) δράσεις ενίσχυσης διδακτορικών και ενίσχυσης μεταδιδακτορικών ερευνητών του Ελληνικού Ιδρύματος Έρευνας και Καινοτομίας (ΕΛΙΔΕΚ) με χρηματοδότηση από τη Ευρωπαϊκή Τράπεζα Επενδύσεων και φορέα Πρόσκλησης της ΓΓΕΤ, οι οποίες παρουσιάζουν ιδιαίτερο ενδιαφέρον για την εφαρμογή της RIS3.</w:t>
      </w:r>
    </w:p>
    <w:p w:rsidR="00EB4327" w:rsidRPr="00CD0CAF" w:rsidRDefault="00EB4327" w:rsidP="00EB4327">
      <w:pPr>
        <w:pStyle w:val="Heading3"/>
        <w:rPr>
          <w:rFonts w:eastAsia="Calibri"/>
        </w:rPr>
      </w:pPr>
      <w:bookmarkStart w:id="32" w:name="_Toc14268846"/>
      <w:bookmarkStart w:id="33" w:name="_Toc22645116"/>
      <w:r>
        <w:rPr>
          <w:rFonts w:eastAsia="Calibri"/>
        </w:rPr>
        <w:t>Εμβληματικές πρωτοβουλίες</w:t>
      </w:r>
      <w:bookmarkEnd w:id="32"/>
      <w:bookmarkEnd w:id="33"/>
      <w:r w:rsidRPr="00CD0CAF">
        <w:rPr>
          <w:rFonts w:eastAsia="Calibri"/>
        </w:rPr>
        <w:t xml:space="preserve"> </w:t>
      </w:r>
    </w:p>
    <w:p w:rsidR="00EB4327" w:rsidRPr="00C05E30" w:rsidRDefault="00EB4327" w:rsidP="00EB4327">
      <w:r w:rsidRPr="00C05E30">
        <w:t xml:space="preserve">Κατά την περίοδο αναφοράς, το Υπουργείο Παιδείας και Εθνικών θρησκευμάτων (ΥΠΠΕΘ), στο πλαίσιο της ανάληψης Εμβληματικών Πρωτοβουλιών, από τον τομέα Έρευνας και Καινοτομίας του ΥΠΠΕΘ, για οριζόντιες ερευνητικές δράσεις σε αναδυόμενους επιστημονικούς τομείς  με ισχυρή κοινωνική απήχηση, </w:t>
      </w:r>
      <w:r w:rsidR="00C05E30">
        <w:t>σχεδίασε</w:t>
      </w:r>
      <w:r w:rsidRPr="00C05E30">
        <w:t xml:space="preserve"> </w:t>
      </w:r>
      <w:r w:rsidR="00C05E30">
        <w:t xml:space="preserve">δράσεις </w:t>
      </w:r>
      <w:r w:rsidRPr="00C05E30">
        <w:t xml:space="preserve">(εμβληματικές πρωτοβουλίες) στον αγροδιατροφικό τομέα, στον τομέα της κλιματικής αλλαγής και στον τομέα της </w:t>
      </w:r>
      <w:r w:rsidR="00620C14">
        <w:t>ι</w:t>
      </w:r>
      <w:r w:rsidRPr="00C05E30">
        <w:t xml:space="preserve">ατρικής ακριβείας στην ογκολογία και τα καρδιαγγειακά νοσήματα. Αναλυτικότερα, </w:t>
      </w:r>
      <w:r w:rsidR="00C05E30">
        <w:t xml:space="preserve">σχεδιάσθηκε </w:t>
      </w:r>
      <w:r w:rsidRPr="00C05E30">
        <w:t>η δημιουργία των εξής εθνικών</w:t>
      </w:r>
      <w:r w:rsidR="00C05E30">
        <w:t xml:space="preserve"> </w:t>
      </w:r>
      <w:r w:rsidRPr="00C05E30">
        <w:t>δικτύων:</w:t>
      </w:r>
    </w:p>
    <w:p w:rsidR="00EB4327" w:rsidRDefault="00EB4327" w:rsidP="00EB4327">
      <w:pPr>
        <w:spacing w:after="120"/>
        <w:rPr>
          <w:b/>
          <w:szCs w:val="18"/>
        </w:rPr>
      </w:pPr>
      <w:r w:rsidRPr="004D30B3">
        <w:rPr>
          <w:b/>
          <w:szCs w:val="18"/>
        </w:rPr>
        <w:t>Εθνικό Δίκτυο Αγροδιατροφής, για την ανάδειξη των ποιοτικών χαρακτηριστικών παραδοσιακών προϊόντων (Ελιά, Αμπέλι, Μέλισσα)</w:t>
      </w:r>
    </w:p>
    <w:p w:rsidR="00EB4327" w:rsidRPr="003C42F1" w:rsidRDefault="00EB4327" w:rsidP="00EB4327">
      <w:pPr>
        <w:rPr>
          <w:i/>
          <w:color w:val="C00000"/>
        </w:rPr>
      </w:pPr>
      <w:r w:rsidRPr="003C42F1">
        <w:rPr>
          <w:b/>
          <w:i/>
          <w:color w:val="C00000"/>
          <w:szCs w:val="18"/>
        </w:rPr>
        <w:t xml:space="preserve"> «Οι δρόμοι της Ελιάς»</w:t>
      </w:r>
    </w:p>
    <w:p w:rsidR="00EB4327" w:rsidRPr="00977514" w:rsidRDefault="00EB4327" w:rsidP="00EB4327">
      <w:r w:rsidRPr="00977514">
        <w:t xml:space="preserve">Πρόκειται για δράση που αφορά στην ανάπτυξη και βελτιστοποίηση των προϊόντων ελιάς και ελαιόλαδου και των μεθόδων παραγωγής τους. Στόχος είναι η ανάδειξη των μοναδικών και υψηλών ποιοτικών χαρακτηριστικών των ελληνικών ποικιλιών και του ελαιόλαδου, διαμορφώνοντας έτσι ένα στρατηγικό ανταγωνιστικό πλεονέκτημα για τη δημιουργία προστιθέμενης αξίας και για την ενίσχυση της εξωστρέφειας τους ως </w:t>
      </w:r>
      <w:r w:rsidR="00620C14" w:rsidRPr="00620C14">
        <w:t>“</w:t>
      </w:r>
      <w:r w:rsidRPr="00977514">
        <w:t>εθνικά προϊόντα</w:t>
      </w:r>
      <w:r w:rsidR="00620C14" w:rsidRPr="00620C14">
        <w:t>”</w:t>
      </w:r>
      <w:r w:rsidRPr="00977514">
        <w:t xml:space="preserve">. Απώτερος στόχος της δράσης είναι η διάσωση και διατήρηση σημαντικών κλώνων, η γενετική τους βελτίωση μέσα από τη μελέτη ανθεκτικών κλώνων σε ασθένειες, ξηρασία και κλιματική αλλαγή. Η εμβληματική πρωτοβουλία σχεδιάζεται να υλοποιηθεί σε συνεργασία με το Υπουργείο </w:t>
      </w:r>
      <w:r w:rsidRPr="00977514">
        <w:lastRenderedPageBreak/>
        <w:t>Αγροτικής Ανάπτυξης &amp; Τροφίμων, ενώ στο εθνικό δίκτυο θα συμμετέχουν ερευνητικοί φορείς από όλη την Ελλάδα.</w:t>
      </w:r>
    </w:p>
    <w:p w:rsidR="00EB4327" w:rsidRPr="00767FCA" w:rsidRDefault="00777576" w:rsidP="00EB4327">
      <w:pPr>
        <w:rPr>
          <w:b/>
          <w:i/>
          <w:color w:val="C00000"/>
          <w:szCs w:val="18"/>
        </w:rPr>
      </w:pPr>
      <w:r w:rsidRPr="00767FCA">
        <w:rPr>
          <w:b/>
          <w:i/>
          <w:color w:val="C00000"/>
          <w:szCs w:val="18"/>
        </w:rPr>
        <w:t xml:space="preserve"> </w:t>
      </w:r>
      <w:r w:rsidR="00EB4327" w:rsidRPr="00767FCA">
        <w:rPr>
          <w:b/>
          <w:i/>
          <w:color w:val="C00000"/>
          <w:szCs w:val="18"/>
        </w:rPr>
        <w:t>«Οι Δρόμοι των Αμπελώνων»</w:t>
      </w:r>
    </w:p>
    <w:p w:rsidR="00EB4327" w:rsidRPr="00977514" w:rsidRDefault="00EB4327" w:rsidP="00EB4327">
      <w:r w:rsidRPr="00977514">
        <w:t>Πρόκειται για δράση που αφορά σε σχέδιο ερευνητικής και τεχνολογικής καινοτομίας για την υποστήριξη της μοναδικότητας των ελληνικών οινικών προϊόντων και την ανάπτυξη της ανταγωνιστικότητας τους. Η ανάδειξη των ποιοτικών χαρακτηριστικών των ελληνικών ποικιλιών οίνου θα επιτευχθεί με την συνεργασία του επιστημονικού δυναμικού και των υποδομών της χώρας. Επιδίωξη της δράσης είναι η απόκτηση οινικής ταυτότητας των ελληνικών προϊόντων βάση της μοναδικότητας που προσφέρουν οι γεωγραφικές-περιβαλλοντικές συνθήκες της χώρας. Στο εθνικό δίκτυο θα συμμετέχουν, με συμπληρωματική ερευνητική και αναλυτική δράση, ερευνητικοί φορείς από ό</w:t>
      </w:r>
      <w:r w:rsidR="00977514">
        <w:t xml:space="preserve">λη την Ελλάδα. </w:t>
      </w:r>
    </w:p>
    <w:p w:rsidR="00EB4327" w:rsidRPr="00767FCA" w:rsidRDefault="00EB4327" w:rsidP="00EB4327">
      <w:pPr>
        <w:rPr>
          <w:b/>
          <w:i/>
          <w:color w:val="C00000"/>
          <w:szCs w:val="18"/>
        </w:rPr>
      </w:pPr>
      <w:r w:rsidRPr="00767FCA">
        <w:rPr>
          <w:b/>
          <w:i/>
          <w:color w:val="C00000"/>
          <w:szCs w:val="18"/>
        </w:rPr>
        <w:t xml:space="preserve">«Οι Δρόμοι </w:t>
      </w:r>
      <w:r>
        <w:rPr>
          <w:b/>
          <w:i/>
          <w:color w:val="C00000"/>
          <w:szCs w:val="18"/>
        </w:rPr>
        <w:t>του Μελιού</w:t>
      </w:r>
      <w:r w:rsidRPr="00767FCA">
        <w:rPr>
          <w:b/>
          <w:i/>
          <w:color w:val="C00000"/>
          <w:szCs w:val="18"/>
        </w:rPr>
        <w:t>»</w:t>
      </w:r>
    </w:p>
    <w:p w:rsidR="00EB4327" w:rsidRPr="00977514" w:rsidRDefault="00EB4327" w:rsidP="00EB4327">
      <w:r w:rsidRPr="00977514">
        <w:t>Η Δράση θα αφορά στη μελέτη των φυσικοχημικών, μικροσκοπικών και οργανοληπτικών χαρακτηριστικών ελληνικών μελιών, στη διερεύνηση και τεκμηρίωση των βιολογικών τους δράσεων και στην ανάπτυξη καινοτόμων εργαλείων ή και προϊόντων για την προστασία της μέλισσας από τους προς διερεύνηση παθογόνους, τοξικούς και εχθρικούς παράγοντες και στην υλοποίηση ενεργειών με στόχο την αύξηση της παραγωγικότητας των μελισσιών με ταυτόχρονη μείωση του κόστους παραγωγής και διαφύλαξη της ποιότητας των παραγόμενων προϊόντων.</w:t>
      </w:r>
      <w:r w:rsidR="00777576">
        <w:t xml:space="preserve"> </w:t>
      </w:r>
      <w:r w:rsidRPr="00977514">
        <w:t xml:space="preserve">Στο εθνικό δίκτυο θα συμμετέχουν, με συμπληρωματική ερευνητική και αναλυτική δράση, ερευνητικοί φορείς από όλη την Ελλάδα. </w:t>
      </w:r>
    </w:p>
    <w:p w:rsidR="00EB4327" w:rsidRDefault="00EB4327" w:rsidP="00EB4327">
      <w:pPr>
        <w:spacing w:after="120"/>
        <w:rPr>
          <w:b/>
          <w:szCs w:val="18"/>
        </w:rPr>
      </w:pPr>
      <w:r w:rsidRPr="004D30B3">
        <w:rPr>
          <w:b/>
          <w:szCs w:val="18"/>
        </w:rPr>
        <w:t>Εθνικό Δίκτυο Κλιματικής Αλλαγής, για τη μελέτη και την έγκυρη ενημέρωση στην αντιμετώπιση ακραίων φυσικών φαινομένων</w:t>
      </w:r>
    </w:p>
    <w:p w:rsidR="00EB4327" w:rsidRPr="00977514" w:rsidRDefault="00EB4327" w:rsidP="00EB4327">
      <w:r w:rsidRPr="00977514">
        <w:t xml:space="preserve">Στο πλαίσιο της κλιματικής αλλαγής, </w:t>
      </w:r>
      <w:r w:rsidR="00977514">
        <w:t>σχεδιάσθηκε</w:t>
      </w:r>
      <w:r w:rsidRPr="00977514">
        <w:t xml:space="preserve"> δράση για τη δημιουργία Δικτύου για την παρακολούθηση της Κλιματικής Αλλαγής, το οποίο θα απαρτίζεται από ερευνητικούς και ακαδημαϊκούς φορείς της χώρας οι οποίοι ήδη διαθέτουν τον απαιτούμενο εξοπλισμό και κατέχουν τη σχετική τεχνογνωσία. Η εν λόγω δράση προσβλέπει στο συντονισμό σε πανελλαδική κλίμακα ενός δικτύου φορέων που θα αποτελέσει το κύριο συμβουλευτικό όργανο για την πολιτεία και τους πολίτες σε θέματα κλιματικής αλλαγής και των επιπτώσεων που σχετίζονται με αυτήν. </w:t>
      </w:r>
    </w:p>
    <w:p w:rsidR="00EB4327" w:rsidRDefault="00EB4327" w:rsidP="00EB4327">
      <w:pPr>
        <w:spacing w:after="120"/>
        <w:rPr>
          <w:b/>
          <w:szCs w:val="18"/>
        </w:rPr>
      </w:pPr>
      <w:r w:rsidRPr="004D30B3">
        <w:rPr>
          <w:b/>
          <w:szCs w:val="18"/>
        </w:rPr>
        <w:t>Εθνικό Δίκτυο Ιατρικής Ακριβείας στην Ογκολογία και τα Καρδιαγγειακά Νοσήματα, για αποτελεσματικότερες και μειωμένου κόστους θεραπείες μοριακής ιατρικής, προσβάσιμες για τους πολίτες από το Δημόσιο Σύστημα Υγείας</w:t>
      </w:r>
    </w:p>
    <w:p w:rsidR="00EB4327" w:rsidRPr="00040A3A" w:rsidRDefault="00EB4327" w:rsidP="00EB4327">
      <w:r w:rsidRPr="00040A3A">
        <w:t xml:space="preserve">Πρόκειται για δράση που αφορά στη δημιουργία ενός δικτύου ερευνητικών φορέων και ογκολογικών κλινικών που στοχεύει στον συντονισμό και αξιοποίηση ολόκληρου του επιστημονικού δυναμικού της χώρας που δραστηριοποιείται στον αναδυόμενο αυτόν τομέα της Ιατρικής, ο οποίος εξελίσσεται ραγδαία κατά τα τελευταία χρόνια. </w:t>
      </w:r>
    </w:p>
    <w:p w:rsidR="00EB4327" w:rsidRPr="00CD0CAF" w:rsidRDefault="00EB4327" w:rsidP="00EB4327">
      <w:pPr>
        <w:pStyle w:val="Heading3"/>
        <w:rPr>
          <w:rFonts w:eastAsia="Calibri"/>
        </w:rPr>
      </w:pPr>
      <w:bookmarkStart w:id="34" w:name="_Toc14268847"/>
      <w:bookmarkStart w:id="35" w:name="_Toc22645117"/>
      <w:r>
        <w:rPr>
          <w:rFonts w:eastAsia="Calibri"/>
        </w:rPr>
        <w:t>Δ</w:t>
      </w:r>
      <w:r w:rsidRPr="00CD0CAF">
        <w:rPr>
          <w:rFonts w:eastAsia="Calibri"/>
        </w:rPr>
        <w:t>ράσεις ΕΛΙΔΕΚ</w:t>
      </w:r>
      <w:bookmarkEnd w:id="34"/>
      <w:bookmarkEnd w:id="35"/>
    </w:p>
    <w:p w:rsidR="00EB4327" w:rsidRPr="00040A3A" w:rsidRDefault="00EB4327" w:rsidP="00EB4327">
      <w:pPr>
        <w:spacing w:after="120"/>
        <w:rPr>
          <w:b/>
          <w:szCs w:val="18"/>
        </w:rPr>
      </w:pPr>
      <w:r w:rsidRPr="00040A3A">
        <w:rPr>
          <w:b/>
          <w:szCs w:val="18"/>
        </w:rPr>
        <w:t>1</w:t>
      </w:r>
      <w:r w:rsidRPr="00040A3A">
        <w:rPr>
          <w:b/>
          <w:szCs w:val="18"/>
          <w:vertAlign w:val="superscript"/>
        </w:rPr>
        <w:t>η</w:t>
      </w:r>
      <w:r w:rsidRPr="00040A3A">
        <w:rPr>
          <w:b/>
          <w:szCs w:val="18"/>
        </w:rPr>
        <w:t xml:space="preserve"> Δράση ΕΛΙΔΕΚ: Προκήρυξη υποτροφιών για υποψήφιους διδάκτορες</w:t>
      </w:r>
    </w:p>
    <w:p w:rsidR="00EB4327" w:rsidRPr="00040A3A" w:rsidRDefault="00EB4327" w:rsidP="00EB4327">
      <w:pPr>
        <w:rPr>
          <w:szCs w:val="18"/>
        </w:rPr>
      </w:pPr>
      <w:bookmarkStart w:id="36" w:name="_Hlk21694391"/>
      <w:r w:rsidRPr="00040A3A">
        <w:rPr>
          <w:szCs w:val="18"/>
        </w:rPr>
        <w:t>Η δράση προκηρύχθηκε τον Οκτώβριο του 2016. Αποτελεί την πρώτη δράση του ΕΛΙΔΕΚ και αποσκοπεί στη χρηματοδότηση Υποψηφίων Διδακτόρων για την εκπόνηση της Διδακτορικής τους διατριβής σε Ανώτατα Εκπαιδευτικά Ιδρύματα (ΑΕΙ) ή/και σε Ερευνητικά Κέντρα συνεργαζόμενα με ΑΕΙ, στην Ελλάδα. Αίτηση για χρηματοδότηση είχαν το δικαίωμα να υποβάλουν και υποψήφιοι διδάκτορες οι οποίοι εκπονούν ήδη τη διδακτορική διατριβή τους σε Α.Ε.Ι. της ημεδαπής ή της αλλοδαπής.</w:t>
      </w:r>
    </w:p>
    <w:p w:rsidR="00EB4327" w:rsidRPr="00040A3A" w:rsidRDefault="00EB4327" w:rsidP="00EB4327">
      <w:pPr>
        <w:rPr>
          <w:szCs w:val="18"/>
        </w:rPr>
      </w:pPr>
      <w:r w:rsidRPr="00040A3A">
        <w:rPr>
          <w:szCs w:val="18"/>
        </w:rPr>
        <w:t>Το μηνιαίο ύψος της υποτροφίας του υποψήφιου διδάκτορα ανέρχεται σε 900 €, ενώ η διάρκεια της χρηματοδότησης είναι έως 3 έτη. Η συνολική δημόσια δαπάνη της Πρόκλησ</w:t>
      </w:r>
      <w:r w:rsidR="00193D0F">
        <w:rPr>
          <w:szCs w:val="18"/>
        </w:rPr>
        <w:t>η</w:t>
      </w:r>
      <w:r w:rsidRPr="00040A3A">
        <w:rPr>
          <w:szCs w:val="18"/>
        </w:rPr>
        <w:t>ς ανήλθε στα 8.500.000 € και χρηματοδοτείται σύμφωνα με την υπογραφείσα δανειακή σύμβαση μεταξύ του Ελληνικού Δημοσίου και της Ευρωπαϊκής Τράπεζας Επενδύσεων.</w:t>
      </w:r>
    </w:p>
    <w:p w:rsidR="00EB4327" w:rsidRDefault="00EB4327" w:rsidP="00EB4327">
      <w:pPr>
        <w:rPr>
          <w:szCs w:val="18"/>
        </w:rPr>
      </w:pPr>
      <w:r w:rsidRPr="00040A3A">
        <w:rPr>
          <w:szCs w:val="18"/>
        </w:rPr>
        <w:t xml:space="preserve">Σύμφωνα με τα διαθέσιμα στοιχεία εγκρίθηκαν συνολικά 582 έργα συνολικού προϋπολογισμού 12,14 εκατ. €. δηλαδή κατά 43% περισσότερο του προϋπολογισμού της Πρόσκλησης. Οι αιτήσεις κατατάχθηκαν κατ’ επιλογή του υποβάλλοντος την αίτηση σε μια ή περισσότερες από τις τέσσερεις (4) ευρείες επιστημονικές </w:t>
      </w:r>
      <w:r w:rsidRPr="00040A3A">
        <w:rPr>
          <w:szCs w:val="18"/>
        </w:rPr>
        <w:lastRenderedPageBreak/>
        <w:t>περιοχές. Τα στοιχεία προϋπολογισμού των εγκεκριμένων έργων παρουσιάζονται στην πίνακα που ακολουθεί:</w:t>
      </w:r>
    </w:p>
    <w:bookmarkEnd w:id="36"/>
    <w:p w:rsidR="00EB4327" w:rsidRPr="00040A3A" w:rsidRDefault="00EB4327" w:rsidP="00EB4327">
      <w:pPr>
        <w:pStyle w:val="Caption"/>
      </w:pPr>
      <w:r w:rsidRPr="00040A3A">
        <w:t xml:space="preserve">Πίνακας </w:t>
      </w:r>
      <w:r w:rsidRPr="00040A3A">
        <w:rPr>
          <w:noProof/>
        </w:rPr>
        <w:fldChar w:fldCharType="begin"/>
      </w:r>
      <w:r w:rsidRPr="00040A3A">
        <w:rPr>
          <w:noProof/>
        </w:rPr>
        <w:instrText xml:space="preserve"> STYLEREF 1 \s </w:instrText>
      </w:r>
      <w:r w:rsidRPr="00040A3A">
        <w:rPr>
          <w:noProof/>
        </w:rPr>
        <w:fldChar w:fldCharType="separate"/>
      </w:r>
      <w:r w:rsidR="00332E24">
        <w:rPr>
          <w:noProof/>
        </w:rPr>
        <w:t>3</w:t>
      </w:r>
      <w:r w:rsidRPr="00040A3A">
        <w:rPr>
          <w:noProof/>
        </w:rPr>
        <w:fldChar w:fldCharType="end"/>
      </w:r>
      <w:r w:rsidRPr="00040A3A">
        <w:noBreakHyphen/>
      </w:r>
      <w:r w:rsidRPr="00040A3A">
        <w:rPr>
          <w:noProof/>
        </w:rPr>
        <w:fldChar w:fldCharType="begin"/>
      </w:r>
      <w:r w:rsidRPr="00040A3A">
        <w:rPr>
          <w:noProof/>
        </w:rPr>
        <w:instrText xml:space="preserve"> SEQ Πίνακας \* ARABIC \s 1 </w:instrText>
      </w:r>
      <w:r w:rsidRPr="00040A3A">
        <w:rPr>
          <w:noProof/>
        </w:rPr>
        <w:fldChar w:fldCharType="separate"/>
      </w:r>
      <w:r w:rsidR="00332E24">
        <w:rPr>
          <w:noProof/>
        </w:rPr>
        <w:t>10</w:t>
      </w:r>
      <w:r w:rsidRPr="00040A3A">
        <w:rPr>
          <w:noProof/>
        </w:rPr>
        <w:fldChar w:fldCharType="end"/>
      </w:r>
      <w:r w:rsidRPr="00040A3A">
        <w:t>: Στοιχεία προϋπολογισμού εγκεκριμένων έργων στο πλαίσιο της Προκήρυξης της δράσης του ΕΛΙΔΕΚ για τη χρηματοδότηση υποτροφιών σε υποψήφιους διδάκτορες</w:t>
      </w:r>
    </w:p>
    <w:tbl>
      <w:tblPr>
        <w:tblStyle w:val="TableGrid1"/>
        <w:tblW w:w="944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738"/>
        <w:gridCol w:w="4680"/>
        <w:gridCol w:w="1350"/>
        <w:gridCol w:w="2675"/>
      </w:tblGrid>
      <w:tr w:rsidR="00EB4327" w:rsidRPr="00040A3A" w:rsidTr="00B43049">
        <w:trPr>
          <w:trHeight w:val="900"/>
        </w:trPr>
        <w:tc>
          <w:tcPr>
            <w:tcW w:w="738"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Ε.Π.</w:t>
            </w:r>
          </w:p>
        </w:tc>
        <w:tc>
          <w:tcPr>
            <w:tcW w:w="4680"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Επιστημονικές Περιοχές</w:t>
            </w:r>
          </w:p>
        </w:tc>
        <w:tc>
          <w:tcPr>
            <w:tcW w:w="1350"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Αριθμός Υποτροφιών</w:t>
            </w:r>
          </w:p>
        </w:tc>
        <w:tc>
          <w:tcPr>
            <w:tcW w:w="2675"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Προϋπολογισμός ανά Επιστημονική Περιοχή (με πρόβλεψη 5μηνης παράτασης)</w:t>
            </w:r>
          </w:p>
        </w:tc>
      </w:tr>
      <w:tr w:rsidR="00EB4327" w:rsidRPr="00040A3A" w:rsidTr="00B43049">
        <w:trPr>
          <w:trHeight w:val="450"/>
        </w:trPr>
        <w:tc>
          <w:tcPr>
            <w:tcW w:w="738" w:type="dxa"/>
            <w:noWrap/>
            <w:hideMark/>
          </w:tcPr>
          <w:p w:rsidR="00EB4327" w:rsidRPr="00040A3A" w:rsidRDefault="00EB4327" w:rsidP="00B43049">
            <w:pPr>
              <w:jc w:val="center"/>
              <w:rPr>
                <w:sz w:val="16"/>
                <w:szCs w:val="16"/>
              </w:rPr>
            </w:pPr>
            <w:r w:rsidRPr="00040A3A">
              <w:rPr>
                <w:sz w:val="16"/>
                <w:szCs w:val="16"/>
              </w:rPr>
              <w:t>Α.</w:t>
            </w:r>
          </w:p>
        </w:tc>
        <w:tc>
          <w:tcPr>
            <w:tcW w:w="4680" w:type="dxa"/>
            <w:noWrap/>
            <w:hideMark/>
          </w:tcPr>
          <w:p w:rsidR="00EB4327" w:rsidRPr="00040A3A" w:rsidRDefault="00EB4327" w:rsidP="00B43049">
            <w:pPr>
              <w:rPr>
                <w:sz w:val="16"/>
                <w:szCs w:val="16"/>
              </w:rPr>
            </w:pPr>
            <w:r w:rsidRPr="00040A3A">
              <w:rPr>
                <w:sz w:val="16"/>
                <w:szCs w:val="16"/>
              </w:rPr>
              <w:t>Φυσικές Επιστήμες</w:t>
            </w:r>
          </w:p>
        </w:tc>
        <w:tc>
          <w:tcPr>
            <w:tcW w:w="1350" w:type="dxa"/>
            <w:noWrap/>
            <w:hideMark/>
          </w:tcPr>
          <w:p w:rsidR="00EB4327" w:rsidRPr="00040A3A" w:rsidRDefault="00EB4327" w:rsidP="00B43049">
            <w:pPr>
              <w:jc w:val="center"/>
              <w:rPr>
                <w:sz w:val="16"/>
                <w:szCs w:val="16"/>
              </w:rPr>
            </w:pPr>
            <w:r w:rsidRPr="00040A3A">
              <w:rPr>
                <w:sz w:val="16"/>
                <w:szCs w:val="16"/>
              </w:rPr>
              <w:t>147</w:t>
            </w:r>
          </w:p>
        </w:tc>
        <w:tc>
          <w:tcPr>
            <w:tcW w:w="2675" w:type="dxa"/>
            <w:noWrap/>
            <w:hideMark/>
          </w:tcPr>
          <w:p w:rsidR="00EB4327" w:rsidRPr="00040A3A" w:rsidRDefault="00EB4327" w:rsidP="00B43049">
            <w:pPr>
              <w:jc w:val="center"/>
              <w:rPr>
                <w:sz w:val="16"/>
                <w:szCs w:val="16"/>
              </w:rPr>
            </w:pPr>
            <w:r w:rsidRPr="00040A3A">
              <w:rPr>
                <w:sz w:val="16"/>
                <w:szCs w:val="16"/>
              </w:rPr>
              <w:t>3.015.000,00 €</w:t>
            </w:r>
          </w:p>
        </w:tc>
      </w:tr>
      <w:tr w:rsidR="00EB4327" w:rsidRPr="00040A3A" w:rsidTr="00B43049">
        <w:trPr>
          <w:trHeight w:val="375"/>
        </w:trPr>
        <w:tc>
          <w:tcPr>
            <w:tcW w:w="738" w:type="dxa"/>
            <w:noWrap/>
            <w:hideMark/>
          </w:tcPr>
          <w:p w:rsidR="00EB4327" w:rsidRPr="00040A3A" w:rsidRDefault="00EB4327" w:rsidP="00B43049">
            <w:pPr>
              <w:jc w:val="center"/>
              <w:rPr>
                <w:sz w:val="16"/>
                <w:szCs w:val="16"/>
              </w:rPr>
            </w:pPr>
            <w:r w:rsidRPr="00040A3A">
              <w:rPr>
                <w:sz w:val="16"/>
                <w:szCs w:val="16"/>
              </w:rPr>
              <w:t>Β.</w:t>
            </w:r>
          </w:p>
        </w:tc>
        <w:tc>
          <w:tcPr>
            <w:tcW w:w="4680" w:type="dxa"/>
            <w:noWrap/>
            <w:hideMark/>
          </w:tcPr>
          <w:p w:rsidR="00EB4327" w:rsidRPr="00040A3A" w:rsidRDefault="00EB4327" w:rsidP="00B43049">
            <w:pPr>
              <w:rPr>
                <w:sz w:val="16"/>
                <w:szCs w:val="16"/>
              </w:rPr>
            </w:pPr>
            <w:r w:rsidRPr="00040A3A">
              <w:rPr>
                <w:sz w:val="16"/>
                <w:szCs w:val="16"/>
              </w:rPr>
              <w:t>Επιστήμες Μηχανικού και Τεχνολογικές Επιστήμες</w:t>
            </w:r>
          </w:p>
        </w:tc>
        <w:tc>
          <w:tcPr>
            <w:tcW w:w="1350" w:type="dxa"/>
            <w:noWrap/>
            <w:hideMark/>
          </w:tcPr>
          <w:p w:rsidR="00EB4327" w:rsidRPr="00040A3A" w:rsidRDefault="00EB4327" w:rsidP="00B43049">
            <w:pPr>
              <w:jc w:val="center"/>
              <w:rPr>
                <w:sz w:val="16"/>
                <w:szCs w:val="16"/>
              </w:rPr>
            </w:pPr>
            <w:r w:rsidRPr="00040A3A">
              <w:rPr>
                <w:sz w:val="16"/>
                <w:szCs w:val="16"/>
              </w:rPr>
              <w:t>130</w:t>
            </w:r>
          </w:p>
        </w:tc>
        <w:tc>
          <w:tcPr>
            <w:tcW w:w="2675" w:type="dxa"/>
            <w:noWrap/>
            <w:hideMark/>
          </w:tcPr>
          <w:p w:rsidR="00EB4327" w:rsidRPr="00040A3A" w:rsidRDefault="00EB4327" w:rsidP="00B43049">
            <w:pPr>
              <w:jc w:val="center"/>
              <w:rPr>
                <w:sz w:val="16"/>
                <w:szCs w:val="16"/>
              </w:rPr>
            </w:pPr>
            <w:r w:rsidRPr="00040A3A">
              <w:rPr>
                <w:sz w:val="16"/>
                <w:szCs w:val="16"/>
              </w:rPr>
              <w:t>2.812.890,00 €</w:t>
            </w:r>
          </w:p>
        </w:tc>
      </w:tr>
      <w:tr w:rsidR="00EB4327" w:rsidRPr="00040A3A" w:rsidTr="00B43049">
        <w:trPr>
          <w:trHeight w:val="420"/>
        </w:trPr>
        <w:tc>
          <w:tcPr>
            <w:tcW w:w="738" w:type="dxa"/>
            <w:noWrap/>
            <w:hideMark/>
          </w:tcPr>
          <w:p w:rsidR="00EB4327" w:rsidRPr="00040A3A" w:rsidRDefault="00EB4327" w:rsidP="00B43049">
            <w:pPr>
              <w:jc w:val="center"/>
              <w:rPr>
                <w:sz w:val="16"/>
                <w:szCs w:val="16"/>
              </w:rPr>
            </w:pPr>
            <w:r w:rsidRPr="00040A3A">
              <w:rPr>
                <w:sz w:val="16"/>
                <w:szCs w:val="16"/>
              </w:rPr>
              <w:t>Γ.</w:t>
            </w:r>
          </w:p>
        </w:tc>
        <w:tc>
          <w:tcPr>
            <w:tcW w:w="4680" w:type="dxa"/>
            <w:noWrap/>
            <w:hideMark/>
          </w:tcPr>
          <w:p w:rsidR="00EB4327" w:rsidRPr="00040A3A" w:rsidRDefault="00EB4327" w:rsidP="00B43049">
            <w:pPr>
              <w:rPr>
                <w:sz w:val="16"/>
                <w:szCs w:val="16"/>
              </w:rPr>
            </w:pPr>
            <w:r w:rsidRPr="00040A3A">
              <w:rPr>
                <w:sz w:val="16"/>
                <w:szCs w:val="16"/>
              </w:rPr>
              <w:t>Επιστήμες Ζωής</w:t>
            </w:r>
          </w:p>
        </w:tc>
        <w:tc>
          <w:tcPr>
            <w:tcW w:w="1350" w:type="dxa"/>
            <w:noWrap/>
            <w:hideMark/>
          </w:tcPr>
          <w:p w:rsidR="00EB4327" w:rsidRPr="00040A3A" w:rsidRDefault="00EB4327" w:rsidP="00B43049">
            <w:pPr>
              <w:jc w:val="center"/>
              <w:rPr>
                <w:sz w:val="16"/>
                <w:szCs w:val="16"/>
              </w:rPr>
            </w:pPr>
            <w:r w:rsidRPr="00040A3A">
              <w:rPr>
                <w:sz w:val="16"/>
                <w:szCs w:val="16"/>
              </w:rPr>
              <w:t>140</w:t>
            </w:r>
          </w:p>
        </w:tc>
        <w:tc>
          <w:tcPr>
            <w:tcW w:w="2675" w:type="dxa"/>
            <w:noWrap/>
            <w:hideMark/>
          </w:tcPr>
          <w:p w:rsidR="00EB4327" w:rsidRPr="00040A3A" w:rsidRDefault="00EB4327" w:rsidP="00B43049">
            <w:pPr>
              <w:jc w:val="center"/>
              <w:rPr>
                <w:sz w:val="16"/>
                <w:szCs w:val="16"/>
              </w:rPr>
            </w:pPr>
            <w:r w:rsidRPr="00040A3A">
              <w:rPr>
                <w:sz w:val="16"/>
                <w:szCs w:val="16"/>
              </w:rPr>
              <w:t>2.799.450,00 €</w:t>
            </w:r>
          </w:p>
        </w:tc>
      </w:tr>
      <w:tr w:rsidR="00EB4327" w:rsidRPr="00040A3A" w:rsidTr="00B43049">
        <w:trPr>
          <w:trHeight w:val="420"/>
        </w:trPr>
        <w:tc>
          <w:tcPr>
            <w:tcW w:w="738" w:type="dxa"/>
            <w:noWrap/>
            <w:hideMark/>
          </w:tcPr>
          <w:p w:rsidR="00EB4327" w:rsidRPr="00040A3A" w:rsidRDefault="00EB4327" w:rsidP="00B43049">
            <w:pPr>
              <w:jc w:val="center"/>
              <w:rPr>
                <w:sz w:val="16"/>
                <w:szCs w:val="16"/>
              </w:rPr>
            </w:pPr>
            <w:r w:rsidRPr="00040A3A">
              <w:rPr>
                <w:sz w:val="16"/>
                <w:szCs w:val="16"/>
              </w:rPr>
              <w:t>Δ.</w:t>
            </w:r>
          </w:p>
        </w:tc>
        <w:tc>
          <w:tcPr>
            <w:tcW w:w="4680" w:type="dxa"/>
            <w:noWrap/>
            <w:hideMark/>
          </w:tcPr>
          <w:p w:rsidR="00EB4327" w:rsidRPr="00040A3A" w:rsidRDefault="00EB4327" w:rsidP="00B43049">
            <w:pPr>
              <w:rPr>
                <w:sz w:val="16"/>
                <w:szCs w:val="16"/>
              </w:rPr>
            </w:pPr>
            <w:r w:rsidRPr="00040A3A">
              <w:rPr>
                <w:sz w:val="16"/>
                <w:szCs w:val="16"/>
              </w:rPr>
              <w:t>Κοινωνικές Επιστήμες, Ανθρωπιστικές Επιστήμες και Τέχνες</w:t>
            </w:r>
          </w:p>
        </w:tc>
        <w:tc>
          <w:tcPr>
            <w:tcW w:w="1350" w:type="dxa"/>
            <w:noWrap/>
            <w:hideMark/>
          </w:tcPr>
          <w:p w:rsidR="00EB4327" w:rsidRPr="00040A3A" w:rsidRDefault="00EB4327" w:rsidP="00B43049">
            <w:pPr>
              <w:jc w:val="center"/>
              <w:rPr>
                <w:sz w:val="16"/>
                <w:szCs w:val="16"/>
              </w:rPr>
            </w:pPr>
            <w:r w:rsidRPr="00040A3A">
              <w:rPr>
                <w:sz w:val="16"/>
                <w:szCs w:val="16"/>
              </w:rPr>
              <w:t>165</w:t>
            </w:r>
          </w:p>
        </w:tc>
        <w:tc>
          <w:tcPr>
            <w:tcW w:w="2675" w:type="dxa"/>
            <w:noWrap/>
            <w:hideMark/>
          </w:tcPr>
          <w:p w:rsidR="00EB4327" w:rsidRPr="00040A3A" w:rsidRDefault="00EB4327" w:rsidP="00B43049">
            <w:pPr>
              <w:jc w:val="center"/>
              <w:rPr>
                <w:sz w:val="16"/>
                <w:szCs w:val="16"/>
              </w:rPr>
            </w:pPr>
            <w:r w:rsidRPr="00040A3A">
              <w:rPr>
                <w:sz w:val="16"/>
                <w:szCs w:val="16"/>
              </w:rPr>
              <w:t>3.518.580,00 €</w:t>
            </w:r>
          </w:p>
        </w:tc>
      </w:tr>
      <w:tr w:rsidR="00EB4327" w:rsidRPr="00040A3A" w:rsidTr="00B43049">
        <w:trPr>
          <w:trHeight w:val="416"/>
        </w:trPr>
        <w:tc>
          <w:tcPr>
            <w:tcW w:w="5418" w:type="dxa"/>
            <w:gridSpan w:val="2"/>
            <w:noWrap/>
            <w:hideMark/>
          </w:tcPr>
          <w:p w:rsidR="00EB4327" w:rsidRPr="00040A3A" w:rsidRDefault="00EB4327" w:rsidP="00B43049">
            <w:pPr>
              <w:rPr>
                <w:b/>
                <w:bCs/>
                <w:sz w:val="16"/>
                <w:szCs w:val="16"/>
              </w:rPr>
            </w:pPr>
            <w:r w:rsidRPr="00040A3A">
              <w:rPr>
                <w:b/>
                <w:bCs/>
                <w:sz w:val="16"/>
                <w:szCs w:val="16"/>
              </w:rPr>
              <w:t>ΓΕΝΙΚΟ ΣΥΝΟΛΟ</w:t>
            </w:r>
          </w:p>
        </w:tc>
        <w:tc>
          <w:tcPr>
            <w:tcW w:w="1350" w:type="dxa"/>
            <w:noWrap/>
            <w:hideMark/>
          </w:tcPr>
          <w:p w:rsidR="00EB4327" w:rsidRPr="00040A3A" w:rsidRDefault="00EB4327" w:rsidP="00B43049">
            <w:pPr>
              <w:jc w:val="center"/>
              <w:rPr>
                <w:b/>
                <w:bCs/>
                <w:sz w:val="16"/>
                <w:szCs w:val="16"/>
              </w:rPr>
            </w:pPr>
            <w:r w:rsidRPr="00040A3A">
              <w:rPr>
                <w:b/>
                <w:bCs/>
                <w:sz w:val="16"/>
                <w:szCs w:val="16"/>
              </w:rPr>
              <w:t>582</w:t>
            </w:r>
          </w:p>
        </w:tc>
        <w:tc>
          <w:tcPr>
            <w:tcW w:w="2675" w:type="dxa"/>
            <w:noWrap/>
            <w:hideMark/>
          </w:tcPr>
          <w:p w:rsidR="00EB4327" w:rsidRPr="00040A3A" w:rsidRDefault="00EB4327" w:rsidP="00B43049">
            <w:pPr>
              <w:jc w:val="center"/>
              <w:rPr>
                <w:b/>
                <w:bCs/>
                <w:sz w:val="16"/>
                <w:szCs w:val="16"/>
              </w:rPr>
            </w:pPr>
            <w:r w:rsidRPr="00040A3A">
              <w:rPr>
                <w:b/>
                <w:bCs/>
                <w:sz w:val="16"/>
                <w:szCs w:val="16"/>
              </w:rPr>
              <w:t>12.145.920,00 €</w:t>
            </w:r>
          </w:p>
        </w:tc>
      </w:tr>
    </w:tbl>
    <w:p w:rsidR="00EB4327" w:rsidRPr="00040A3A" w:rsidRDefault="00EB4327" w:rsidP="00EB4327">
      <w:pPr>
        <w:rPr>
          <w:i/>
          <w:sz w:val="16"/>
          <w:szCs w:val="18"/>
        </w:rPr>
      </w:pPr>
      <w:r w:rsidRPr="00040A3A">
        <w:rPr>
          <w:i/>
          <w:sz w:val="16"/>
          <w:szCs w:val="18"/>
        </w:rPr>
        <w:t>(Πηγή: ΓΓΕΤ)</w:t>
      </w:r>
    </w:p>
    <w:p w:rsidR="00EB4327" w:rsidRPr="00040A3A" w:rsidRDefault="00EB4327" w:rsidP="00EB4327">
      <w:pPr>
        <w:spacing w:after="120"/>
        <w:rPr>
          <w:b/>
          <w:szCs w:val="18"/>
        </w:rPr>
      </w:pPr>
      <w:r w:rsidRPr="00040A3A">
        <w:rPr>
          <w:b/>
          <w:szCs w:val="18"/>
        </w:rPr>
        <w:t xml:space="preserve">2η Δράση ΕΛΙΔΕΚ: Προκήρυξη ερευνητικών έργων για την ενίσχυση Μεταδιδακτόρων Ερευνητών/τριών </w:t>
      </w:r>
    </w:p>
    <w:p w:rsidR="00EB4327" w:rsidRPr="00040A3A" w:rsidRDefault="00EB4327" w:rsidP="00EB4327">
      <w:pPr>
        <w:rPr>
          <w:szCs w:val="18"/>
        </w:rPr>
      </w:pPr>
      <w:r w:rsidRPr="00040A3A">
        <w:rPr>
          <w:szCs w:val="18"/>
        </w:rPr>
        <w:t xml:space="preserve">Η Πρόσκληση δημοσιεύθηκε τον Ιανουάριο του 2017 με συνολικό προϋπολογισμό (δημόσιας δαπάνης) ύψους 9 εκατ. €. Αφορά στην υποστήριξη της υλοποίησης επιλεγμένων ερευνητικών έργων υψηλής επιστημονικής ποιότητας στα οποία επιστημονικοί υπεύθυνοι είναι Μεταδιδάκτορες Ερευνητές (ΜΕ). Στο πλαίσιο αυτό, δίνεται η δυνατότητα στους ΜΕ να διαμορφώσουν την δική τους ερευνητική ομάδα και να κατευθύνουν την υλοποίηση του έργου που θα αναλάβουν, ως επιστημονικοί Υπεύθυνοι. Τα ερευνητικά έργα των ΜΕ υλοποιούνται σε Πανεπιστήμια, ΤΕΙ και Ερευνητικά Κέντρα της χώρας, εμπλουτίζοντας τις ερευνητικές δραστηριότητες που διεξάγονται σε αυτά. </w:t>
      </w:r>
    </w:p>
    <w:p w:rsidR="00EB4327" w:rsidRPr="00040A3A" w:rsidRDefault="00EB4327" w:rsidP="00EB4327">
      <w:pPr>
        <w:rPr>
          <w:szCs w:val="18"/>
        </w:rPr>
      </w:pPr>
      <w:r w:rsidRPr="00040A3A">
        <w:rPr>
          <w:szCs w:val="18"/>
        </w:rPr>
        <w:t>Η διάρκεια των ερευνητικών έργων (υποτροφίες) είναι από 24 έως 36 μήνες, ενώ το ανώτατο όριο χρηματοδότησης για κάθε ερευνητικό έργο είναι τα 200.000 € (που αυξάνεται έως τα 450.000</w:t>
      </w:r>
      <w:r w:rsidR="00193D0F">
        <w:rPr>
          <w:szCs w:val="18"/>
        </w:rPr>
        <w:t xml:space="preserve"> </w:t>
      </w:r>
      <w:r w:rsidRPr="00040A3A">
        <w:rPr>
          <w:szCs w:val="18"/>
        </w:rPr>
        <w:t>€ όταν πρόκειται για συνεργασία μεταξύ 3 ΜΕ).  Κάθε έργο υλοποιείται σε Φορέα Υποδοχής ο οποίος είναι Α.Ε.Ι. (Πανεπιστήμιο ή ΤΕΙ) ή Ερευνητικό Κέντρο της χώρας και θα επιλέγεται από τον ΜΕ.</w:t>
      </w:r>
    </w:p>
    <w:p w:rsidR="00EB4327" w:rsidRPr="00040A3A" w:rsidRDefault="00EB4327" w:rsidP="00EB4327">
      <w:pPr>
        <w:rPr>
          <w:szCs w:val="18"/>
        </w:rPr>
      </w:pPr>
      <w:r w:rsidRPr="00040A3A">
        <w:rPr>
          <w:szCs w:val="18"/>
        </w:rPr>
        <w:t>Σύμφωνα με τα διαθέσιμα στοιχεία</w:t>
      </w:r>
      <w:r w:rsidR="00193D0F">
        <w:rPr>
          <w:szCs w:val="18"/>
        </w:rPr>
        <w:t>,</w:t>
      </w:r>
      <w:r w:rsidRPr="00040A3A">
        <w:rPr>
          <w:szCs w:val="18"/>
        </w:rPr>
        <w:t xml:space="preserve"> εγκρίθηκαν 186 έργα (ερευνητικά σχέδια) συνολικού προϋπολογισμού 33,62 εκατ. €. δηλαδή κατά πολύ </w:t>
      </w:r>
      <w:r w:rsidR="00193D0F">
        <w:rPr>
          <w:szCs w:val="18"/>
        </w:rPr>
        <w:t>μεγαλύτερου</w:t>
      </w:r>
      <w:r w:rsidRPr="00040A3A">
        <w:rPr>
          <w:szCs w:val="18"/>
        </w:rPr>
        <w:t xml:space="preserve"> τον προϋπολογισμό της Πρόσκλησης. Τα έργα  έπρεπε να εμπίπτουν σε 8 (οχτώ) ευρείες επιστημονικές περιοχές. Τα στοιχεία προϋπολογισμού των εγκεκριμένων έργων παρουσιάζονται στην πίνακα που ακολουθεί:</w:t>
      </w:r>
    </w:p>
    <w:p w:rsidR="00EB4327" w:rsidRPr="00040A3A" w:rsidRDefault="00EB4327" w:rsidP="00EB4327">
      <w:pPr>
        <w:pStyle w:val="Caption"/>
      </w:pPr>
      <w:r w:rsidRPr="00040A3A">
        <w:t xml:space="preserve">Πίνακας </w:t>
      </w:r>
      <w:r w:rsidRPr="00040A3A">
        <w:rPr>
          <w:noProof/>
        </w:rPr>
        <w:fldChar w:fldCharType="begin"/>
      </w:r>
      <w:r w:rsidRPr="00040A3A">
        <w:rPr>
          <w:noProof/>
        </w:rPr>
        <w:instrText xml:space="preserve"> STYLEREF 1 \s </w:instrText>
      </w:r>
      <w:r w:rsidRPr="00040A3A">
        <w:rPr>
          <w:noProof/>
        </w:rPr>
        <w:fldChar w:fldCharType="separate"/>
      </w:r>
      <w:r w:rsidR="00332E24">
        <w:rPr>
          <w:noProof/>
        </w:rPr>
        <w:t>3</w:t>
      </w:r>
      <w:r w:rsidRPr="00040A3A">
        <w:rPr>
          <w:noProof/>
        </w:rPr>
        <w:fldChar w:fldCharType="end"/>
      </w:r>
      <w:r w:rsidRPr="00040A3A">
        <w:noBreakHyphen/>
      </w:r>
      <w:r w:rsidRPr="00040A3A">
        <w:rPr>
          <w:noProof/>
        </w:rPr>
        <w:fldChar w:fldCharType="begin"/>
      </w:r>
      <w:r w:rsidRPr="00040A3A">
        <w:rPr>
          <w:noProof/>
        </w:rPr>
        <w:instrText xml:space="preserve"> SEQ Πίνακας \* ARABIC \s 1 </w:instrText>
      </w:r>
      <w:r w:rsidRPr="00040A3A">
        <w:rPr>
          <w:noProof/>
        </w:rPr>
        <w:fldChar w:fldCharType="separate"/>
      </w:r>
      <w:r w:rsidR="00332E24">
        <w:rPr>
          <w:noProof/>
        </w:rPr>
        <w:t>11</w:t>
      </w:r>
      <w:r w:rsidRPr="00040A3A">
        <w:rPr>
          <w:noProof/>
        </w:rPr>
        <w:fldChar w:fldCharType="end"/>
      </w:r>
      <w:r w:rsidRPr="00040A3A">
        <w:t>: Στοιχεία προϋπολογισμού εγκεκριμένων έργων στο πλαίσιο της Προκήρυξης της δράσης του ΕΛΙΔΕΚ για την ενίσχυση Μεταδιδακτόρων Ερευνητών/τριών</w:t>
      </w:r>
    </w:p>
    <w:tbl>
      <w:tblPr>
        <w:tblStyle w:val="TableGrid1"/>
        <w:tblW w:w="9412" w:type="dxa"/>
        <w:tblInd w:w="108"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862"/>
        <w:gridCol w:w="4931"/>
        <w:gridCol w:w="1469"/>
        <w:gridCol w:w="2150"/>
      </w:tblGrid>
      <w:tr w:rsidR="00EB4327" w:rsidRPr="00040A3A" w:rsidTr="00193D0F">
        <w:trPr>
          <w:trHeight w:val="900"/>
          <w:tblHeader/>
        </w:trPr>
        <w:tc>
          <w:tcPr>
            <w:tcW w:w="862"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Ε.Π.</w:t>
            </w:r>
          </w:p>
        </w:tc>
        <w:tc>
          <w:tcPr>
            <w:tcW w:w="4931"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Επιστημονικές Περιοχές</w:t>
            </w:r>
          </w:p>
        </w:tc>
        <w:tc>
          <w:tcPr>
            <w:tcW w:w="1469"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Αριθμός Ερευνητικών Έργων</w:t>
            </w:r>
          </w:p>
        </w:tc>
        <w:tc>
          <w:tcPr>
            <w:tcW w:w="2150" w:type="dxa"/>
            <w:shd w:val="clear" w:color="auto" w:fill="800000"/>
            <w:vAlign w:val="center"/>
            <w:hideMark/>
          </w:tcPr>
          <w:p w:rsidR="00EB4327" w:rsidRPr="00040A3A" w:rsidRDefault="00EB4327" w:rsidP="00B43049">
            <w:pPr>
              <w:jc w:val="center"/>
              <w:rPr>
                <w:b/>
                <w:bCs/>
                <w:sz w:val="16"/>
                <w:szCs w:val="16"/>
              </w:rPr>
            </w:pPr>
            <w:r w:rsidRPr="00040A3A">
              <w:rPr>
                <w:b/>
                <w:bCs/>
                <w:sz w:val="16"/>
                <w:szCs w:val="16"/>
              </w:rPr>
              <w:t>Προϋπολογισμός ανά Επιστημονική Περιοχή</w:t>
            </w:r>
          </w:p>
        </w:tc>
      </w:tr>
      <w:tr w:rsidR="00EB4327" w:rsidRPr="00040A3A" w:rsidTr="00193D0F">
        <w:trPr>
          <w:trHeight w:val="345"/>
        </w:trPr>
        <w:tc>
          <w:tcPr>
            <w:tcW w:w="862" w:type="dxa"/>
            <w:noWrap/>
            <w:hideMark/>
          </w:tcPr>
          <w:p w:rsidR="00EB4327" w:rsidRPr="00040A3A" w:rsidRDefault="00EB4327" w:rsidP="00B43049">
            <w:pPr>
              <w:jc w:val="center"/>
              <w:rPr>
                <w:sz w:val="16"/>
                <w:szCs w:val="16"/>
              </w:rPr>
            </w:pPr>
            <w:r w:rsidRPr="00040A3A">
              <w:rPr>
                <w:sz w:val="16"/>
                <w:szCs w:val="16"/>
              </w:rPr>
              <w:t>Α.</w:t>
            </w:r>
          </w:p>
        </w:tc>
        <w:tc>
          <w:tcPr>
            <w:tcW w:w="4931" w:type="dxa"/>
            <w:noWrap/>
            <w:hideMark/>
          </w:tcPr>
          <w:p w:rsidR="00EB4327" w:rsidRPr="00040A3A" w:rsidRDefault="00EB4327" w:rsidP="00B43049">
            <w:pPr>
              <w:rPr>
                <w:sz w:val="16"/>
                <w:szCs w:val="16"/>
              </w:rPr>
            </w:pPr>
            <w:r w:rsidRPr="00040A3A">
              <w:rPr>
                <w:sz w:val="16"/>
                <w:szCs w:val="16"/>
              </w:rPr>
              <w:t>Φυσικές Επιστήμες</w:t>
            </w:r>
          </w:p>
        </w:tc>
        <w:tc>
          <w:tcPr>
            <w:tcW w:w="1469" w:type="dxa"/>
            <w:noWrap/>
            <w:hideMark/>
          </w:tcPr>
          <w:p w:rsidR="00EB4327" w:rsidRPr="00040A3A" w:rsidRDefault="00EB4327" w:rsidP="00B43049">
            <w:pPr>
              <w:jc w:val="center"/>
              <w:rPr>
                <w:sz w:val="16"/>
                <w:szCs w:val="16"/>
              </w:rPr>
            </w:pPr>
            <w:r w:rsidRPr="00040A3A">
              <w:rPr>
                <w:sz w:val="16"/>
                <w:szCs w:val="16"/>
              </w:rPr>
              <w:t>22</w:t>
            </w:r>
          </w:p>
        </w:tc>
        <w:tc>
          <w:tcPr>
            <w:tcW w:w="2150" w:type="dxa"/>
            <w:noWrap/>
            <w:hideMark/>
          </w:tcPr>
          <w:p w:rsidR="00EB4327" w:rsidRPr="00040A3A" w:rsidRDefault="00EB4327" w:rsidP="00B43049">
            <w:pPr>
              <w:jc w:val="center"/>
              <w:rPr>
                <w:sz w:val="16"/>
                <w:szCs w:val="16"/>
              </w:rPr>
            </w:pPr>
            <w:r w:rsidRPr="00040A3A">
              <w:rPr>
                <w:sz w:val="16"/>
                <w:szCs w:val="16"/>
              </w:rPr>
              <w:t>5.070.846,54 €</w:t>
            </w:r>
          </w:p>
        </w:tc>
      </w:tr>
      <w:tr w:rsidR="00EB4327" w:rsidRPr="00040A3A" w:rsidTr="00193D0F">
        <w:trPr>
          <w:trHeight w:val="435"/>
        </w:trPr>
        <w:tc>
          <w:tcPr>
            <w:tcW w:w="862" w:type="dxa"/>
            <w:noWrap/>
            <w:hideMark/>
          </w:tcPr>
          <w:p w:rsidR="00EB4327" w:rsidRPr="00040A3A" w:rsidRDefault="00EB4327" w:rsidP="00B43049">
            <w:pPr>
              <w:jc w:val="center"/>
              <w:rPr>
                <w:sz w:val="16"/>
                <w:szCs w:val="16"/>
              </w:rPr>
            </w:pPr>
            <w:r w:rsidRPr="00040A3A">
              <w:rPr>
                <w:sz w:val="16"/>
                <w:szCs w:val="16"/>
              </w:rPr>
              <w:t>Β.</w:t>
            </w:r>
          </w:p>
        </w:tc>
        <w:tc>
          <w:tcPr>
            <w:tcW w:w="4931" w:type="dxa"/>
            <w:noWrap/>
            <w:hideMark/>
          </w:tcPr>
          <w:p w:rsidR="00EB4327" w:rsidRPr="00040A3A" w:rsidRDefault="00EB4327" w:rsidP="00B43049">
            <w:pPr>
              <w:rPr>
                <w:sz w:val="16"/>
                <w:szCs w:val="16"/>
              </w:rPr>
            </w:pPr>
            <w:r w:rsidRPr="00040A3A">
              <w:rPr>
                <w:sz w:val="16"/>
                <w:szCs w:val="16"/>
              </w:rPr>
              <w:t>Επιστήμες Μηχανικού και Τεχνολογικές Επιστήμες</w:t>
            </w:r>
          </w:p>
        </w:tc>
        <w:tc>
          <w:tcPr>
            <w:tcW w:w="1469" w:type="dxa"/>
            <w:noWrap/>
            <w:hideMark/>
          </w:tcPr>
          <w:p w:rsidR="00EB4327" w:rsidRPr="00040A3A" w:rsidRDefault="00EB4327" w:rsidP="00B43049">
            <w:pPr>
              <w:jc w:val="center"/>
              <w:rPr>
                <w:sz w:val="16"/>
                <w:szCs w:val="16"/>
              </w:rPr>
            </w:pPr>
            <w:r w:rsidRPr="00040A3A">
              <w:rPr>
                <w:sz w:val="16"/>
                <w:szCs w:val="16"/>
              </w:rPr>
              <w:t>38</w:t>
            </w:r>
          </w:p>
        </w:tc>
        <w:tc>
          <w:tcPr>
            <w:tcW w:w="2150" w:type="dxa"/>
            <w:noWrap/>
            <w:hideMark/>
          </w:tcPr>
          <w:p w:rsidR="00EB4327" w:rsidRPr="00040A3A" w:rsidRDefault="00EB4327" w:rsidP="00B43049">
            <w:pPr>
              <w:jc w:val="center"/>
              <w:rPr>
                <w:sz w:val="16"/>
                <w:szCs w:val="16"/>
              </w:rPr>
            </w:pPr>
            <w:r w:rsidRPr="00040A3A">
              <w:rPr>
                <w:sz w:val="16"/>
                <w:szCs w:val="16"/>
              </w:rPr>
              <w:t>6.003.434,58 €</w:t>
            </w:r>
          </w:p>
        </w:tc>
      </w:tr>
      <w:tr w:rsidR="00EB4327" w:rsidRPr="00040A3A" w:rsidTr="00193D0F">
        <w:trPr>
          <w:trHeight w:val="405"/>
        </w:trPr>
        <w:tc>
          <w:tcPr>
            <w:tcW w:w="862" w:type="dxa"/>
            <w:noWrap/>
            <w:hideMark/>
          </w:tcPr>
          <w:p w:rsidR="00EB4327" w:rsidRPr="00040A3A" w:rsidRDefault="00EB4327" w:rsidP="00B43049">
            <w:pPr>
              <w:jc w:val="center"/>
              <w:rPr>
                <w:sz w:val="16"/>
                <w:szCs w:val="16"/>
              </w:rPr>
            </w:pPr>
            <w:r w:rsidRPr="00040A3A">
              <w:rPr>
                <w:sz w:val="16"/>
                <w:szCs w:val="16"/>
              </w:rPr>
              <w:t>Γ.</w:t>
            </w:r>
          </w:p>
        </w:tc>
        <w:tc>
          <w:tcPr>
            <w:tcW w:w="4931" w:type="dxa"/>
            <w:noWrap/>
            <w:hideMark/>
          </w:tcPr>
          <w:p w:rsidR="00EB4327" w:rsidRPr="00040A3A" w:rsidRDefault="00EB4327" w:rsidP="00B43049">
            <w:pPr>
              <w:rPr>
                <w:sz w:val="16"/>
                <w:szCs w:val="16"/>
              </w:rPr>
            </w:pPr>
            <w:r w:rsidRPr="00040A3A">
              <w:rPr>
                <w:sz w:val="16"/>
                <w:szCs w:val="16"/>
              </w:rPr>
              <w:t>Επιστήμες Ζωής (Ιατρικής και επιστημών υγείας)</w:t>
            </w:r>
          </w:p>
        </w:tc>
        <w:tc>
          <w:tcPr>
            <w:tcW w:w="1469" w:type="dxa"/>
            <w:noWrap/>
            <w:hideMark/>
          </w:tcPr>
          <w:p w:rsidR="00EB4327" w:rsidRPr="00040A3A" w:rsidRDefault="00EB4327" w:rsidP="00B43049">
            <w:pPr>
              <w:jc w:val="center"/>
              <w:rPr>
                <w:sz w:val="16"/>
                <w:szCs w:val="16"/>
              </w:rPr>
            </w:pPr>
            <w:r w:rsidRPr="00040A3A">
              <w:rPr>
                <w:sz w:val="16"/>
                <w:szCs w:val="16"/>
              </w:rPr>
              <w:t>43</w:t>
            </w:r>
          </w:p>
        </w:tc>
        <w:tc>
          <w:tcPr>
            <w:tcW w:w="2150" w:type="dxa"/>
            <w:noWrap/>
            <w:hideMark/>
          </w:tcPr>
          <w:p w:rsidR="00EB4327" w:rsidRPr="00040A3A" w:rsidRDefault="00EB4327" w:rsidP="00B43049">
            <w:pPr>
              <w:jc w:val="center"/>
              <w:rPr>
                <w:sz w:val="16"/>
                <w:szCs w:val="16"/>
              </w:rPr>
            </w:pPr>
            <w:r w:rsidRPr="00040A3A">
              <w:rPr>
                <w:sz w:val="16"/>
                <w:szCs w:val="16"/>
              </w:rPr>
              <w:t>7.745.000,00 €</w:t>
            </w:r>
          </w:p>
        </w:tc>
      </w:tr>
      <w:tr w:rsidR="00EB4327" w:rsidRPr="00040A3A" w:rsidTr="00193D0F">
        <w:trPr>
          <w:trHeight w:val="420"/>
        </w:trPr>
        <w:tc>
          <w:tcPr>
            <w:tcW w:w="862" w:type="dxa"/>
            <w:noWrap/>
            <w:hideMark/>
          </w:tcPr>
          <w:p w:rsidR="00EB4327" w:rsidRPr="00040A3A" w:rsidRDefault="00EB4327" w:rsidP="00B43049">
            <w:pPr>
              <w:jc w:val="center"/>
              <w:rPr>
                <w:sz w:val="16"/>
                <w:szCs w:val="16"/>
              </w:rPr>
            </w:pPr>
            <w:r w:rsidRPr="00040A3A">
              <w:rPr>
                <w:sz w:val="16"/>
                <w:szCs w:val="16"/>
              </w:rPr>
              <w:t>Δ.</w:t>
            </w:r>
          </w:p>
        </w:tc>
        <w:tc>
          <w:tcPr>
            <w:tcW w:w="4931" w:type="dxa"/>
            <w:noWrap/>
            <w:hideMark/>
          </w:tcPr>
          <w:p w:rsidR="00EB4327" w:rsidRPr="00040A3A" w:rsidRDefault="00EB4327" w:rsidP="00B43049">
            <w:pPr>
              <w:rPr>
                <w:sz w:val="16"/>
                <w:szCs w:val="16"/>
              </w:rPr>
            </w:pPr>
            <w:r w:rsidRPr="00040A3A">
              <w:rPr>
                <w:sz w:val="16"/>
                <w:szCs w:val="16"/>
              </w:rPr>
              <w:t>Γεωπονικές Επιστήμες</w:t>
            </w:r>
          </w:p>
        </w:tc>
        <w:tc>
          <w:tcPr>
            <w:tcW w:w="1469" w:type="dxa"/>
            <w:noWrap/>
            <w:hideMark/>
          </w:tcPr>
          <w:p w:rsidR="00EB4327" w:rsidRPr="00040A3A" w:rsidRDefault="00EB4327" w:rsidP="00B43049">
            <w:pPr>
              <w:jc w:val="center"/>
              <w:rPr>
                <w:sz w:val="16"/>
                <w:szCs w:val="16"/>
              </w:rPr>
            </w:pPr>
            <w:r w:rsidRPr="00040A3A">
              <w:rPr>
                <w:sz w:val="16"/>
                <w:szCs w:val="16"/>
              </w:rPr>
              <w:t>14</w:t>
            </w:r>
          </w:p>
        </w:tc>
        <w:tc>
          <w:tcPr>
            <w:tcW w:w="2150" w:type="dxa"/>
            <w:noWrap/>
            <w:hideMark/>
          </w:tcPr>
          <w:p w:rsidR="00EB4327" w:rsidRPr="00040A3A" w:rsidRDefault="00EB4327" w:rsidP="00B43049">
            <w:pPr>
              <w:jc w:val="center"/>
              <w:rPr>
                <w:sz w:val="16"/>
                <w:szCs w:val="16"/>
              </w:rPr>
            </w:pPr>
            <w:r w:rsidRPr="00040A3A">
              <w:rPr>
                <w:sz w:val="16"/>
                <w:szCs w:val="16"/>
              </w:rPr>
              <w:t>3.459.226,89 €</w:t>
            </w:r>
          </w:p>
        </w:tc>
      </w:tr>
      <w:tr w:rsidR="00EB4327" w:rsidRPr="00040A3A" w:rsidTr="00193D0F">
        <w:trPr>
          <w:trHeight w:val="435"/>
        </w:trPr>
        <w:tc>
          <w:tcPr>
            <w:tcW w:w="862" w:type="dxa"/>
            <w:noWrap/>
            <w:hideMark/>
          </w:tcPr>
          <w:p w:rsidR="00EB4327" w:rsidRPr="00040A3A" w:rsidRDefault="00EB4327" w:rsidP="00B43049">
            <w:pPr>
              <w:jc w:val="center"/>
              <w:rPr>
                <w:sz w:val="16"/>
                <w:szCs w:val="16"/>
              </w:rPr>
            </w:pPr>
            <w:r w:rsidRPr="00040A3A">
              <w:rPr>
                <w:sz w:val="16"/>
                <w:szCs w:val="16"/>
              </w:rPr>
              <w:t>Ε.</w:t>
            </w:r>
          </w:p>
        </w:tc>
        <w:tc>
          <w:tcPr>
            <w:tcW w:w="4931" w:type="dxa"/>
            <w:noWrap/>
            <w:hideMark/>
          </w:tcPr>
          <w:p w:rsidR="00EB4327" w:rsidRPr="00040A3A" w:rsidRDefault="00EB4327" w:rsidP="00B43049">
            <w:pPr>
              <w:rPr>
                <w:sz w:val="16"/>
                <w:szCs w:val="16"/>
              </w:rPr>
            </w:pPr>
            <w:r w:rsidRPr="00040A3A">
              <w:rPr>
                <w:sz w:val="16"/>
                <w:szCs w:val="16"/>
              </w:rPr>
              <w:t>Μαθηματικά και Επιστήμες της Πληροφορίας</w:t>
            </w:r>
          </w:p>
        </w:tc>
        <w:tc>
          <w:tcPr>
            <w:tcW w:w="1469" w:type="dxa"/>
            <w:noWrap/>
            <w:hideMark/>
          </w:tcPr>
          <w:p w:rsidR="00EB4327" w:rsidRPr="00040A3A" w:rsidRDefault="00EB4327" w:rsidP="00B43049">
            <w:pPr>
              <w:jc w:val="center"/>
              <w:rPr>
                <w:sz w:val="16"/>
                <w:szCs w:val="16"/>
              </w:rPr>
            </w:pPr>
            <w:r w:rsidRPr="00040A3A">
              <w:rPr>
                <w:sz w:val="16"/>
                <w:szCs w:val="16"/>
              </w:rPr>
              <w:t>12</w:t>
            </w:r>
          </w:p>
        </w:tc>
        <w:tc>
          <w:tcPr>
            <w:tcW w:w="2150" w:type="dxa"/>
            <w:noWrap/>
            <w:hideMark/>
          </w:tcPr>
          <w:p w:rsidR="00EB4327" w:rsidRPr="00040A3A" w:rsidRDefault="00EB4327" w:rsidP="00B43049">
            <w:pPr>
              <w:jc w:val="center"/>
              <w:rPr>
                <w:sz w:val="16"/>
                <w:szCs w:val="16"/>
              </w:rPr>
            </w:pPr>
            <w:r w:rsidRPr="00040A3A">
              <w:rPr>
                <w:sz w:val="16"/>
                <w:szCs w:val="16"/>
              </w:rPr>
              <w:t>2.163.162,02 €</w:t>
            </w:r>
          </w:p>
        </w:tc>
      </w:tr>
      <w:tr w:rsidR="00EB4327" w:rsidRPr="00040A3A" w:rsidTr="00193D0F">
        <w:trPr>
          <w:trHeight w:val="360"/>
        </w:trPr>
        <w:tc>
          <w:tcPr>
            <w:tcW w:w="862" w:type="dxa"/>
            <w:noWrap/>
            <w:hideMark/>
          </w:tcPr>
          <w:p w:rsidR="00EB4327" w:rsidRPr="00040A3A" w:rsidRDefault="00EB4327" w:rsidP="00B43049">
            <w:pPr>
              <w:jc w:val="center"/>
              <w:rPr>
                <w:sz w:val="16"/>
                <w:szCs w:val="16"/>
              </w:rPr>
            </w:pPr>
            <w:r w:rsidRPr="00040A3A">
              <w:rPr>
                <w:sz w:val="16"/>
                <w:szCs w:val="16"/>
              </w:rPr>
              <w:t>ΣΤ.</w:t>
            </w:r>
          </w:p>
        </w:tc>
        <w:tc>
          <w:tcPr>
            <w:tcW w:w="4931" w:type="dxa"/>
            <w:noWrap/>
            <w:hideMark/>
          </w:tcPr>
          <w:p w:rsidR="00EB4327" w:rsidRPr="00040A3A" w:rsidRDefault="00EB4327" w:rsidP="00B43049">
            <w:pPr>
              <w:rPr>
                <w:sz w:val="16"/>
                <w:szCs w:val="16"/>
              </w:rPr>
            </w:pPr>
            <w:r w:rsidRPr="00040A3A">
              <w:rPr>
                <w:sz w:val="16"/>
                <w:szCs w:val="16"/>
              </w:rPr>
              <w:t>Κοινωνικές Επιστήμες</w:t>
            </w:r>
          </w:p>
        </w:tc>
        <w:tc>
          <w:tcPr>
            <w:tcW w:w="1469" w:type="dxa"/>
            <w:noWrap/>
            <w:hideMark/>
          </w:tcPr>
          <w:p w:rsidR="00EB4327" w:rsidRPr="00040A3A" w:rsidRDefault="00EB4327" w:rsidP="00B43049">
            <w:pPr>
              <w:jc w:val="center"/>
              <w:rPr>
                <w:sz w:val="16"/>
                <w:szCs w:val="16"/>
              </w:rPr>
            </w:pPr>
            <w:r w:rsidRPr="00040A3A">
              <w:rPr>
                <w:sz w:val="16"/>
                <w:szCs w:val="16"/>
              </w:rPr>
              <w:t>28</w:t>
            </w:r>
          </w:p>
        </w:tc>
        <w:tc>
          <w:tcPr>
            <w:tcW w:w="2150" w:type="dxa"/>
            <w:noWrap/>
            <w:hideMark/>
          </w:tcPr>
          <w:p w:rsidR="00EB4327" w:rsidRPr="00040A3A" w:rsidRDefault="00EB4327" w:rsidP="00B43049">
            <w:pPr>
              <w:jc w:val="center"/>
              <w:rPr>
                <w:sz w:val="16"/>
                <w:szCs w:val="16"/>
              </w:rPr>
            </w:pPr>
            <w:r w:rsidRPr="00040A3A">
              <w:rPr>
                <w:sz w:val="16"/>
                <w:szCs w:val="16"/>
              </w:rPr>
              <w:t>4.761.489,00 €</w:t>
            </w:r>
          </w:p>
        </w:tc>
      </w:tr>
      <w:tr w:rsidR="00EB4327" w:rsidRPr="00040A3A" w:rsidTr="00193D0F">
        <w:trPr>
          <w:trHeight w:val="390"/>
        </w:trPr>
        <w:tc>
          <w:tcPr>
            <w:tcW w:w="862" w:type="dxa"/>
            <w:noWrap/>
            <w:hideMark/>
          </w:tcPr>
          <w:p w:rsidR="00EB4327" w:rsidRPr="00040A3A" w:rsidRDefault="00EB4327" w:rsidP="00B43049">
            <w:pPr>
              <w:jc w:val="center"/>
              <w:rPr>
                <w:sz w:val="16"/>
                <w:szCs w:val="16"/>
              </w:rPr>
            </w:pPr>
            <w:r w:rsidRPr="00040A3A">
              <w:rPr>
                <w:sz w:val="16"/>
                <w:szCs w:val="16"/>
              </w:rPr>
              <w:t>Ζ.</w:t>
            </w:r>
          </w:p>
        </w:tc>
        <w:tc>
          <w:tcPr>
            <w:tcW w:w="4931" w:type="dxa"/>
            <w:noWrap/>
            <w:hideMark/>
          </w:tcPr>
          <w:p w:rsidR="00EB4327" w:rsidRPr="00040A3A" w:rsidRDefault="00EB4327" w:rsidP="00B43049">
            <w:pPr>
              <w:rPr>
                <w:sz w:val="16"/>
                <w:szCs w:val="16"/>
              </w:rPr>
            </w:pPr>
            <w:r w:rsidRPr="00040A3A">
              <w:rPr>
                <w:sz w:val="16"/>
                <w:szCs w:val="16"/>
              </w:rPr>
              <w:t>Ανθρωπιστικές Επιστήμες (και Τέχνες)</w:t>
            </w:r>
          </w:p>
        </w:tc>
        <w:tc>
          <w:tcPr>
            <w:tcW w:w="1469" w:type="dxa"/>
            <w:noWrap/>
            <w:hideMark/>
          </w:tcPr>
          <w:p w:rsidR="00EB4327" w:rsidRPr="00040A3A" w:rsidRDefault="00EB4327" w:rsidP="00B43049">
            <w:pPr>
              <w:jc w:val="center"/>
              <w:rPr>
                <w:sz w:val="16"/>
                <w:szCs w:val="16"/>
              </w:rPr>
            </w:pPr>
            <w:r w:rsidRPr="00040A3A">
              <w:rPr>
                <w:sz w:val="16"/>
                <w:szCs w:val="16"/>
              </w:rPr>
              <w:t>14</w:t>
            </w:r>
          </w:p>
        </w:tc>
        <w:tc>
          <w:tcPr>
            <w:tcW w:w="2150" w:type="dxa"/>
            <w:noWrap/>
            <w:hideMark/>
          </w:tcPr>
          <w:p w:rsidR="00EB4327" w:rsidRPr="00040A3A" w:rsidRDefault="00EB4327" w:rsidP="00B43049">
            <w:pPr>
              <w:jc w:val="center"/>
              <w:rPr>
                <w:sz w:val="16"/>
                <w:szCs w:val="16"/>
              </w:rPr>
            </w:pPr>
            <w:r w:rsidRPr="00040A3A">
              <w:rPr>
                <w:sz w:val="16"/>
                <w:szCs w:val="16"/>
              </w:rPr>
              <w:t>2.406.284,43 €</w:t>
            </w:r>
          </w:p>
        </w:tc>
      </w:tr>
      <w:tr w:rsidR="00EB4327" w:rsidRPr="00040A3A" w:rsidTr="00193D0F">
        <w:trPr>
          <w:trHeight w:val="420"/>
        </w:trPr>
        <w:tc>
          <w:tcPr>
            <w:tcW w:w="862" w:type="dxa"/>
            <w:noWrap/>
            <w:hideMark/>
          </w:tcPr>
          <w:p w:rsidR="00EB4327" w:rsidRPr="00040A3A" w:rsidRDefault="00EB4327" w:rsidP="00B43049">
            <w:pPr>
              <w:jc w:val="center"/>
              <w:rPr>
                <w:sz w:val="16"/>
                <w:szCs w:val="16"/>
              </w:rPr>
            </w:pPr>
            <w:r w:rsidRPr="00040A3A">
              <w:rPr>
                <w:sz w:val="16"/>
                <w:szCs w:val="16"/>
              </w:rPr>
              <w:lastRenderedPageBreak/>
              <w:t>Η.</w:t>
            </w:r>
          </w:p>
        </w:tc>
        <w:tc>
          <w:tcPr>
            <w:tcW w:w="4931" w:type="dxa"/>
            <w:noWrap/>
            <w:hideMark/>
          </w:tcPr>
          <w:p w:rsidR="00EB4327" w:rsidRPr="00040A3A" w:rsidRDefault="00EB4327" w:rsidP="00B43049">
            <w:pPr>
              <w:rPr>
                <w:sz w:val="16"/>
                <w:szCs w:val="16"/>
              </w:rPr>
            </w:pPr>
            <w:r w:rsidRPr="00040A3A">
              <w:rPr>
                <w:sz w:val="16"/>
                <w:szCs w:val="16"/>
              </w:rPr>
              <w:t>Περιβάλλον και Ενέργεια</w:t>
            </w:r>
          </w:p>
        </w:tc>
        <w:tc>
          <w:tcPr>
            <w:tcW w:w="1469" w:type="dxa"/>
            <w:noWrap/>
            <w:hideMark/>
          </w:tcPr>
          <w:p w:rsidR="00EB4327" w:rsidRPr="00040A3A" w:rsidRDefault="00EB4327" w:rsidP="00B43049">
            <w:pPr>
              <w:jc w:val="center"/>
              <w:rPr>
                <w:sz w:val="16"/>
                <w:szCs w:val="16"/>
              </w:rPr>
            </w:pPr>
            <w:r w:rsidRPr="00040A3A">
              <w:rPr>
                <w:sz w:val="16"/>
                <w:szCs w:val="16"/>
              </w:rPr>
              <w:t>15</w:t>
            </w:r>
          </w:p>
        </w:tc>
        <w:tc>
          <w:tcPr>
            <w:tcW w:w="2150" w:type="dxa"/>
            <w:noWrap/>
            <w:hideMark/>
          </w:tcPr>
          <w:p w:rsidR="00EB4327" w:rsidRPr="00040A3A" w:rsidRDefault="00EB4327" w:rsidP="00B43049">
            <w:pPr>
              <w:jc w:val="center"/>
              <w:rPr>
                <w:sz w:val="16"/>
                <w:szCs w:val="16"/>
              </w:rPr>
            </w:pPr>
            <w:r w:rsidRPr="00040A3A">
              <w:rPr>
                <w:sz w:val="16"/>
                <w:szCs w:val="16"/>
              </w:rPr>
              <w:t>2.010.000,00 €</w:t>
            </w:r>
          </w:p>
        </w:tc>
      </w:tr>
      <w:tr w:rsidR="00EB4327" w:rsidRPr="00040A3A" w:rsidTr="00193D0F">
        <w:trPr>
          <w:trHeight w:val="377"/>
        </w:trPr>
        <w:tc>
          <w:tcPr>
            <w:tcW w:w="862" w:type="dxa"/>
            <w:noWrap/>
            <w:hideMark/>
          </w:tcPr>
          <w:p w:rsidR="00EB4327" w:rsidRPr="00040A3A" w:rsidRDefault="00EB4327" w:rsidP="00B43049">
            <w:pPr>
              <w:spacing w:before="0"/>
              <w:rPr>
                <w:sz w:val="16"/>
                <w:szCs w:val="16"/>
              </w:rPr>
            </w:pPr>
          </w:p>
        </w:tc>
        <w:tc>
          <w:tcPr>
            <w:tcW w:w="4931" w:type="dxa"/>
            <w:noWrap/>
            <w:hideMark/>
          </w:tcPr>
          <w:p w:rsidR="00EB4327" w:rsidRPr="00040A3A" w:rsidRDefault="00EB4327" w:rsidP="00B43049">
            <w:pPr>
              <w:spacing w:before="0"/>
              <w:rPr>
                <w:b/>
                <w:bCs/>
                <w:sz w:val="16"/>
                <w:szCs w:val="16"/>
              </w:rPr>
            </w:pPr>
            <w:r w:rsidRPr="00040A3A">
              <w:rPr>
                <w:b/>
                <w:bCs/>
                <w:sz w:val="16"/>
                <w:szCs w:val="16"/>
              </w:rPr>
              <w:t>ΓΕΝΙΚΟ ΣΥΝΟΛΟ</w:t>
            </w:r>
          </w:p>
        </w:tc>
        <w:tc>
          <w:tcPr>
            <w:tcW w:w="1469" w:type="dxa"/>
            <w:noWrap/>
            <w:hideMark/>
          </w:tcPr>
          <w:p w:rsidR="00EB4327" w:rsidRPr="00040A3A" w:rsidRDefault="00EB4327" w:rsidP="00B43049">
            <w:pPr>
              <w:spacing w:before="0"/>
              <w:jc w:val="center"/>
              <w:rPr>
                <w:b/>
                <w:bCs/>
                <w:sz w:val="16"/>
                <w:szCs w:val="16"/>
              </w:rPr>
            </w:pPr>
            <w:r w:rsidRPr="00040A3A">
              <w:rPr>
                <w:b/>
                <w:bCs/>
                <w:sz w:val="16"/>
                <w:szCs w:val="16"/>
              </w:rPr>
              <w:t>186</w:t>
            </w:r>
          </w:p>
        </w:tc>
        <w:tc>
          <w:tcPr>
            <w:tcW w:w="2150" w:type="dxa"/>
            <w:noWrap/>
            <w:hideMark/>
          </w:tcPr>
          <w:p w:rsidR="00EB4327" w:rsidRPr="00040A3A" w:rsidRDefault="00EB4327" w:rsidP="00B43049">
            <w:pPr>
              <w:spacing w:before="0"/>
              <w:jc w:val="center"/>
              <w:rPr>
                <w:b/>
                <w:bCs/>
                <w:sz w:val="16"/>
                <w:szCs w:val="16"/>
              </w:rPr>
            </w:pPr>
            <w:r w:rsidRPr="00040A3A">
              <w:rPr>
                <w:b/>
                <w:bCs/>
                <w:sz w:val="16"/>
                <w:szCs w:val="16"/>
              </w:rPr>
              <w:t>33.619.443,46 €</w:t>
            </w:r>
          </w:p>
        </w:tc>
      </w:tr>
    </w:tbl>
    <w:p w:rsidR="00EB4327" w:rsidRPr="00040A3A" w:rsidRDefault="00EB4327" w:rsidP="00EB4327">
      <w:pPr>
        <w:spacing w:before="0"/>
        <w:rPr>
          <w:i/>
          <w:sz w:val="16"/>
          <w:szCs w:val="18"/>
        </w:rPr>
      </w:pPr>
      <w:r w:rsidRPr="00040A3A">
        <w:rPr>
          <w:i/>
          <w:sz w:val="16"/>
          <w:szCs w:val="18"/>
        </w:rPr>
        <w:t>(Πηγή: ΓΓΕΤ)</w:t>
      </w:r>
    </w:p>
    <w:p w:rsidR="00EB4327" w:rsidRDefault="00EB4327" w:rsidP="00EB4327"/>
    <w:p w:rsidR="00727101" w:rsidRDefault="00C03A43" w:rsidP="00727101">
      <w:pPr>
        <w:pStyle w:val="Heading1"/>
      </w:pPr>
      <w:bookmarkStart w:id="37" w:name="_Toc22645118"/>
      <w:r>
        <w:t xml:space="preserve">Λοιπές </w:t>
      </w:r>
      <w:r w:rsidR="00EB5844">
        <w:t xml:space="preserve"> </w:t>
      </w:r>
      <w:r>
        <w:t xml:space="preserve">πηγές </w:t>
      </w:r>
      <w:r w:rsidR="00EB5844">
        <w:t xml:space="preserve">χρηματοδότησης </w:t>
      </w:r>
      <w:r>
        <w:t xml:space="preserve">της </w:t>
      </w:r>
      <w:r w:rsidR="00EB5844">
        <w:t>στρατηγικής</w:t>
      </w:r>
      <w:bookmarkEnd w:id="37"/>
    </w:p>
    <w:p w:rsidR="00C03A43" w:rsidRPr="00C03A43" w:rsidRDefault="00C03A43" w:rsidP="00C03A43">
      <w:r w:rsidRPr="00C03A43">
        <w:t xml:space="preserve">Βασική πηγή χρηματοδότησης της Στρατηγικής είναι το Επιχειρησιακό Πρόγραμμα Ανταγωνιστικότητα Επιχειρηματικότητα και Καινοτομία (ΕΠΑνΕΚ) 2014 – 2020. Υπάρχουν ωστόσο λοιπές πηγές χρηματοδότησης που συμβάλουν στην επίτευξη των στόχων της </w:t>
      </w:r>
      <w:r w:rsidRPr="00C03A43">
        <w:rPr>
          <w:lang w:val="en-US"/>
        </w:rPr>
        <w:t>RIS</w:t>
      </w:r>
      <w:r w:rsidRPr="00C03A43">
        <w:t>, όπως:</w:t>
      </w:r>
    </w:p>
    <w:p w:rsidR="00C03A43" w:rsidRPr="00C03A43" w:rsidRDefault="00C03A43" w:rsidP="00C03A43">
      <w:pPr>
        <w:pStyle w:val="Heading2"/>
        <w:rPr>
          <w:rFonts w:eastAsia="Calibri"/>
        </w:rPr>
      </w:pPr>
      <w:bookmarkStart w:id="38" w:name="_Toc14772580"/>
      <w:bookmarkStart w:id="39" w:name="_Toc22645119"/>
      <w:r w:rsidRPr="00C03A43">
        <w:rPr>
          <w:rFonts w:eastAsia="Calibri"/>
        </w:rPr>
        <w:t>Το πρόγραμμα Horizon 2020</w:t>
      </w:r>
      <w:bookmarkEnd w:id="38"/>
      <w:bookmarkEnd w:id="39"/>
    </w:p>
    <w:p w:rsidR="00C03A43" w:rsidRPr="00C03A43" w:rsidRDefault="00C03A43" w:rsidP="00C03A43">
      <w:r w:rsidRPr="00C03A43">
        <w:t xml:space="preserve">Παρότι η εθνική RIS3 έχει διαμορφωθεί από το 2015, η χρηματοδότηση των έργων που την αφορούν </w:t>
      </w:r>
      <w:r w:rsidR="00A1646C">
        <w:t xml:space="preserve">δεν είχε </w:t>
      </w:r>
      <w:r w:rsidR="00A1646C" w:rsidRPr="00E12F0E">
        <w:t xml:space="preserve">ξεκινήσει μέχρι το τέλος του 2017. Η χρηματοδότηση των έργων εκτιμάται εντός του 2018, </w:t>
      </w:r>
      <w:r w:rsidRPr="00E12F0E">
        <w:t xml:space="preserve">με την καταβολή των προκαταβολών των έργων που </w:t>
      </w:r>
      <w:r w:rsidR="00A1646C" w:rsidRPr="00E12F0E">
        <w:t>πρόκειται να ενταχθούν</w:t>
      </w:r>
      <w:r w:rsidRPr="00E12F0E">
        <w:t xml:space="preserve"> στ</w:t>
      </w:r>
      <w:r w:rsidR="00A1646C" w:rsidRPr="00E12F0E">
        <w:t xml:space="preserve">ο πλαίσιο της προκήρυξης της </w:t>
      </w:r>
      <w:r w:rsidRPr="00E12F0E">
        <w:t>Δράση</w:t>
      </w:r>
      <w:r w:rsidR="00A1646C" w:rsidRPr="00E12F0E">
        <w:t>ς</w:t>
      </w:r>
      <w:r w:rsidRPr="00E12F0E">
        <w:t xml:space="preserve"> του Ε</w:t>
      </w:r>
      <w:r w:rsidR="00A1646C" w:rsidRPr="00E12F0E">
        <w:t>ρευνώ-Δημιουργώ-Καινοτομώ</w:t>
      </w:r>
      <w:r w:rsidRPr="00E12F0E">
        <w:t xml:space="preserve">. Κατά συνέπεια, </w:t>
      </w:r>
      <w:r w:rsidR="00193D0F" w:rsidRPr="00E12F0E">
        <w:t>το πρόγραμμα "Ορίζοντας 2020" (Horizon 2020</w:t>
      </w:r>
      <w:r w:rsidR="00E12F0E">
        <w:t>-</w:t>
      </w:r>
      <w:r w:rsidR="00E12F0E">
        <w:rPr>
          <w:lang w:val="en-US"/>
        </w:rPr>
        <w:t>H</w:t>
      </w:r>
      <w:r w:rsidR="00E12F0E" w:rsidRPr="00E12F0E">
        <w:t>2020</w:t>
      </w:r>
      <w:r w:rsidR="00193D0F" w:rsidRPr="00E12F0E">
        <w:t xml:space="preserve">) </w:t>
      </w:r>
      <w:r w:rsidRPr="00E12F0E">
        <w:t xml:space="preserve">και οι θεματικές ενότητες που προκρίνει </w:t>
      </w:r>
      <w:r w:rsidR="00E12F0E">
        <w:t>παίζουν</w:t>
      </w:r>
      <w:r w:rsidRPr="00C03A43">
        <w:t xml:space="preserve"> καθοριστικό ρόλο στον προσδιορισμό των προτεραιοτήτων των ερευνητικών φορέων της χώρας.</w:t>
      </w:r>
    </w:p>
    <w:p w:rsidR="00C03A43" w:rsidRPr="00C03A43" w:rsidRDefault="00C03A43" w:rsidP="00C03A43">
      <w:r w:rsidRPr="00C03A43">
        <w:t xml:space="preserve">Το </w:t>
      </w:r>
      <w:r w:rsidR="00E12F0E">
        <w:rPr>
          <w:lang w:val="en-US"/>
        </w:rPr>
        <w:t>H</w:t>
      </w:r>
      <w:r w:rsidR="00E12F0E" w:rsidRPr="00E12F0E">
        <w:t>2020</w:t>
      </w:r>
      <w:r w:rsidRPr="00C03A43">
        <w:t>είναι το χρηματοδοτικό πλαίσιο της ΕΕ για την Έρευνα και την Καινοτομία που θα καλύψει την περίοδο 2014-2020, με προϋπολογισμό περίπου 80 δισ. ευρώ. Το πρόγραμμα υποστηρίζει τη στρατηγική "Ευρώπη 2020" που αναδεικνύει την έρευνα και την καινοτομία ως κεντρικούς μοχλούς για την έξυπνη, βιώσιμη και ολοκληρωμένη ανάπτυξη, στοχεύοντας παράλληλα στην αποτελεσματική αντιμετώπιση σημαντικών κοινωνικών προκλήσεων.</w:t>
      </w:r>
    </w:p>
    <w:p w:rsidR="00C03A43" w:rsidRPr="00C03A43" w:rsidRDefault="00C03A43" w:rsidP="00C03A43"/>
    <w:p w:rsidR="00C03A43" w:rsidRPr="00C03A43" w:rsidRDefault="00C03A43" w:rsidP="00C7515C">
      <w:pPr>
        <w:spacing w:after="120" w:line="240" w:lineRule="auto"/>
        <w:jc w:val="center"/>
        <w:rPr>
          <w:rFonts w:asciiTheme="minorHAnsi" w:eastAsiaTheme="minorHAnsi" w:hAnsiTheme="minorHAnsi" w:cstheme="minorBidi"/>
          <w:b/>
          <w:iCs/>
          <w:sz w:val="16"/>
          <w:szCs w:val="18"/>
        </w:rPr>
      </w:pPr>
      <w:r w:rsidRPr="00C03A43">
        <w:rPr>
          <w:rFonts w:asciiTheme="minorHAnsi" w:eastAsiaTheme="minorHAnsi" w:hAnsiTheme="minorHAnsi" w:cstheme="minorBidi"/>
          <w:b/>
          <w:iCs/>
          <w:sz w:val="16"/>
          <w:szCs w:val="18"/>
        </w:rPr>
        <w:t xml:space="preserve">Διάγραμμα  </w:t>
      </w:r>
      <w:r w:rsidR="00C7515C">
        <w:rPr>
          <w:rFonts w:asciiTheme="minorHAnsi" w:eastAsiaTheme="minorHAnsi" w:hAnsiTheme="minorHAnsi" w:cstheme="minorBidi"/>
          <w:b/>
          <w:iCs/>
          <w:noProof/>
          <w:sz w:val="16"/>
          <w:szCs w:val="18"/>
        </w:rPr>
        <w:t>4</w:t>
      </w:r>
      <w:r w:rsidRPr="00C03A43">
        <w:rPr>
          <w:rFonts w:asciiTheme="minorHAnsi" w:eastAsiaTheme="minorHAnsi" w:hAnsiTheme="minorHAnsi" w:cstheme="minorBidi"/>
          <w:b/>
          <w:iCs/>
          <w:sz w:val="16"/>
          <w:szCs w:val="18"/>
        </w:rPr>
        <w:noBreakHyphen/>
      </w:r>
      <w:r w:rsidRPr="00C03A43">
        <w:rPr>
          <w:rFonts w:asciiTheme="minorHAnsi" w:eastAsiaTheme="minorHAnsi" w:hAnsiTheme="minorHAnsi" w:cstheme="minorBidi"/>
          <w:b/>
          <w:iCs/>
          <w:noProof/>
          <w:sz w:val="16"/>
          <w:szCs w:val="18"/>
        </w:rPr>
        <w:fldChar w:fldCharType="begin"/>
      </w:r>
      <w:r w:rsidRPr="00C03A43">
        <w:rPr>
          <w:rFonts w:asciiTheme="minorHAnsi" w:eastAsiaTheme="minorHAnsi" w:hAnsiTheme="minorHAnsi" w:cstheme="minorBidi"/>
          <w:b/>
          <w:iCs/>
          <w:noProof/>
          <w:sz w:val="16"/>
          <w:szCs w:val="18"/>
        </w:rPr>
        <w:instrText xml:space="preserve"> SEQ Διάγραμμα_ \* ARABIC \s 1 </w:instrText>
      </w:r>
      <w:r w:rsidRPr="00C03A43">
        <w:rPr>
          <w:rFonts w:asciiTheme="minorHAnsi" w:eastAsiaTheme="minorHAnsi" w:hAnsiTheme="minorHAnsi" w:cstheme="minorBidi"/>
          <w:b/>
          <w:iCs/>
          <w:noProof/>
          <w:sz w:val="16"/>
          <w:szCs w:val="18"/>
        </w:rPr>
        <w:fldChar w:fldCharType="separate"/>
      </w:r>
      <w:r w:rsidR="00332E24">
        <w:rPr>
          <w:rFonts w:asciiTheme="minorHAnsi" w:eastAsiaTheme="minorHAnsi" w:hAnsiTheme="minorHAnsi" w:cstheme="minorBidi"/>
          <w:b/>
          <w:iCs/>
          <w:noProof/>
          <w:sz w:val="16"/>
          <w:szCs w:val="18"/>
        </w:rPr>
        <w:t>1</w:t>
      </w:r>
      <w:r w:rsidRPr="00C03A43">
        <w:rPr>
          <w:rFonts w:asciiTheme="minorHAnsi" w:eastAsiaTheme="minorHAnsi" w:hAnsiTheme="minorHAnsi" w:cstheme="minorBidi"/>
          <w:b/>
          <w:iCs/>
          <w:noProof/>
          <w:sz w:val="16"/>
          <w:szCs w:val="18"/>
        </w:rPr>
        <w:fldChar w:fldCharType="end"/>
      </w:r>
      <w:r w:rsidRPr="00C03A43">
        <w:rPr>
          <w:rFonts w:asciiTheme="minorHAnsi" w:eastAsiaTheme="minorHAnsi" w:hAnsiTheme="minorHAnsi" w:cstheme="minorBidi"/>
          <w:b/>
          <w:iCs/>
          <w:sz w:val="16"/>
          <w:szCs w:val="18"/>
        </w:rPr>
        <w:t xml:space="preserve">: Θεματικές Συνέργειες Έξυπνης εξειδίκευσης με </w:t>
      </w:r>
      <w:r w:rsidRPr="00C03A43">
        <w:rPr>
          <w:rFonts w:asciiTheme="minorHAnsi" w:eastAsiaTheme="minorHAnsi" w:hAnsiTheme="minorHAnsi" w:cstheme="minorBidi"/>
          <w:b/>
          <w:iCs/>
          <w:sz w:val="16"/>
          <w:szCs w:val="18"/>
          <w:lang w:val="en-US"/>
        </w:rPr>
        <w:t>Horizon</w:t>
      </w:r>
      <w:r w:rsidRPr="00C03A43">
        <w:rPr>
          <w:rFonts w:asciiTheme="minorHAnsi" w:eastAsiaTheme="minorHAnsi" w:hAnsiTheme="minorHAnsi" w:cstheme="minorBidi"/>
          <w:b/>
          <w:iCs/>
          <w:sz w:val="16"/>
          <w:szCs w:val="18"/>
        </w:rPr>
        <w:t xml:space="preserve"> 2020</w:t>
      </w:r>
    </w:p>
    <w:p w:rsidR="00C03A43" w:rsidRPr="00C03A43" w:rsidRDefault="00C03A43" w:rsidP="00C03A43">
      <w:pPr>
        <w:ind w:left="567"/>
      </w:pPr>
      <w:r w:rsidRPr="00C03A43">
        <w:rPr>
          <w:noProof/>
          <w:lang w:eastAsia="el-GR"/>
        </w:rPr>
        <mc:AlternateContent>
          <mc:Choice Requires="wpg">
            <w:drawing>
              <wp:inline distT="0" distB="0" distL="0" distR="0" wp14:anchorId="3313188A" wp14:editId="7EA12DC3">
                <wp:extent cx="5274310" cy="3323538"/>
                <wp:effectExtent l="0" t="0" r="21590" b="10795"/>
                <wp:docPr id="7" name="Ομάδα 4"/>
                <wp:cNvGraphicFramePr/>
                <a:graphic xmlns:a="http://schemas.openxmlformats.org/drawingml/2006/main">
                  <a:graphicData uri="http://schemas.microsoft.com/office/word/2010/wordprocessingGroup">
                    <wpg:wgp>
                      <wpg:cNvGrpSpPr/>
                      <wpg:grpSpPr>
                        <a:xfrm>
                          <a:off x="0" y="0"/>
                          <a:ext cx="5274310" cy="3323538"/>
                          <a:chOff x="-90562" y="-2"/>
                          <a:chExt cx="11899874" cy="5728998"/>
                        </a:xfrm>
                      </wpg:grpSpPr>
                      <wps:wsp>
                        <wps:cNvPr id="8" name="Rounded Rectangle 12"/>
                        <wps:cNvSpPr/>
                        <wps:spPr>
                          <a:xfrm>
                            <a:off x="5729150" y="-2"/>
                            <a:ext cx="1524534" cy="5643580"/>
                          </a:xfrm>
                          <a:prstGeom prst="roundRect">
                            <a:avLst/>
                          </a:prstGeom>
                          <a:solidFill>
                            <a:srgbClr val="E7E6E6">
                              <a:lumMod val="60000"/>
                              <a:lumOff val="40000"/>
                            </a:srgbClr>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Ενέργεια</w:t>
                              </w:r>
                            </w:p>
                          </w:txbxContent>
                        </wps:txbx>
                        <wps:bodyPr rtlCol="0" anchor="t"/>
                      </wps:wsp>
                      <wps:wsp>
                        <wps:cNvPr id="12" name="Rounded Rectangle 13"/>
                        <wps:cNvSpPr/>
                        <wps:spPr>
                          <a:xfrm>
                            <a:off x="1248139" y="11212"/>
                            <a:ext cx="1354593" cy="5643578"/>
                          </a:xfrm>
                          <a:prstGeom prst="roundRect">
                            <a:avLst/>
                          </a:prstGeom>
                          <a:solidFill>
                            <a:srgbClr val="4472C4"/>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Αγρο-διατροφή</w:t>
                              </w:r>
                            </w:p>
                          </w:txbxContent>
                        </wps:txbx>
                        <wps:bodyPr rtlCol="0" anchor="t"/>
                      </wps:wsp>
                      <wps:wsp>
                        <wps:cNvPr id="17" name="Rounded Rectangle 15"/>
                        <wps:cNvSpPr/>
                        <wps:spPr>
                          <a:xfrm>
                            <a:off x="4151523" y="11210"/>
                            <a:ext cx="1560307" cy="5643578"/>
                          </a:xfrm>
                          <a:prstGeom prst="roundRect">
                            <a:avLst/>
                          </a:prstGeom>
                          <a:solidFill>
                            <a:srgbClr val="4472C4"/>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Βιοεπιστημες-</w:t>
                              </w:r>
                              <w:r>
                                <w:rPr>
                                  <w:rFonts w:asciiTheme="minorHAnsi" w:hAnsiTheme="minorHAnsi" w:cstheme="minorHAnsi"/>
                                  <w:b/>
                                  <w:bCs/>
                                  <w:color w:val="000000"/>
                                  <w:kern w:val="24"/>
                                  <w:sz w:val="12"/>
                                  <w:szCs w:val="14"/>
                                </w:rPr>
                                <w:t xml:space="preserve"> </w:t>
                              </w:r>
                              <w:r w:rsidRPr="00C36DBF">
                                <w:rPr>
                                  <w:rFonts w:asciiTheme="minorHAnsi" w:hAnsiTheme="minorHAnsi" w:cstheme="minorHAnsi"/>
                                  <w:b/>
                                  <w:bCs/>
                                  <w:color w:val="000000"/>
                                  <w:kern w:val="24"/>
                                  <w:sz w:val="12"/>
                                  <w:szCs w:val="14"/>
                                </w:rPr>
                                <w:t>Υγεία</w:t>
                              </w:r>
                              <w:r w:rsidRPr="00C36DBF">
                                <w:rPr>
                                  <w:rFonts w:asciiTheme="minorHAnsi" w:hAnsiTheme="minorHAnsi" w:cstheme="minorHAnsi"/>
                                  <w:color w:val="000000"/>
                                  <w:kern w:val="24"/>
                                  <w:sz w:val="12"/>
                                  <w:szCs w:val="14"/>
                                </w:rPr>
                                <w:t xml:space="preserve"> </w:t>
                              </w:r>
                              <w:r w:rsidRPr="00C36DBF">
                                <w:rPr>
                                  <w:rFonts w:asciiTheme="minorHAnsi" w:hAnsiTheme="minorHAnsi" w:cstheme="minorHAnsi"/>
                                  <w:b/>
                                  <w:bCs/>
                                  <w:color w:val="000000"/>
                                  <w:kern w:val="24"/>
                                  <w:sz w:val="12"/>
                                  <w:szCs w:val="14"/>
                                </w:rPr>
                                <w:t>φάρμακ</w:t>
                              </w:r>
                              <w:r>
                                <w:rPr>
                                  <w:rFonts w:asciiTheme="minorHAnsi" w:hAnsiTheme="minorHAnsi" w:cstheme="minorHAnsi"/>
                                  <w:b/>
                                  <w:bCs/>
                                  <w:color w:val="000000"/>
                                  <w:kern w:val="24"/>
                                  <w:sz w:val="12"/>
                                  <w:szCs w:val="14"/>
                                </w:rPr>
                                <w:t>α</w:t>
                              </w:r>
                            </w:p>
                          </w:txbxContent>
                        </wps:txbx>
                        <wps:bodyPr rtlCol="0" anchor="t"/>
                      </wps:wsp>
                      <wps:wsp>
                        <wps:cNvPr id="23" name="Rounded Rectangle 14"/>
                        <wps:cNvSpPr/>
                        <wps:spPr>
                          <a:xfrm>
                            <a:off x="2602617" y="11208"/>
                            <a:ext cx="1547765" cy="5643578"/>
                          </a:xfrm>
                          <a:prstGeom prst="roundRect">
                            <a:avLst/>
                          </a:prstGeom>
                          <a:solidFill>
                            <a:srgbClr val="00B0F0"/>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Πολιτισμός-Τουρισμός</w:t>
                              </w:r>
                            </w:p>
                          </w:txbxContent>
                        </wps:txbx>
                        <wps:bodyPr rtlCol="0" anchor="t"/>
                      </wps:wsp>
                      <wps:wsp>
                        <wps:cNvPr id="24" name="Rounded Rectangle 24"/>
                        <wps:cNvSpPr/>
                        <wps:spPr>
                          <a:xfrm>
                            <a:off x="7344472" y="0"/>
                            <a:ext cx="1583372" cy="5715016"/>
                          </a:xfrm>
                          <a:prstGeom prst="roundRect">
                            <a:avLst/>
                          </a:prstGeom>
                          <a:solidFill>
                            <a:srgbClr val="E7E6E6">
                              <a:lumMod val="60000"/>
                              <a:lumOff val="40000"/>
                            </a:srgbClr>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Περιβάλλον &amp;</w:t>
                              </w:r>
                              <w:r>
                                <w:rPr>
                                  <w:rFonts w:asciiTheme="minorHAnsi" w:hAnsiTheme="minorHAnsi" w:cstheme="minorHAnsi"/>
                                  <w:b/>
                                  <w:bCs/>
                                  <w:color w:val="000000"/>
                                  <w:kern w:val="24"/>
                                  <w:sz w:val="12"/>
                                  <w:szCs w:val="14"/>
                                </w:rPr>
                                <w:t xml:space="preserve"> </w:t>
                              </w:r>
                              <w:r w:rsidRPr="00C36DBF">
                                <w:rPr>
                                  <w:rFonts w:asciiTheme="minorHAnsi" w:hAnsiTheme="minorHAnsi" w:cstheme="minorHAnsi"/>
                                  <w:b/>
                                  <w:bCs/>
                                  <w:color w:val="000000"/>
                                  <w:kern w:val="24"/>
                                  <w:sz w:val="12"/>
                                  <w:szCs w:val="14"/>
                                </w:rPr>
                                <w:t>Βιώσιμη Ανάπτυξη</w:t>
                              </w:r>
                            </w:p>
                          </w:txbxContent>
                        </wps:txbx>
                        <wps:bodyPr rtlCol="0" anchor="t"/>
                      </wps:wsp>
                      <wps:wsp>
                        <wps:cNvPr id="25" name="Rounded Rectangle 25"/>
                        <wps:cNvSpPr/>
                        <wps:spPr>
                          <a:xfrm>
                            <a:off x="8960089" y="11210"/>
                            <a:ext cx="1429962" cy="5715016"/>
                          </a:xfrm>
                          <a:prstGeom prst="roundRect">
                            <a:avLst/>
                          </a:prstGeom>
                          <a:solidFill>
                            <a:srgbClr val="E7E6E6">
                              <a:lumMod val="60000"/>
                              <a:lumOff val="40000"/>
                            </a:srgbClr>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 xml:space="preserve">Μεταφορές και </w:t>
                              </w:r>
                              <w:r w:rsidRPr="00C36DBF">
                                <w:rPr>
                                  <w:rFonts w:asciiTheme="minorHAnsi" w:hAnsiTheme="minorHAnsi" w:cstheme="minorHAnsi"/>
                                  <w:b/>
                                  <w:bCs/>
                                  <w:color w:val="000000"/>
                                  <w:kern w:val="24"/>
                                  <w:sz w:val="12"/>
                                  <w:szCs w:val="14"/>
                                  <w:lang w:val="en-US"/>
                                </w:rPr>
                                <w:t>logistics</w:t>
                              </w:r>
                            </w:p>
                          </w:txbxContent>
                        </wps:txbx>
                        <wps:bodyPr rtlCol="0" anchor="t"/>
                      </wps:wsp>
                      <wps:wsp>
                        <wps:cNvPr id="26" name="Rounded Rectangle 27"/>
                        <wps:cNvSpPr/>
                        <wps:spPr>
                          <a:xfrm>
                            <a:off x="10390574" y="13980"/>
                            <a:ext cx="1418738" cy="5715016"/>
                          </a:xfrm>
                          <a:prstGeom prst="roundRect">
                            <a:avLst/>
                          </a:prstGeom>
                          <a:solidFill>
                            <a:srgbClr val="E7E6E6">
                              <a:lumMod val="60000"/>
                              <a:lumOff val="40000"/>
                            </a:srgbClr>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ΤΠΕ και</w:t>
                              </w:r>
                              <w:r w:rsidRPr="00C36DBF">
                                <w:rPr>
                                  <w:rFonts w:asciiTheme="minorHAnsi" w:hAnsiTheme="minorHAnsi" w:cstheme="minorHAnsi"/>
                                  <w:b/>
                                  <w:bCs/>
                                  <w:color w:val="000000"/>
                                  <w:kern w:val="24"/>
                                  <w:sz w:val="14"/>
                                  <w:szCs w:val="14"/>
                                  <w:lang w:val="en-US"/>
                                </w:rPr>
                                <w:t xml:space="preserve"> </w:t>
                              </w:r>
                              <w:r w:rsidRPr="00C36DBF">
                                <w:rPr>
                                  <w:rFonts w:asciiTheme="minorHAnsi" w:hAnsiTheme="minorHAnsi" w:cstheme="minorHAnsi"/>
                                  <w:b/>
                                  <w:bCs/>
                                  <w:color w:val="000000"/>
                                  <w:kern w:val="24"/>
                                  <w:sz w:val="14"/>
                                  <w:szCs w:val="14"/>
                                </w:rPr>
                                <w:t xml:space="preserve">άλλες </w:t>
                              </w:r>
                              <w:r w:rsidRPr="00C36DBF">
                                <w:rPr>
                                  <w:rFonts w:asciiTheme="minorHAnsi" w:hAnsiTheme="minorHAnsi" w:cstheme="minorHAnsi"/>
                                  <w:b/>
                                  <w:bCs/>
                                  <w:color w:val="000000"/>
                                  <w:kern w:val="24"/>
                                  <w:sz w:val="14"/>
                                  <w:szCs w:val="14"/>
                                  <w:lang w:val="en-US"/>
                                </w:rPr>
                                <w:t>KET</w:t>
                              </w:r>
                              <w:r w:rsidRPr="00C36DBF">
                                <w:rPr>
                                  <w:rFonts w:asciiTheme="minorHAnsi" w:hAnsiTheme="minorHAnsi" w:cstheme="minorHAnsi"/>
                                  <w:b/>
                                  <w:bCs/>
                                  <w:color w:val="000000"/>
                                  <w:kern w:val="24"/>
                                  <w:sz w:val="14"/>
                                  <w:szCs w:val="14"/>
                                </w:rPr>
                                <w:t xml:space="preserve"> </w:t>
                              </w:r>
                            </w:p>
                          </w:txbxContent>
                        </wps:txbx>
                        <wps:bodyPr rtlCol="0" anchor="t"/>
                      </wps:wsp>
                      <wps:wsp>
                        <wps:cNvPr id="27" name="Pentagon 28"/>
                        <wps:cNvSpPr/>
                        <wps:spPr>
                          <a:xfrm>
                            <a:off x="-90562" y="2764070"/>
                            <a:ext cx="1242690" cy="1872208"/>
                          </a:xfrm>
                          <a:prstGeom prst="homePlate">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 xml:space="preserve">Industrial </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leadership</w:t>
                              </w:r>
                            </w:p>
                          </w:txbxContent>
                        </wps:txbx>
                        <wps:bodyPr vert="vert270" rtlCol="0" anchor="ctr"/>
                      </wps:wsp>
                      <wps:wsp>
                        <wps:cNvPr id="28" name="Rounded Rectangle 29"/>
                        <wps:cNvSpPr/>
                        <wps:spPr>
                          <a:xfrm>
                            <a:off x="1152128" y="2729846"/>
                            <a:ext cx="10657184" cy="1944216"/>
                          </a:xfrm>
                          <a:prstGeom prst="roundRect">
                            <a:avLst>
                              <a:gd name="adj" fmla="val 9738"/>
                            </a:avLst>
                          </a:prstGeom>
                          <a:solidFill>
                            <a:srgbClr val="5B9BD5">
                              <a:alpha val="38000"/>
                            </a:srgbClr>
                          </a:solidFill>
                          <a:ln w="12700" cap="flat" cmpd="sng" algn="ctr">
                            <a:solidFill>
                              <a:srgbClr val="5B9BD5">
                                <a:shade val="50000"/>
                              </a:srgbClr>
                            </a:solidFill>
                            <a:prstDash val="solid"/>
                            <a:miter lim="800000"/>
                          </a:ln>
                          <a:effectLst/>
                        </wps:spPr>
                        <wps:bodyPr rtlCol="0" anchor="ctr"/>
                      </wps:wsp>
                      <wps:wsp>
                        <wps:cNvPr id="29" name="Rounded Rectangle 30"/>
                        <wps:cNvSpPr/>
                        <wps:spPr>
                          <a:xfrm>
                            <a:off x="1248138" y="2801854"/>
                            <a:ext cx="10561173" cy="504056"/>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sidRPr="00A94BA9">
                                <w:rPr>
                                  <w:rFonts w:asciiTheme="minorHAnsi" w:hAnsiTheme="minorHAnsi" w:cstheme="minorHAnsi"/>
                                  <w:color w:val="FFFFFF" w:themeColor="light1"/>
                                  <w:kern w:val="24"/>
                                  <w:sz w:val="14"/>
                                  <w:szCs w:val="14"/>
                                </w:rPr>
                                <w:t>Ηγεσία σ</w:t>
                              </w:r>
                              <w:r>
                                <w:rPr>
                                  <w:rFonts w:asciiTheme="minorHAnsi" w:hAnsiTheme="minorHAnsi" w:cstheme="minorHAnsi"/>
                                  <w:color w:val="FFFFFF" w:themeColor="light1"/>
                                  <w:kern w:val="24"/>
                                  <w:sz w:val="14"/>
                                  <w:szCs w:val="14"/>
                                </w:rPr>
                                <w:t>ε</w:t>
                              </w:r>
                              <w:r w:rsidRPr="00A94BA9">
                                <w:rPr>
                                  <w:rFonts w:asciiTheme="minorHAnsi" w:hAnsiTheme="minorHAnsi" w:cstheme="minorHAnsi"/>
                                  <w:color w:val="FFFFFF" w:themeColor="light1"/>
                                  <w:kern w:val="24"/>
                                  <w:sz w:val="14"/>
                                  <w:szCs w:val="14"/>
                                </w:rPr>
                                <w:t xml:space="preserve"> γενικές και βιομηχανικές τεχνολογίες</w:t>
                              </w:r>
                            </w:p>
                          </w:txbxContent>
                        </wps:txbx>
                        <wps:bodyPr rtlCol="0" anchor="ctr"/>
                      </wps:wsp>
                      <wps:wsp>
                        <wps:cNvPr id="30" name="Rounded Rectangle 31"/>
                        <wps:cNvSpPr/>
                        <wps:spPr>
                          <a:xfrm>
                            <a:off x="1248138" y="3449926"/>
                            <a:ext cx="10561173" cy="504056"/>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Pr>
                                  <w:rFonts w:asciiTheme="minorHAnsi" w:hAnsiTheme="minorHAnsi" w:cstheme="minorHAnsi"/>
                                  <w:color w:val="FFFFFF" w:themeColor="light1"/>
                                  <w:kern w:val="24"/>
                                  <w:sz w:val="14"/>
                                  <w:szCs w:val="14"/>
                                </w:rPr>
                                <w:t>Καινοτομία στις ΜΜΕ</w:t>
                              </w:r>
                            </w:p>
                          </w:txbxContent>
                        </wps:txbx>
                        <wps:bodyPr rtlCol="0" anchor="ctr"/>
                      </wps:wsp>
                      <wps:wsp>
                        <wps:cNvPr id="31" name="Rounded Rectangle 32"/>
                        <wps:cNvSpPr/>
                        <wps:spPr>
                          <a:xfrm>
                            <a:off x="1248138" y="4097998"/>
                            <a:ext cx="10561173" cy="504056"/>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Pr>
                                  <w:rFonts w:asciiTheme="minorHAnsi" w:hAnsiTheme="minorHAnsi" w:cstheme="minorHAnsi"/>
                                  <w:color w:val="FFFFFF" w:themeColor="light1"/>
                                  <w:kern w:val="24"/>
                                  <w:sz w:val="14"/>
                                  <w:szCs w:val="14"/>
                                </w:rPr>
                                <w:t>Πρόσβαση σε χρηματοδότηση επιχειρηματικού κινδύνου</w:t>
                              </w:r>
                            </w:p>
                          </w:txbxContent>
                        </wps:txbx>
                        <wps:bodyPr rtlCol="0" anchor="ctr"/>
                      </wps:wsp>
                      <wps:wsp>
                        <wps:cNvPr id="32" name="Pentagon 35"/>
                        <wps:cNvSpPr/>
                        <wps:spPr>
                          <a:xfrm>
                            <a:off x="-90560" y="4745499"/>
                            <a:ext cx="1242690" cy="969517"/>
                          </a:xfrm>
                          <a:prstGeom prst="homePlate">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Excellence in science</w:t>
                              </w:r>
                            </w:p>
                          </w:txbxContent>
                        </wps:txbx>
                        <wps:bodyPr vert="vert270" rtlCol="0" anchor="ctr"/>
                      </wps:wsp>
                      <wps:wsp>
                        <wps:cNvPr id="33" name="Rounded Rectangle 36"/>
                        <wps:cNvSpPr/>
                        <wps:spPr>
                          <a:xfrm>
                            <a:off x="1248138" y="4818078"/>
                            <a:ext cx="10561173" cy="836712"/>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 xml:space="preserve">ΕΡΕΥΝΗΤΙΚΕΣ ΥΠΟΔΟΜΕΣ </w:t>
                              </w:r>
                              <w:r w:rsidRPr="00C36DBF">
                                <w:rPr>
                                  <w:rFonts w:asciiTheme="minorHAnsi" w:hAnsiTheme="minorHAnsi" w:cstheme="minorHAnsi"/>
                                  <w:color w:val="FFFFFF" w:themeColor="light1"/>
                                  <w:kern w:val="24"/>
                                  <w:sz w:val="14"/>
                                  <w:szCs w:val="14"/>
                                  <w:lang w:val="en-US"/>
                                </w:rPr>
                                <w:t>ESFRI</w:t>
                              </w:r>
                            </w:p>
                          </w:txbxContent>
                        </wps:txbx>
                        <wps:bodyPr rtlCol="0" anchor="ctr"/>
                      </wps:wsp>
                      <wps:wsp>
                        <wps:cNvPr id="34" name="Rounded Rectangle 23"/>
                        <wps:cNvSpPr/>
                        <wps:spPr>
                          <a:xfrm>
                            <a:off x="1152128" y="797030"/>
                            <a:ext cx="10657183" cy="1801910"/>
                          </a:xfrm>
                          <a:prstGeom prst="roundRect">
                            <a:avLst>
                              <a:gd name="adj" fmla="val 9738"/>
                            </a:avLst>
                          </a:prstGeom>
                          <a:solidFill>
                            <a:srgbClr val="5B9BD5">
                              <a:alpha val="38000"/>
                            </a:srgbClr>
                          </a:solidFill>
                          <a:ln w="12700" cap="flat" cmpd="sng" algn="ctr">
                            <a:solidFill>
                              <a:srgbClr val="5B9BD5">
                                <a:shade val="50000"/>
                              </a:srgbClr>
                            </a:solidFill>
                            <a:prstDash val="solid"/>
                            <a:miter lim="800000"/>
                          </a:ln>
                          <a:effectLst/>
                        </wps:spPr>
                        <wps:bodyPr rtlCol="0" anchor="ctr"/>
                      </wps:wsp>
                      <wps:wsp>
                        <wps:cNvPr id="35" name="Rounded Rectangle 16"/>
                        <wps:cNvSpPr/>
                        <wps:spPr>
                          <a:xfrm>
                            <a:off x="1248138" y="934840"/>
                            <a:ext cx="1344149" cy="1514235"/>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Επισιτιστική ασφάλεια και αειφόρος χρήση των βιολογικών πόρων</w:t>
                              </w:r>
                            </w:p>
                          </w:txbxContent>
                        </wps:txbx>
                        <wps:bodyPr rtlCol="0" anchor="ctr"/>
                      </wps:wsp>
                      <wps:wsp>
                        <wps:cNvPr id="36" name="Rounded Rectangle 20"/>
                        <wps:cNvSpPr/>
                        <wps:spPr>
                          <a:xfrm>
                            <a:off x="5711576" y="840168"/>
                            <a:ext cx="3215617" cy="516494"/>
                          </a:xfrm>
                          <a:prstGeom prst="roundRect">
                            <a:avLst/>
                          </a:prstGeom>
                          <a:solidFill>
                            <a:srgbClr val="6699FF"/>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Βιώσιμη ενέργεια</w:t>
                              </w:r>
                            </w:p>
                          </w:txbxContent>
                        </wps:txbx>
                        <wps:bodyPr rtlCol="0" anchor="ctr"/>
                      </wps:wsp>
                      <wps:wsp>
                        <wps:cNvPr id="40" name="Rounded Rectangle 21"/>
                        <wps:cNvSpPr/>
                        <wps:spPr>
                          <a:xfrm>
                            <a:off x="4287983" y="963202"/>
                            <a:ext cx="1264860" cy="1514235"/>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Υγεία και καλή διαβίωση</w:t>
                              </w:r>
                            </w:p>
                          </w:txbxContent>
                        </wps:txbx>
                        <wps:bodyPr rtlCol="0" anchor="ctr"/>
                      </wps:wsp>
                      <wps:wsp>
                        <wps:cNvPr id="41" name="Pentagon 22"/>
                        <wps:cNvSpPr/>
                        <wps:spPr>
                          <a:xfrm>
                            <a:off x="-90562" y="641614"/>
                            <a:ext cx="1312077" cy="1872208"/>
                          </a:xfrm>
                          <a:prstGeom prst="homePlate">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 xml:space="preserve">Societal </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challenges</w:t>
                              </w:r>
                            </w:p>
                          </w:txbxContent>
                        </wps:txbx>
                        <wps:bodyPr vert="vert270" rtlCol="0" anchor="ctr"/>
                      </wps:wsp>
                      <wps:wsp>
                        <wps:cNvPr id="42" name="Rounded Rectangle 25"/>
                        <wps:cNvSpPr/>
                        <wps:spPr>
                          <a:xfrm>
                            <a:off x="9045903" y="977725"/>
                            <a:ext cx="1344149" cy="1428463"/>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Πράσινη, ολοκληρωμένη κινητικότητα</w:t>
                              </w:r>
                            </w:p>
                          </w:txbxContent>
                        </wps:txbx>
                        <wps:bodyPr rtlCol="0" anchor="ctr"/>
                      </wps:wsp>
                      <wps:wsp>
                        <wps:cNvPr id="43" name="Rounded Rectangle 26"/>
                        <wps:cNvSpPr/>
                        <wps:spPr>
                          <a:xfrm>
                            <a:off x="5729146" y="1423840"/>
                            <a:ext cx="3197905" cy="522378"/>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Αποδοτικότητα πόρων και πρώτων υλών</w:t>
                              </w:r>
                            </w:p>
                          </w:txbxContent>
                        </wps:txbx>
                        <wps:bodyPr rtlCol="0" anchor="ctr"/>
                      </wps:wsp>
                      <wps:wsp>
                        <wps:cNvPr id="47" name="Rounded Rectangle 37"/>
                        <wps:cNvSpPr/>
                        <wps:spPr>
                          <a:xfrm>
                            <a:off x="7481889" y="1949074"/>
                            <a:ext cx="1320789" cy="648072"/>
                          </a:xfrm>
                          <a:prstGeom prst="roundRect">
                            <a:avLst/>
                          </a:prstGeom>
                          <a:solidFill>
                            <a:srgbClr val="ED7D31"/>
                          </a:solidFill>
                          <a:ln w="19050" cap="flat" cmpd="sng" algn="ctr">
                            <a:solidFill>
                              <a:sysClr val="window" lastClr="FFFFFF"/>
                            </a:solidFill>
                            <a:prstDash val="solid"/>
                            <a:miter lim="800000"/>
                          </a:ln>
                          <a:effectLst/>
                        </wps:spPr>
                        <wps:txb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Θαλάσσια έρευνα</w:t>
                              </w:r>
                            </w:p>
                          </w:txbxContent>
                        </wps:txbx>
                        <wps:bodyPr rtlCol="0" anchor="ctr"/>
                      </wps:wsp>
                      <wps:wsp>
                        <wps:cNvPr id="48" name="Rounded Rectangle 26"/>
                        <wps:cNvSpPr/>
                        <wps:spPr>
                          <a:xfrm>
                            <a:off x="5745523" y="1423839"/>
                            <a:ext cx="3197904" cy="522378"/>
                          </a:xfrm>
                          <a:prstGeom prst="roundRect">
                            <a:avLst/>
                          </a:prstGeom>
                          <a:solidFill>
                            <a:srgbClr val="5B9BD5"/>
                          </a:solidFill>
                          <a:ln w="19050" cap="flat" cmpd="sng" algn="ctr">
                            <a:solidFill>
                              <a:sysClr val="window" lastClr="FFFFFF"/>
                            </a:solidFill>
                            <a:prstDash val="solid"/>
                            <a:miter lim="800000"/>
                          </a:ln>
                          <a:effectLst/>
                        </wps:spPr>
                        <wps:txbx>
                          <w:txbxContent>
                            <w:p w:rsidR="00330D31" w:rsidRPr="00F07C91" w:rsidRDefault="00330D31" w:rsidP="00C03A43">
                              <w:pPr>
                                <w:pStyle w:val="NormalWeb"/>
                                <w:spacing w:before="0" w:beforeAutospacing="0" w:after="0" w:afterAutospacing="0"/>
                                <w:jc w:val="center"/>
                                <w:rPr>
                                  <w:rFonts w:asciiTheme="minorHAnsi" w:hAnsiTheme="minorHAnsi" w:cstheme="minorHAnsi"/>
                                  <w:sz w:val="10"/>
                                  <w:szCs w:val="14"/>
                                </w:rPr>
                              </w:pPr>
                              <w:r w:rsidRPr="00F07C91">
                                <w:rPr>
                                  <w:rFonts w:asciiTheme="minorHAnsi" w:hAnsiTheme="minorHAnsi" w:cstheme="minorHAnsi"/>
                                  <w:color w:val="FFFFFF" w:themeColor="light1"/>
                                  <w:kern w:val="24"/>
                                  <w:sz w:val="10"/>
                                  <w:szCs w:val="14"/>
                                </w:rPr>
                                <w:t>Κλιματική αλλαγή, περιβάλλον, αποδοτικότητα πόρων και πρώτες ύλες</w:t>
                              </w:r>
                            </w:p>
                          </w:txbxContent>
                        </wps:txbx>
                        <wps:bodyPr rtlCol="0" anchor="ctr"/>
                      </wps:wsp>
                    </wpg:wgp>
                  </a:graphicData>
                </a:graphic>
              </wp:inline>
            </w:drawing>
          </mc:Choice>
          <mc:Fallback>
            <w:pict>
              <v:group w14:anchorId="3313188A" id="Ομάδα 4" o:spid="_x0000_s1027" style="width:415.3pt;height:261.7pt;mso-position-horizontal-relative:char;mso-position-vertical-relative:line" coordorigin="-905" coordsize="118998,57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">
                <v:roundrect id="Rounded Rectangle 12" o:spid="_x0000_s1028" style="position:absolute;left:57291;width:15245;height:56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" fillcolor="#f1f0f0"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Ενέργεια</w:t>
                        </w:r>
                      </w:p>
                    </w:txbxContent>
                  </v:textbox>
                </v:roundrect>
                <v:roundrect id="Rounded Rectangle 13" o:spid="_x0000_s1029" style="position:absolute;left:12481;top:112;width:13546;height:56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" fillcolor="#4472c4"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Αγρο-διατροφή</w:t>
                        </w:r>
                      </w:p>
                    </w:txbxContent>
                  </v:textbox>
                </v:roundrect>
                <v:roundrect id="Rounded Rectangle 15" o:spid="_x0000_s1030" style="position:absolute;left:41515;top:112;width:15603;height:56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" fillcolor="#4472c4"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Βιοεπιστημες-</w:t>
                        </w:r>
                        <w:r>
                          <w:rPr>
                            <w:rFonts w:asciiTheme="minorHAnsi" w:hAnsiTheme="minorHAnsi" w:cstheme="minorHAnsi"/>
                            <w:b/>
                            <w:bCs/>
                            <w:color w:val="000000"/>
                            <w:kern w:val="24"/>
                            <w:sz w:val="12"/>
                            <w:szCs w:val="14"/>
                          </w:rPr>
                          <w:t xml:space="preserve"> </w:t>
                        </w:r>
                        <w:r w:rsidRPr="00C36DBF">
                          <w:rPr>
                            <w:rFonts w:asciiTheme="minorHAnsi" w:hAnsiTheme="minorHAnsi" w:cstheme="minorHAnsi"/>
                            <w:b/>
                            <w:bCs/>
                            <w:color w:val="000000"/>
                            <w:kern w:val="24"/>
                            <w:sz w:val="12"/>
                            <w:szCs w:val="14"/>
                          </w:rPr>
                          <w:t>Υγεία</w:t>
                        </w:r>
                        <w:r w:rsidRPr="00C36DBF">
                          <w:rPr>
                            <w:rFonts w:asciiTheme="minorHAnsi" w:hAnsiTheme="minorHAnsi" w:cstheme="minorHAnsi"/>
                            <w:color w:val="000000"/>
                            <w:kern w:val="24"/>
                            <w:sz w:val="12"/>
                            <w:szCs w:val="14"/>
                          </w:rPr>
                          <w:t xml:space="preserve"> </w:t>
                        </w:r>
                        <w:r w:rsidRPr="00C36DBF">
                          <w:rPr>
                            <w:rFonts w:asciiTheme="minorHAnsi" w:hAnsiTheme="minorHAnsi" w:cstheme="minorHAnsi"/>
                            <w:b/>
                            <w:bCs/>
                            <w:color w:val="000000"/>
                            <w:kern w:val="24"/>
                            <w:sz w:val="12"/>
                            <w:szCs w:val="14"/>
                          </w:rPr>
                          <w:t>φάρμακ</w:t>
                        </w:r>
                        <w:r>
                          <w:rPr>
                            <w:rFonts w:asciiTheme="minorHAnsi" w:hAnsiTheme="minorHAnsi" w:cstheme="minorHAnsi"/>
                            <w:b/>
                            <w:bCs/>
                            <w:color w:val="000000"/>
                            <w:kern w:val="24"/>
                            <w:sz w:val="12"/>
                            <w:szCs w:val="14"/>
                          </w:rPr>
                          <w:t>α</w:t>
                        </w:r>
                      </w:p>
                    </w:txbxContent>
                  </v:textbox>
                </v:roundrect>
                <v:roundrect id="Rounded Rectangle 14" o:spid="_x0000_s1031" style="position:absolute;left:26026;top:112;width:15477;height:56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" fillcolor="#00b0f0"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Πολιτισμός-Τουρισμός</w:t>
                        </w:r>
                      </w:p>
                    </w:txbxContent>
                  </v:textbox>
                </v:roundrect>
                <v:roundrect id="Rounded Rectangle 24" o:spid="_x0000_s1032" style="position:absolute;left:73444;width:15834;height:571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" fillcolor="#f1f0f0"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Περιβάλλον &amp;</w:t>
                        </w:r>
                        <w:r>
                          <w:rPr>
                            <w:rFonts w:asciiTheme="minorHAnsi" w:hAnsiTheme="minorHAnsi" w:cstheme="minorHAnsi"/>
                            <w:b/>
                            <w:bCs/>
                            <w:color w:val="000000"/>
                            <w:kern w:val="24"/>
                            <w:sz w:val="12"/>
                            <w:szCs w:val="14"/>
                          </w:rPr>
                          <w:t xml:space="preserve"> </w:t>
                        </w:r>
                        <w:r w:rsidRPr="00C36DBF">
                          <w:rPr>
                            <w:rFonts w:asciiTheme="minorHAnsi" w:hAnsiTheme="minorHAnsi" w:cstheme="minorHAnsi"/>
                            <w:b/>
                            <w:bCs/>
                            <w:color w:val="000000"/>
                            <w:kern w:val="24"/>
                            <w:sz w:val="12"/>
                            <w:szCs w:val="14"/>
                          </w:rPr>
                          <w:t>Βιώσιμη Ανάπτυξη</w:t>
                        </w:r>
                      </w:p>
                    </w:txbxContent>
                  </v:textbox>
                </v:roundrect>
                <v:roundrect id="Rounded Rectangle 25" o:spid="_x0000_s1033" style="position:absolute;left:89600;top:112;width:14300;height:571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" fillcolor="#f1f0f0"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2"/>
                            <w:szCs w:val="14"/>
                          </w:rPr>
                        </w:pPr>
                        <w:r w:rsidRPr="00C36DBF">
                          <w:rPr>
                            <w:rFonts w:asciiTheme="minorHAnsi" w:hAnsiTheme="minorHAnsi" w:cstheme="minorHAnsi"/>
                            <w:b/>
                            <w:bCs/>
                            <w:color w:val="000000"/>
                            <w:kern w:val="24"/>
                            <w:sz w:val="12"/>
                            <w:szCs w:val="14"/>
                          </w:rPr>
                          <w:t xml:space="preserve">Μεταφορές και </w:t>
                        </w:r>
                        <w:r w:rsidRPr="00C36DBF">
                          <w:rPr>
                            <w:rFonts w:asciiTheme="minorHAnsi" w:hAnsiTheme="minorHAnsi" w:cstheme="minorHAnsi"/>
                            <w:b/>
                            <w:bCs/>
                            <w:color w:val="000000"/>
                            <w:kern w:val="24"/>
                            <w:sz w:val="12"/>
                            <w:szCs w:val="14"/>
                            <w:lang w:val="en-US"/>
                          </w:rPr>
                          <w:t>logistics</w:t>
                        </w:r>
                      </w:p>
                    </w:txbxContent>
                  </v:textbox>
                </v:roundrect>
                <v:roundrect id="Rounded Rectangle 27" o:spid="_x0000_s1034" style="position:absolute;left:103905;top:139;width:14188;height:571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" fillcolor="#f1f0f0"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000000"/>
                            <w:kern w:val="24"/>
                            <w:sz w:val="14"/>
                            <w:szCs w:val="14"/>
                          </w:rPr>
                          <w:t>ΤΠΕ και</w:t>
                        </w:r>
                        <w:r w:rsidRPr="00C36DBF">
                          <w:rPr>
                            <w:rFonts w:asciiTheme="minorHAnsi" w:hAnsiTheme="minorHAnsi" w:cstheme="minorHAnsi"/>
                            <w:b/>
                            <w:bCs/>
                            <w:color w:val="000000"/>
                            <w:kern w:val="24"/>
                            <w:sz w:val="14"/>
                            <w:szCs w:val="14"/>
                            <w:lang w:val="en-US"/>
                          </w:rPr>
                          <w:t xml:space="preserve"> </w:t>
                        </w:r>
                        <w:r w:rsidRPr="00C36DBF">
                          <w:rPr>
                            <w:rFonts w:asciiTheme="minorHAnsi" w:hAnsiTheme="minorHAnsi" w:cstheme="minorHAnsi"/>
                            <w:b/>
                            <w:bCs/>
                            <w:color w:val="000000"/>
                            <w:kern w:val="24"/>
                            <w:sz w:val="14"/>
                            <w:szCs w:val="14"/>
                          </w:rPr>
                          <w:t xml:space="preserve">άλλες </w:t>
                        </w:r>
                        <w:r w:rsidRPr="00C36DBF">
                          <w:rPr>
                            <w:rFonts w:asciiTheme="minorHAnsi" w:hAnsiTheme="minorHAnsi" w:cstheme="minorHAnsi"/>
                            <w:b/>
                            <w:bCs/>
                            <w:color w:val="000000"/>
                            <w:kern w:val="24"/>
                            <w:sz w:val="14"/>
                            <w:szCs w:val="14"/>
                            <w:lang w:val="en-US"/>
                          </w:rPr>
                          <w:t>KET</w:t>
                        </w:r>
                        <w:r w:rsidRPr="00C36DBF">
                          <w:rPr>
                            <w:rFonts w:asciiTheme="minorHAnsi" w:hAnsiTheme="minorHAnsi" w:cstheme="minorHAnsi"/>
                            <w:b/>
                            <w:bCs/>
                            <w:color w:val="000000"/>
                            <w:kern w:val="24"/>
                            <w:sz w:val="14"/>
                            <w:szCs w:val="14"/>
                          </w:rPr>
                          <w:t xml:space="preserve"> </w:t>
                        </w:r>
                      </w:p>
                    </w:txbxContent>
                  </v:textbox>
                </v:round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28" o:spid="_x0000_s1035" type="#_x0000_t15" style="position:absolute;left:-905;top:27640;width:12426;height:187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" adj="10800" fillcolor="#5b9bd5" strokecolor="window" strokeweight="1.5pt">
                  <v:textbox style="layout-flow:vertical;mso-layout-flow-alt:bottom-to-top">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 xml:space="preserve">Industrial </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leadership</w:t>
                        </w:r>
                      </w:p>
                    </w:txbxContent>
                  </v:textbox>
                </v:shape>
                <v:roundrect id="Rounded Rectangle 29" o:spid="_x0000_s1036" style="position:absolute;left:11521;top:27298;width:106572;height:19442;visibility:visible;mso-wrap-style:square;v-text-anchor:middle" arcsize="638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" fillcolor="#5b9bd5" strokecolor="#41719c" strokeweight="1pt">
                  <v:fill opacity="24929f"/>
                  <v:stroke joinstyle="miter"/>
                </v:roundrect>
                <v:roundrect id="Rounded Rectangle 30" o:spid="_x0000_s1037" style="position:absolute;left:12481;top:28018;width:105612;height:50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" fillcolor="#5b9bd5" strokecolor="window" strokeweight="1.5pt">
                  <v:stroke joinstyle="miter"/>
                  <v:textbo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sidRPr="00A94BA9">
                          <w:rPr>
                            <w:rFonts w:asciiTheme="minorHAnsi" w:hAnsiTheme="minorHAnsi" w:cstheme="minorHAnsi"/>
                            <w:color w:val="FFFFFF" w:themeColor="light1"/>
                            <w:kern w:val="24"/>
                            <w:sz w:val="14"/>
                            <w:szCs w:val="14"/>
                          </w:rPr>
                          <w:t>Ηγεσία σ</w:t>
                        </w:r>
                        <w:r>
                          <w:rPr>
                            <w:rFonts w:asciiTheme="minorHAnsi" w:hAnsiTheme="minorHAnsi" w:cstheme="minorHAnsi"/>
                            <w:color w:val="FFFFFF" w:themeColor="light1"/>
                            <w:kern w:val="24"/>
                            <w:sz w:val="14"/>
                            <w:szCs w:val="14"/>
                          </w:rPr>
                          <w:t>ε</w:t>
                        </w:r>
                        <w:r w:rsidRPr="00A94BA9">
                          <w:rPr>
                            <w:rFonts w:asciiTheme="minorHAnsi" w:hAnsiTheme="minorHAnsi" w:cstheme="minorHAnsi"/>
                            <w:color w:val="FFFFFF" w:themeColor="light1"/>
                            <w:kern w:val="24"/>
                            <w:sz w:val="14"/>
                            <w:szCs w:val="14"/>
                          </w:rPr>
                          <w:t xml:space="preserve"> γενικές και βιομηχανικές τεχνολογίες</w:t>
                        </w:r>
                      </w:p>
                    </w:txbxContent>
                  </v:textbox>
                </v:roundrect>
                <v:roundrect id="Rounded Rectangle 31" o:spid="_x0000_s1038" style="position:absolute;left:12481;top:34499;width:105612;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" fillcolor="#5b9bd5" strokecolor="window" strokeweight="1.5pt">
                  <v:stroke joinstyle="miter"/>
                  <v:textbo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Pr>
                            <w:rFonts w:asciiTheme="minorHAnsi" w:hAnsiTheme="minorHAnsi" w:cstheme="minorHAnsi"/>
                            <w:color w:val="FFFFFF" w:themeColor="light1"/>
                            <w:kern w:val="24"/>
                            <w:sz w:val="14"/>
                            <w:szCs w:val="14"/>
                          </w:rPr>
                          <w:t>Καινοτομία στις ΜΜΕ</w:t>
                        </w:r>
                      </w:p>
                    </w:txbxContent>
                  </v:textbox>
                </v:roundrect>
                <v:roundrect id="Rounded Rectangle 32" o:spid="_x0000_s1039" style="position:absolute;left:12481;top:40979;width:105612;height:50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" fillcolor="#5b9bd5" strokecolor="window" strokeweight="1.5pt">
                  <v:stroke joinstyle="miter"/>
                  <v:textbox>
                    <w:txbxContent>
                      <w:p w:rsidR="00330D31" w:rsidRPr="00A94BA9" w:rsidRDefault="00330D31" w:rsidP="00C03A43">
                        <w:pPr>
                          <w:pStyle w:val="NormalWeb"/>
                          <w:spacing w:before="0" w:beforeAutospacing="0" w:after="0" w:afterAutospacing="0"/>
                          <w:jc w:val="center"/>
                          <w:rPr>
                            <w:rFonts w:asciiTheme="minorHAnsi" w:hAnsiTheme="minorHAnsi" w:cstheme="minorHAnsi"/>
                            <w:sz w:val="14"/>
                            <w:szCs w:val="14"/>
                          </w:rPr>
                        </w:pPr>
                        <w:r>
                          <w:rPr>
                            <w:rFonts w:asciiTheme="minorHAnsi" w:hAnsiTheme="minorHAnsi" w:cstheme="minorHAnsi"/>
                            <w:color w:val="FFFFFF" w:themeColor="light1"/>
                            <w:kern w:val="24"/>
                            <w:sz w:val="14"/>
                            <w:szCs w:val="14"/>
                          </w:rPr>
                          <w:t>Πρόσβαση σε χρηματοδότηση επιχειρηματικού κινδύνου</w:t>
                        </w:r>
                      </w:p>
                    </w:txbxContent>
                  </v:textbox>
                </v:roundrect>
                <v:shape id="Pentagon 35" o:spid="_x0000_s1040" type="#_x0000_t15" style="position:absolute;left:-905;top:47454;width:12426;height:9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" adj="13174" fillcolor="#5b9bd5" strokecolor="window" strokeweight="1.5pt">
                  <v:textbox style="layout-flow:vertical;mso-layout-flow-alt:bottom-to-top">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Excellence in science</w:t>
                        </w:r>
                      </w:p>
                    </w:txbxContent>
                  </v:textbox>
                </v:shape>
                <v:roundrect id="Rounded Rectangle 36" o:spid="_x0000_s1041" style="position:absolute;left:12481;top:48180;width:105612;height:83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" fillcolor="#5b9bd5"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 xml:space="preserve">ΕΡΕΥΝΗΤΙΚΕΣ ΥΠΟΔΟΜΕΣ </w:t>
                        </w:r>
                        <w:r w:rsidRPr="00C36DBF">
                          <w:rPr>
                            <w:rFonts w:asciiTheme="minorHAnsi" w:hAnsiTheme="minorHAnsi" w:cstheme="minorHAnsi"/>
                            <w:color w:val="FFFFFF" w:themeColor="light1"/>
                            <w:kern w:val="24"/>
                            <w:sz w:val="14"/>
                            <w:szCs w:val="14"/>
                            <w:lang w:val="en-US"/>
                          </w:rPr>
                          <w:t>ESFRI</w:t>
                        </w:r>
                      </w:p>
                    </w:txbxContent>
                  </v:textbox>
                </v:roundrect>
                <v:roundrect id="Rounded Rectangle 23" o:spid="_x0000_s1042" style="position:absolute;left:11521;top:7970;width:106572;height:18019;visibility:visible;mso-wrap-style:square;v-text-anchor:middle" arcsize="638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" fillcolor="#5b9bd5" strokecolor="#41719c" strokeweight="1pt">
                  <v:fill opacity="24929f"/>
                  <v:stroke joinstyle="miter"/>
                </v:roundrect>
                <v:roundrect id="Rounded Rectangle 16" o:spid="_x0000_s1043" style="position:absolute;left:12481;top:9348;width:13441;height:151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" fillcolor="#5b9bd5"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Επισιτιστική ασφάλεια και αειφόρος χρήση των βιολογικών πόρων</w:t>
                        </w:r>
                      </w:p>
                    </w:txbxContent>
                  </v:textbox>
                </v:roundrect>
                <v:roundrect id="Rounded Rectangle 20" o:spid="_x0000_s1044" style="position:absolute;left:57115;top:8401;width:32156;height:51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" fillcolor="#69f"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Βιώσιμη ενέργεια</w:t>
                        </w:r>
                      </w:p>
                    </w:txbxContent>
                  </v:textbox>
                </v:roundrect>
                <v:roundrect id="Rounded Rectangle 21" o:spid="_x0000_s1045" style="position:absolute;left:42879;top:9632;width:12649;height:151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" fillcolor="#5b9bd5"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Υγεία και καλή διαβίωση</w:t>
                        </w:r>
                      </w:p>
                    </w:txbxContent>
                  </v:textbox>
                </v:roundrect>
                <v:shape id="Pentagon 22" o:spid="_x0000_s1046" type="#_x0000_t15" style="position:absolute;left:-905;top:6416;width:13120;height:187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" adj="10800" fillcolor="#5b9bd5" strokecolor="window" strokeweight="1.5pt">
                  <v:textbox style="layout-flow:vertical;mso-layout-flow-alt:bottom-to-top">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b/>
                            <w:bCs/>
                            <w:color w:val="FFFFFF" w:themeColor="light1"/>
                            <w:kern w:val="24"/>
                            <w:sz w:val="14"/>
                            <w:szCs w:val="14"/>
                            <w:lang w:val="en-US"/>
                          </w:rPr>
                          <w:t>Horizon</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 xml:space="preserve">Societal </w:t>
                        </w:r>
                      </w:p>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lang w:val="en-US"/>
                          </w:rPr>
                          <w:t>challenges</w:t>
                        </w:r>
                      </w:p>
                    </w:txbxContent>
                  </v:textbox>
                </v:shape>
                <v:roundrect id="Rounded Rectangle 25" o:spid="_x0000_s1047" style="position:absolute;left:90459;top:9777;width:13441;height:142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" fillcolor="#5b9bd5"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630E65">
                          <w:rPr>
                            <w:rFonts w:asciiTheme="minorHAnsi" w:hAnsiTheme="minorHAnsi" w:cstheme="minorHAnsi"/>
                            <w:color w:val="FFFFFF" w:themeColor="light1"/>
                            <w:kern w:val="24"/>
                            <w:sz w:val="14"/>
                            <w:szCs w:val="14"/>
                          </w:rPr>
                          <w:t>Πράσινη, ολοκληρωμένη κινητικότητα</w:t>
                        </w:r>
                      </w:p>
                    </w:txbxContent>
                  </v:textbox>
                </v:roundrect>
                <v:roundrect id="Rounded Rectangle 26" o:spid="_x0000_s1048" style="position:absolute;left:57291;top:14238;width:31979;height:52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" fillcolor="#5b9bd5"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Αποδοτικότητα πόρων και πρώτων υλών</w:t>
                        </w:r>
                      </w:p>
                    </w:txbxContent>
                  </v:textbox>
                </v:roundrect>
                <v:roundrect id="Rounded Rectangle 37" o:spid="_x0000_s1049" style="position:absolute;left:74818;top:19490;width:13208;height:64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" fillcolor="#ed7d31" strokecolor="window" strokeweight="1.5pt">
                  <v:stroke joinstyle="miter"/>
                  <v:textbox>
                    <w:txbxContent>
                      <w:p w:rsidR="00330D31" w:rsidRPr="00C36DBF" w:rsidRDefault="00330D31" w:rsidP="00C03A43">
                        <w:pPr>
                          <w:pStyle w:val="NormalWeb"/>
                          <w:spacing w:before="0" w:beforeAutospacing="0" w:after="0" w:afterAutospacing="0"/>
                          <w:jc w:val="center"/>
                          <w:rPr>
                            <w:rFonts w:asciiTheme="minorHAnsi" w:hAnsiTheme="minorHAnsi" w:cstheme="minorHAnsi"/>
                            <w:sz w:val="14"/>
                            <w:szCs w:val="14"/>
                          </w:rPr>
                        </w:pPr>
                        <w:r w:rsidRPr="00C36DBF">
                          <w:rPr>
                            <w:rFonts w:asciiTheme="minorHAnsi" w:hAnsiTheme="minorHAnsi" w:cstheme="minorHAnsi"/>
                            <w:color w:val="FFFFFF" w:themeColor="light1"/>
                            <w:kern w:val="24"/>
                            <w:sz w:val="14"/>
                            <w:szCs w:val="14"/>
                          </w:rPr>
                          <w:t>Θαλάσσια έρευνα</w:t>
                        </w:r>
                      </w:p>
                    </w:txbxContent>
                  </v:textbox>
                </v:roundrect>
                <v:roundrect id="Rounded Rectangle 26" o:spid="_x0000_s1050" style="position:absolute;left:57455;top:14238;width:31979;height:52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" fillcolor="#5b9bd5" strokecolor="window" strokeweight="1.5pt">
                  <v:stroke joinstyle="miter"/>
                  <v:textbox>
                    <w:txbxContent>
                      <w:p w:rsidR="00330D31" w:rsidRPr="00F07C91" w:rsidRDefault="00330D31" w:rsidP="00C03A43">
                        <w:pPr>
                          <w:pStyle w:val="NormalWeb"/>
                          <w:spacing w:before="0" w:beforeAutospacing="0" w:after="0" w:afterAutospacing="0"/>
                          <w:jc w:val="center"/>
                          <w:rPr>
                            <w:rFonts w:asciiTheme="minorHAnsi" w:hAnsiTheme="minorHAnsi" w:cstheme="minorHAnsi"/>
                            <w:sz w:val="10"/>
                            <w:szCs w:val="14"/>
                          </w:rPr>
                        </w:pPr>
                        <w:r w:rsidRPr="00F07C91">
                          <w:rPr>
                            <w:rFonts w:asciiTheme="minorHAnsi" w:hAnsiTheme="minorHAnsi" w:cstheme="minorHAnsi"/>
                            <w:color w:val="FFFFFF" w:themeColor="light1"/>
                            <w:kern w:val="24"/>
                            <w:sz w:val="10"/>
                            <w:szCs w:val="14"/>
                          </w:rPr>
                          <w:t>Κλιματική αλλαγή, περιβάλλον, αποδοτικότητα πόρων και πρώτες ύλες</w:t>
                        </w:r>
                      </w:p>
                    </w:txbxContent>
                  </v:textbox>
                </v:roundrect>
                <w10:anchorlock/>
              </v:group>
            </w:pict>
          </mc:Fallback>
        </mc:AlternateContent>
      </w:r>
    </w:p>
    <w:p w:rsidR="00C03A43" w:rsidRPr="00C03A43" w:rsidRDefault="00C03A43" w:rsidP="00C03A43">
      <w:r w:rsidRPr="00C03A43">
        <w:lastRenderedPageBreak/>
        <w:t xml:space="preserve">Η ελληνική συμμετοχή στο πρόγραμμα </w:t>
      </w:r>
      <w:r w:rsidR="00193D0F" w:rsidRPr="00C03A43">
        <w:t xml:space="preserve">Η2020 </w:t>
      </w:r>
      <w:r w:rsidRPr="00C03A43">
        <w:t>καταγράφεται σε ειδικές εκθέσεις και μελέτες που εκδίδει το Εθνικό Κέντρο Τεκμηρίωσης, με δείκτες που αναδεικνύουν σημαντικές πλευρές της εγχώριας ερευνητικής δραστηριότητας</w:t>
      </w:r>
      <w:r w:rsidR="00193D0F">
        <w:t>,</w:t>
      </w:r>
      <w:r w:rsidRPr="00C03A43">
        <w:t xml:space="preserve"> καθώς και στο ανοιχτό </w:t>
      </w:r>
      <w:r w:rsidRPr="00C03A43">
        <w:rPr>
          <w:lang w:val="en-US"/>
        </w:rPr>
        <w:t>hub</w:t>
      </w:r>
      <w:r w:rsidRPr="00C03A43">
        <w:t xml:space="preserve"> πληροφοριών της Ε.Ε. για το πρόγραμμα Η2020</w:t>
      </w:r>
    </w:p>
    <w:p w:rsidR="00C03A43" w:rsidRPr="00C03A43" w:rsidRDefault="00C03A43" w:rsidP="00C03A43">
      <w:r w:rsidRPr="00C03A43">
        <w:t xml:space="preserve">Μέχρι και το </w:t>
      </w:r>
      <w:r w:rsidRPr="00C03A43">
        <w:rPr>
          <w:b/>
          <w:bCs/>
        </w:rPr>
        <w:t>Δεκέμβριο του 2017,</w:t>
      </w:r>
      <w:r w:rsidRPr="00C03A43">
        <w:t xml:space="preserve"> στο σύνολο εγκρίθηκαν 1.323 έργα με ελληνικές συμμετοχές στα προγράμματα Η2020 συνολικού προϋπολογισμού 717,7 εκ. </w:t>
      </w:r>
      <w:r w:rsidR="00193D0F">
        <w:t xml:space="preserve">ευρώ </w:t>
      </w:r>
      <w:r w:rsidRPr="00C03A43">
        <w:t xml:space="preserve">εκ των οποίων 662,9 εκ </w:t>
      </w:r>
      <w:r w:rsidR="00193D0F">
        <w:t xml:space="preserve">ευρώ </w:t>
      </w:r>
      <w:r w:rsidRPr="00C03A43">
        <w:t xml:space="preserve">συνιστούν ευρωπαϊκή συμμετοχή. Εγκρίθηκαν 2.246 ελληνικές συμμετοχές στα </w:t>
      </w:r>
      <w:r w:rsidR="00193D0F">
        <w:t>έ</w:t>
      </w:r>
      <w:r w:rsidRPr="00C03A43">
        <w:t>ργα από 565 διαφορετικούς φορείς (</w:t>
      </w:r>
      <w:r w:rsidR="00193D0F">
        <w:t>μ</w:t>
      </w:r>
      <w:r w:rsidRPr="00C03A43">
        <w:t>έσος όρος ελληνικών συμμετοχών σε κάθε Έργο 1,7)</w:t>
      </w:r>
      <w:r w:rsidR="00193D0F">
        <w:t>.</w:t>
      </w:r>
    </w:p>
    <w:p w:rsidR="00C7515C" w:rsidRPr="00C7515C" w:rsidRDefault="00C03A43" w:rsidP="00C7515C">
      <w:r w:rsidRPr="00C03A43">
        <w:rPr>
          <w:noProof/>
          <w:lang w:eastAsia="el-GR"/>
        </w:rPr>
        <w:drawing>
          <wp:inline distT="0" distB="0" distL="0" distR="0" wp14:anchorId="0865848F" wp14:editId="399B1906">
            <wp:extent cx="5229225" cy="685800"/>
            <wp:effectExtent l="0" t="0" r="9525" b="0"/>
            <wp:docPr id="21" name="Εικόνα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t="31793" r="49665" b="56466"/>
                    <a:stretch/>
                  </pic:blipFill>
                  <pic:spPr bwMode="auto">
                    <a:xfrm>
                      <a:off x="0" y="0"/>
                      <a:ext cx="5229225" cy="685800"/>
                    </a:xfrm>
                    <a:prstGeom prst="rect">
                      <a:avLst/>
                    </a:prstGeom>
                    <a:ln>
                      <a:noFill/>
                    </a:ln>
                    <a:extLst>
                      <a:ext uri="{53640926-AAD7-44D8-BBD7-CCE9431645EC}">
                        <a14:shadowObscured xmlns:a14="http://schemas.microsoft.com/office/drawing/2010/main"/>
                      </a:ext>
                    </a:extLst>
                  </pic:spPr>
                </pic:pic>
              </a:graphicData>
            </a:graphic>
          </wp:inline>
        </w:drawing>
      </w:r>
    </w:p>
    <w:p w:rsidR="00C03A43" w:rsidRPr="00C03A43" w:rsidRDefault="00287BD7" w:rsidP="00C7515C">
      <w:pPr>
        <w:spacing w:after="120" w:line="240" w:lineRule="auto"/>
        <w:jc w:val="left"/>
        <w:rPr>
          <w:rFonts w:asciiTheme="minorHAnsi" w:eastAsiaTheme="minorHAnsi" w:hAnsiTheme="minorHAnsi" w:cstheme="minorBidi"/>
          <w:b/>
          <w:iCs/>
          <w:sz w:val="16"/>
          <w:szCs w:val="18"/>
        </w:rPr>
      </w:pPr>
      <w:r>
        <w:rPr>
          <w:rFonts w:asciiTheme="minorHAnsi" w:eastAsiaTheme="minorHAnsi" w:hAnsiTheme="minorHAnsi" w:cstheme="minorBidi"/>
          <w:b/>
          <w:iCs/>
          <w:sz w:val="16"/>
          <w:szCs w:val="18"/>
        </w:rPr>
        <w:br/>
      </w:r>
      <w:r w:rsidR="00C03A43" w:rsidRPr="00C03A43">
        <w:rPr>
          <w:rFonts w:asciiTheme="minorHAnsi" w:eastAsiaTheme="minorHAnsi" w:hAnsiTheme="minorHAnsi" w:cstheme="minorBidi"/>
          <w:b/>
          <w:iCs/>
          <w:sz w:val="16"/>
          <w:szCs w:val="18"/>
        </w:rPr>
        <w:t xml:space="preserve">Διάγραμμα  </w:t>
      </w:r>
      <w:r w:rsidR="00C7515C">
        <w:rPr>
          <w:rFonts w:asciiTheme="minorHAnsi" w:eastAsiaTheme="minorHAnsi" w:hAnsiTheme="minorHAnsi" w:cstheme="minorBidi"/>
          <w:b/>
          <w:iCs/>
          <w:sz w:val="16"/>
          <w:szCs w:val="18"/>
        </w:rPr>
        <w:t>4</w:t>
      </w:r>
      <w:r w:rsidR="00C03A43" w:rsidRPr="00C03A43">
        <w:rPr>
          <w:rFonts w:asciiTheme="minorHAnsi" w:eastAsiaTheme="minorHAnsi" w:hAnsiTheme="minorHAnsi" w:cstheme="minorBidi"/>
          <w:b/>
          <w:iCs/>
          <w:sz w:val="16"/>
          <w:szCs w:val="18"/>
        </w:rPr>
        <w:noBreakHyphen/>
      </w:r>
      <w:r w:rsidR="00C03A43" w:rsidRPr="00C03A43">
        <w:rPr>
          <w:rFonts w:asciiTheme="minorHAnsi" w:eastAsiaTheme="minorHAnsi" w:hAnsiTheme="minorHAnsi" w:cstheme="minorBidi"/>
          <w:b/>
          <w:iCs/>
          <w:sz w:val="16"/>
          <w:szCs w:val="18"/>
        </w:rPr>
        <w:fldChar w:fldCharType="begin"/>
      </w:r>
      <w:r w:rsidR="00C03A43" w:rsidRPr="00C03A43">
        <w:rPr>
          <w:rFonts w:asciiTheme="minorHAnsi" w:eastAsiaTheme="minorHAnsi" w:hAnsiTheme="minorHAnsi" w:cstheme="minorBidi"/>
          <w:b/>
          <w:iCs/>
          <w:sz w:val="16"/>
          <w:szCs w:val="18"/>
        </w:rPr>
        <w:instrText xml:space="preserve"> SEQ Διάγραμμα_ \* ARABIC \s 1 </w:instrText>
      </w:r>
      <w:r w:rsidR="00C03A43" w:rsidRPr="00C03A43">
        <w:rPr>
          <w:rFonts w:asciiTheme="minorHAnsi" w:eastAsiaTheme="minorHAnsi" w:hAnsiTheme="minorHAnsi" w:cstheme="minorBidi"/>
          <w:b/>
          <w:iCs/>
          <w:sz w:val="16"/>
          <w:szCs w:val="18"/>
        </w:rPr>
        <w:fldChar w:fldCharType="separate"/>
      </w:r>
      <w:r w:rsidR="00332E24">
        <w:rPr>
          <w:rFonts w:asciiTheme="minorHAnsi" w:eastAsiaTheme="minorHAnsi" w:hAnsiTheme="minorHAnsi" w:cstheme="minorBidi"/>
          <w:b/>
          <w:iCs/>
          <w:noProof/>
          <w:sz w:val="16"/>
          <w:szCs w:val="18"/>
        </w:rPr>
        <w:t>2</w:t>
      </w:r>
      <w:r w:rsidR="00C03A43" w:rsidRPr="00C03A43">
        <w:rPr>
          <w:rFonts w:asciiTheme="minorHAnsi" w:eastAsiaTheme="minorHAnsi" w:hAnsiTheme="minorHAnsi" w:cstheme="minorBidi"/>
          <w:b/>
          <w:iCs/>
          <w:sz w:val="16"/>
          <w:szCs w:val="18"/>
        </w:rPr>
        <w:fldChar w:fldCharType="end"/>
      </w:r>
      <w:r w:rsidR="00C03A43" w:rsidRPr="00C03A43">
        <w:rPr>
          <w:rFonts w:asciiTheme="minorHAnsi" w:eastAsiaTheme="minorHAnsi" w:hAnsiTheme="minorHAnsi" w:cstheme="minorBidi"/>
          <w:b/>
          <w:iCs/>
          <w:sz w:val="16"/>
          <w:szCs w:val="18"/>
        </w:rPr>
        <w:t xml:space="preserve">: Εγκεκριμένα Έργα με Ελληνικές συμμετοχές ανά έτος </w:t>
      </w:r>
    </w:p>
    <w:p w:rsidR="00C03A43" w:rsidRPr="00C03A43" w:rsidRDefault="00C03A43" w:rsidP="00C7515C">
      <w:r w:rsidRPr="00C03A43">
        <w:rPr>
          <w:noProof/>
          <w:lang w:eastAsia="el-GR"/>
        </w:rPr>
        <w:drawing>
          <wp:inline distT="0" distB="0" distL="0" distR="0" wp14:anchorId="0E1BC211" wp14:editId="59F0B335">
            <wp:extent cx="4647987" cy="2914650"/>
            <wp:effectExtent l="0" t="0" r="635" b="0"/>
            <wp:docPr id="22"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7b9696d5f46461680779c7b19820d3e.jpg"/>
                    <pic:cNvPicPr/>
                  </pic:nvPicPr>
                  <pic:blipFill rotWithShape="1">
                    <a:blip r:embed="rId52">
                      <a:extLst>
                        <a:ext uri="{28A0092B-C50C-407E-A947-70E740481C1C}">
                          <a14:useLocalDpi xmlns:a14="http://schemas.microsoft.com/office/drawing/2010/main" val="0"/>
                        </a:ext>
                      </a:extLst>
                    </a:blip>
                    <a:srcRect r="38004"/>
                    <a:stretch/>
                  </pic:blipFill>
                  <pic:spPr bwMode="auto">
                    <a:xfrm>
                      <a:off x="0" y="0"/>
                      <a:ext cx="4678538" cy="2933808"/>
                    </a:xfrm>
                    <a:prstGeom prst="rect">
                      <a:avLst/>
                    </a:prstGeom>
                    <a:ln>
                      <a:noFill/>
                    </a:ln>
                    <a:extLst>
                      <a:ext uri="{53640926-AAD7-44D8-BBD7-CCE9431645EC}">
                        <a14:shadowObscured xmlns:a14="http://schemas.microsoft.com/office/drawing/2010/main"/>
                      </a:ext>
                    </a:extLst>
                  </pic:spPr>
                </pic:pic>
              </a:graphicData>
            </a:graphic>
          </wp:inline>
        </w:drawing>
      </w:r>
    </w:p>
    <w:p w:rsidR="00C03A43" w:rsidRPr="00C03A43" w:rsidRDefault="00C03A43" w:rsidP="00C03A43">
      <w:r w:rsidRPr="00C03A43">
        <w:t xml:space="preserve">Το πρόγραμμα H2020 προσελκύει συμμετέχοντες υψηλού επιπέδου από τους τομείς της τριτοβάθμιας εκπαίδευσης, της έρευνας και του ιδιωτικού τομέα και από ένα ευρύ φάσμα τομέων και θεματικών πεδίων. Οι κυριότεροι δικαιούχοι του προγράμματος </w:t>
      </w:r>
      <w:r w:rsidR="00193D0F" w:rsidRPr="00C03A43">
        <w:t xml:space="preserve">H2020 </w:t>
      </w:r>
      <w:r w:rsidRPr="00C03A43">
        <w:t>είναι οργανισμοί τριτοβάθμιας εκπαίδευσης και έρευνας, οι οποίοι μαζί έλαβαν το 67,7 % της χρηματοδότησης της Ελλάδας, ενώ ο ιδιωτικός τομέας έλαβε το 29 %.</w:t>
      </w:r>
    </w:p>
    <w:p w:rsidR="00C03A43" w:rsidRPr="00C03A43" w:rsidRDefault="00C03A43" w:rsidP="00C03A43">
      <w:pPr>
        <w:spacing w:after="80" w:line="240" w:lineRule="auto"/>
        <w:jc w:val="center"/>
        <w:rPr>
          <w:rFonts w:asciiTheme="minorHAnsi" w:eastAsiaTheme="minorHAnsi" w:hAnsiTheme="minorHAnsi" w:cstheme="minorBidi"/>
          <w:b/>
          <w:iCs/>
          <w:sz w:val="16"/>
          <w:szCs w:val="18"/>
        </w:rPr>
      </w:pPr>
      <w:r w:rsidRPr="00C03A43">
        <w:rPr>
          <w:rFonts w:asciiTheme="minorHAnsi" w:eastAsiaTheme="minorHAnsi" w:hAnsiTheme="minorHAnsi" w:cstheme="minorBidi"/>
          <w:b/>
          <w:iCs/>
          <w:sz w:val="16"/>
          <w:szCs w:val="18"/>
        </w:rPr>
        <w:t xml:space="preserve">Διάγραμμα  </w:t>
      </w:r>
      <w:r w:rsidR="00C7515C">
        <w:rPr>
          <w:rFonts w:asciiTheme="minorHAnsi" w:eastAsiaTheme="minorHAnsi" w:hAnsiTheme="minorHAnsi" w:cstheme="minorBidi"/>
          <w:b/>
          <w:iCs/>
          <w:noProof/>
          <w:sz w:val="16"/>
          <w:szCs w:val="18"/>
        </w:rPr>
        <w:t>4</w:t>
      </w:r>
      <w:r w:rsidRPr="00C03A43">
        <w:rPr>
          <w:rFonts w:asciiTheme="minorHAnsi" w:eastAsiaTheme="minorHAnsi" w:hAnsiTheme="minorHAnsi" w:cstheme="minorBidi"/>
          <w:b/>
          <w:iCs/>
          <w:sz w:val="16"/>
          <w:szCs w:val="18"/>
        </w:rPr>
        <w:noBreakHyphen/>
      </w:r>
      <w:r w:rsidRPr="00C03A43">
        <w:rPr>
          <w:rFonts w:asciiTheme="minorHAnsi" w:eastAsiaTheme="minorHAnsi" w:hAnsiTheme="minorHAnsi" w:cstheme="minorBidi"/>
          <w:b/>
          <w:iCs/>
          <w:noProof/>
          <w:sz w:val="16"/>
          <w:szCs w:val="18"/>
        </w:rPr>
        <w:fldChar w:fldCharType="begin"/>
      </w:r>
      <w:r w:rsidRPr="00C03A43">
        <w:rPr>
          <w:rFonts w:asciiTheme="minorHAnsi" w:eastAsiaTheme="minorHAnsi" w:hAnsiTheme="minorHAnsi" w:cstheme="minorBidi"/>
          <w:b/>
          <w:iCs/>
          <w:noProof/>
          <w:sz w:val="16"/>
          <w:szCs w:val="18"/>
        </w:rPr>
        <w:instrText xml:space="preserve"> SEQ Διάγραμμα_ \* ARABIC \s 1 </w:instrText>
      </w:r>
      <w:r w:rsidRPr="00C03A43">
        <w:rPr>
          <w:rFonts w:asciiTheme="minorHAnsi" w:eastAsiaTheme="minorHAnsi" w:hAnsiTheme="minorHAnsi" w:cstheme="minorBidi"/>
          <w:b/>
          <w:iCs/>
          <w:noProof/>
          <w:sz w:val="16"/>
          <w:szCs w:val="18"/>
        </w:rPr>
        <w:fldChar w:fldCharType="separate"/>
      </w:r>
      <w:r w:rsidR="00332E24">
        <w:rPr>
          <w:rFonts w:asciiTheme="minorHAnsi" w:eastAsiaTheme="minorHAnsi" w:hAnsiTheme="minorHAnsi" w:cstheme="minorBidi"/>
          <w:b/>
          <w:iCs/>
          <w:noProof/>
          <w:sz w:val="16"/>
          <w:szCs w:val="18"/>
        </w:rPr>
        <w:t>3</w:t>
      </w:r>
      <w:r w:rsidRPr="00C03A43">
        <w:rPr>
          <w:rFonts w:asciiTheme="minorHAnsi" w:eastAsiaTheme="minorHAnsi" w:hAnsiTheme="minorHAnsi" w:cstheme="minorBidi"/>
          <w:b/>
          <w:iCs/>
          <w:noProof/>
          <w:sz w:val="16"/>
          <w:szCs w:val="18"/>
        </w:rPr>
        <w:fldChar w:fldCharType="end"/>
      </w:r>
      <w:r w:rsidRPr="00C03A43">
        <w:rPr>
          <w:rFonts w:asciiTheme="minorHAnsi" w:eastAsiaTheme="minorHAnsi" w:hAnsiTheme="minorHAnsi" w:cstheme="minorBidi"/>
          <w:b/>
          <w:iCs/>
          <w:sz w:val="16"/>
          <w:szCs w:val="18"/>
        </w:rPr>
        <w:t>: Προϋπολογισμός ελληνικών φορέων στο σύνολο του Η2020, ανά κατηγορία φορέα, 2014-2018 (Πηγή webgate.ec.europa.eu)</w:t>
      </w:r>
    </w:p>
    <w:p w:rsidR="00C03A43" w:rsidRPr="00C03A43" w:rsidRDefault="00C03A43" w:rsidP="00C03A43">
      <w:pPr>
        <w:jc w:val="center"/>
      </w:pPr>
      <w:r w:rsidRPr="00C03A43">
        <w:rPr>
          <w:noProof/>
          <w:lang w:eastAsia="el-GR"/>
        </w:rPr>
        <w:drawing>
          <wp:inline distT="0" distB="0" distL="0" distR="0" wp14:anchorId="0217D877" wp14:editId="67D80965">
            <wp:extent cx="4572000" cy="2009775"/>
            <wp:effectExtent l="0" t="0" r="0" b="9525"/>
            <wp:docPr id="50" name="Γράφημα 51">
              <a:extLst xmlns:a="http://schemas.openxmlformats.org/drawingml/2006/main">
                <a:ext uri="{FF2B5EF4-FFF2-40B4-BE49-F238E27FC236}">
                  <a16:creationId xmlns:a16="http://schemas.microsoft.com/office/drawing/2014/main" id="{A002784F-B11C-4E10-9AD8-778A2A2F34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C7515C" w:rsidRDefault="00C7515C" w:rsidP="00C03A43"/>
    <w:p w:rsidR="00C03A43" w:rsidRPr="00C03A43" w:rsidRDefault="00C03A43" w:rsidP="00C03A43">
      <w:r w:rsidRPr="00C03A43">
        <w:lastRenderedPageBreak/>
        <w:t xml:space="preserve">Από τις ελληνικές συμμετοχές, τον μεγαλύτερο (με μεγάλη διαφορά από το επόμενο) προϋπολογισμό τον έλαβαν οι ελληνικοί φορείς που συμμετείχαν στη θεματική ενότητα ΤΠΕ του προγράμματος Βιομηχανική υπεροχή του </w:t>
      </w:r>
      <w:r w:rsidRPr="00C03A43">
        <w:rPr>
          <w:lang w:val="en-US"/>
        </w:rPr>
        <w:t>H</w:t>
      </w:r>
      <w:r w:rsidRPr="00C03A43">
        <w:t>2020. Στο παρακάτω γράφημα παρουσιάζεται η κατανομή του Π/Υ των ελληνικών συμμετοχών στις σημαντικότερες θεματικές προτεραιότητες</w:t>
      </w:r>
      <w:r w:rsidR="00193D0F">
        <w:t>,</w:t>
      </w:r>
      <w:r w:rsidRPr="00C03A43">
        <w:t xml:space="preserve"> στο σύνολο του προγράμματος </w:t>
      </w:r>
      <w:r w:rsidRPr="00C03A43">
        <w:rPr>
          <w:lang w:val="en-US"/>
        </w:rPr>
        <w:t>H</w:t>
      </w:r>
      <w:r w:rsidRPr="00C03A43">
        <w:t>2020.</w:t>
      </w:r>
    </w:p>
    <w:p w:rsidR="00C03A43" w:rsidRPr="00C03A43" w:rsidRDefault="00C03A43" w:rsidP="00C03A43">
      <w:pPr>
        <w:spacing w:after="80" w:line="240" w:lineRule="auto"/>
        <w:jc w:val="center"/>
        <w:rPr>
          <w:rFonts w:asciiTheme="minorHAnsi" w:eastAsiaTheme="minorHAnsi" w:hAnsiTheme="minorHAnsi" w:cstheme="minorBidi"/>
          <w:b/>
          <w:iCs/>
          <w:sz w:val="16"/>
          <w:szCs w:val="18"/>
        </w:rPr>
      </w:pPr>
      <w:r w:rsidRPr="00C03A43">
        <w:rPr>
          <w:rFonts w:asciiTheme="minorHAnsi" w:eastAsiaTheme="minorHAnsi" w:hAnsiTheme="minorHAnsi" w:cstheme="minorBidi"/>
          <w:b/>
          <w:iCs/>
          <w:sz w:val="16"/>
          <w:szCs w:val="18"/>
        </w:rPr>
        <w:t xml:space="preserve">Διάγραμμα  </w:t>
      </w:r>
      <w:r w:rsidR="00C7515C">
        <w:rPr>
          <w:rFonts w:asciiTheme="minorHAnsi" w:eastAsiaTheme="minorHAnsi" w:hAnsiTheme="minorHAnsi" w:cstheme="minorBidi"/>
          <w:b/>
          <w:iCs/>
          <w:noProof/>
          <w:sz w:val="16"/>
          <w:szCs w:val="18"/>
        </w:rPr>
        <w:t>4</w:t>
      </w:r>
      <w:r w:rsidRPr="00C03A43">
        <w:rPr>
          <w:rFonts w:asciiTheme="minorHAnsi" w:eastAsiaTheme="minorHAnsi" w:hAnsiTheme="minorHAnsi" w:cstheme="minorBidi"/>
          <w:b/>
          <w:iCs/>
          <w:sz w:val="16"/>
          <w:szCs w:val="18"/>
        </w:rPr>
        <w:noBreakHyphen/>
      </w:r>
      <w:r w:rsidR="00C7515C">
        <w:rPr>
          <w:rFonts w:asciiTheme="minorHAnsi" w:eastAsiaTheme="minorHAnsi" w:hAnsiTheme="minorHAnsi" w:cstheme="minorBidi"/>
          <w:b/>
          <w:iCs/>
          <w:noProof/>
          <w:sz w:val="16"/>
          <w:szCs w:val="18"/>
        </w:rPr>
        <w:t>4</w:t>
      </w:r>
      <w:r w:rsidRPr="00C03A43">
        <w:rPr>
          <w:rFonts w:asciiTheme="minorHAnsi" w:eastAsiaTheme="minorHAnsi" w:hAnsiTheme="minorHAnsi" w:cstheme="minorBidi"/>
          <w:b/>
          <w:iCs/>
          <w:sz w:val="16"/>
          <w:szCs w:val="18"/>
        </w:rPr>
        <w:t>: Κατανομή του Π/Υ των ελληνικών συμμετοχών στις σημαντικότερες θεματικές προτεραιότητες του προγράμματος H2020.</w:t>
      </w:r>
    </w:p>
    <w:p w:rsidR="00C03A43" w:rsidRPr="00C03A43" w:rsidRDefault="00C03A43" w:rsidP="00C03A43">
      <w:r w:rsidRPr="00C03A43">
        <w:rPr>
          <w:noProof/>
          <w:lang w:eastAsia="el-GR"/>
        </w:rPr>
        <w:drawing>
          <wp:inline distT="0" distB="0" distL="0" distR="0" wp14:anchorId="65ED626D" wp14:editId="5EE5CE4E">
            <wp:extent cx="6257292" cy="2514600"/>
            <wp:effectExtent l="0" t="0" r="0" b="0"/>
            <wp:docPr id="60"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3ba3fad769440d39d61741a00ff4632.png"/>
                    <pic:cNvPicPr/>
                  </pic:nvPicPr>
                  <pic:blipFill rotWithShape="1">
                    <a:blip r:embed="rId54">
                      <a:extLst>
                        <a:ext uri="{28A0092B-C50C-407E-A947-70E740481C1C}">
                          <a14:useLocalDpi xmlns:a14="http://schemas.microsoft.com/office/drawing/2010/main" val="0"/>
                        </a:ext>
                      </a:extLst>
                    </a:blip>
                    <a:srcRect r="3262"/>
                    <a:stretch/>
                  </pic:blipFill>
                  <pic:spPr bwMode="auto">
                    <a:xfrm>
                      <a:off x="0" y="0"/>
                      <a:ext cx="6259546" cy="2515506"/>
                    </a:xfrm>
                    <a:prstGeom prst="rect">
                      <a:avLst/>
                    </a:prstGeom>
                    <a:ln>
                      <a:noFill/>
                    </a:ln>
                    <a:extLst>
                      <a:ext uri="{53640926-AAD7-44D8-BBD7-CCE9431645EC}">
                        <a14:shadowObscured xmlns:a14="http://schemas.microsoft.com/office/drawing/2010/main"/>
                      </a:ext>
                    </a:extLst>
                  </pic:spPr>
                </pic:pic>
              </a:graphicData>
            </a:graphic>
          </wp:inline>
        </w:drawing>
      </w:r>
      <w:r w:rsidRPr="00C03A43">
        <w:t>Ομοίως και σε σχέση με το πλήθος εγκεκριμένων έργων</w:t>
      </w:r>
      <w:r w:rsidR="00193D0F">
        <w:t>,</w:t>
      </w:r>
      <w:r w:rsidRPr="00C03A43">
        <w:t xml:space="preserve"> η θεματική ενότητα ΤΠΕ συγκεντρώνει το μεγαλύτερο πλήθος έργων -251 έργα- και ακολουθούν οι Δράσεις </w:t>
      </w:r>
      <w:r w:rsidRPr="00C03A43">
        <w:rPr>
          <w:lang w:val="en-US"/>
        </w:rPr>
        <w:t>Marie</w:t>
      </w:r>
      <w:r w:rsidRPr="00C03A43">
        <w:t xml:space="preserve"> </w:t>
      </w:r>
      <w:r w:rsidRPr="00C03A43">
        <w:rPr>
          <w:lang w:val="en-US"/>
        </w:rPr>
        <w:t>Curie</w:t>
      </w:r>
      <w:r w:rsidRPr="00C03A43">
        <w:t xml:space="preserve"> -180 έργα- και η  «</w:t>
      </w:r>
      <w:r w:rsidR="00193D0F">
        <w:t>Βιώσιμη Ενέργεια</w:t>
      </w:r>
      <w:r w:rsidRPr="00C03A43">
        <w:t>» -113 έργα.</w:t>
      </w:r>
    </w:p>
    <w:p w:rsidR="00C03A43" w:rsidRPr="00C03A43" w:rsidRDefault="00C03A43" w:rsidP="00C03A43">
      <w:r w:rsidRPr="00C03A43">
        <w:rPr>
          <w:noProof/>
          <w:lang w:eastAsia="el-GR"/>
        </w:rPr>
        <w:drawing>
          <wp:inline distT="0" distB="0" distL="0" distR="0" wp14:anchorId="312876F4" wp14:editId="786848B4">
            <wp:extent cx="5876925" cy="3267075"/>
            <wp:effectExtent l="0" t="0" r="9525" b="9525"/>
            <wp:docPr id="62" name="Γράφημα 58">
              <a:extLst xmlns:a="http://schemas.openxmlformats.org/drawingml/2006/main">
                <a:ext uri="{FF2B5EF4-FFF2-40B4-BE49-F238E27FC236}">
                  <a16:creationId xmlns:a16="http://schemas.microsoft.com/office/drawing/2014/main" id="{7CDBA0C4-B70A-4E16-A2DB-3D00346C8F6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C03A43" w:rsidRPr="00C03A43" w:rsidRDefault="00C03A43" w:rsidP="00C03A43">
      <w:r w:rsidRPr="00C03A43">
        <w:t>Οι ειδικοί στόχοι / ερευνητικοί τομείς της θεματικής ενότητας «Τεχνολογίες Πληροφορικής και Επικοινωνιών» του προγράμματος ‘‘Βιομηχανική υπεροχή’’ H2020, είναι:</w:t>
      </w:r>
    </w:p>
    <w:p w:rsidR="00C03A43" w:rsidRPr="00C03A43" w:rsidRDefault="00C03A43" w:rsidP="002B247F">
      <w:pPr>
        <w:numPr>
          <w:ilvl w:val="0"/>
          <w:numId w:val="38"/>
        </w:numPr>
        <w:contextualSpacing/>
      </w:pPr>
      <w:r w:rsidRPr="00C03A43">
        <w:t xml:space="preserve">Διαδίκτυο του μέλλοντος </w:t>
      </w:r>
    </w:p>
    <w:p w:rsidR="00C03A43" w:rsidRPr="00C03A43" w:rsidRDefault="00C03A43" w:rsidP="002B247F">
      <w:pPr>
        <w:numPr>
          <w:ilvl w:val="0"/>
          <w:numId w:val="38"/>
        </w:numPr>
        <w:contextualSpacing/>
      </w:pPr>
      <w:r w:rsidRPr="00C03A43">
        <w:t>Τεχνολογίες περιεχομένου και διαχείριση πληροφοριών</w:t>
      </w:r>
    </w:p>
    <w:p w:rsidR="00C03A43" w:rsidRPr="00C03A43" w:rsidRDefault="00C03A43" w:rsidP="002B247F">
      <w:pPr>
        <w:numPr>
          <w:ilvl w:val="0"/>
          <w:numId w:val="38"/>
        </w:numPr>
        <w:contextualSpacing/>
      </w:pPr>
      <w:r w:rsidRPr="00C03A43">
        <w:t>Ρομποτική και αυτόνομα συστήματα</w:t>
      </w:r>
    </w:p>
    <w:p w:rsidR="00C03A43" w:rsidRPr="00C03A43" w:rsidRDefault="00C03A43" w:rsidP="002B247F">
      <w:pPr>
        <w:numPr>
          <w:ilvl w:val="0"/>
          <w:numId w:val="38"/>
        </w:numPr>
        <w:contextualSpacing/>
      </w:pPr>
      <w:r w:rsidRPr="00C03A43">
        <w:t>Προηγμένη υπολογιστική και Υπολογιστικό Νέφος</w:t>
      </w:r>
    </w:p>
    <w:p w:rsidR="00C03A43" w:rsidRPr="00C03A43" w:rsidRDefault="00C03A43" w:rsidP="002B247F">
      <w:pPr>
        <w:numPr>
          <w:ilvl w:val="0"/>
          <w:numId w:val="38"/>
        </w:numPr>
        <w:contextualSpacing/>
      </w:pPr>
      <w:r w:rsidRPr="00C03A43">
        <w:t>Διαδίκτυο των πραγμάτων</w:t>
      </w:r>
    </w:p>
    <w:p w:rsidR="00C03A43" w:rsidRPr="00C03A43" w:rsidRDefault="00C03A43" w:rsidP="002B247F">
      <w:pPr>
        <w:numPr>
          <w:ilvl w:val="0"/>
          <w:numId w:val="38"/>
        </w:numPr>
        <w:contextualSpacing/>
      </w:pPr>
      <w:r w:rsidRPr="00C03A43">
        <w:t>Εργοστάσια του μέλλοντος</w:t>
      </w:r>
    </w:p>
    <w:p w:rsidR="00C03A43" w:rsidRPr="00C03A43" w:rsidRDefault="00C03A43" w:rsidP="002B247F">
      <w:pPr>
        <w:numPr>
          <w:ilvl w:val="0"/>
          <w:numId w:val="38"/>
        </w:numPr>
        <w:contextualSpacing/>
      </w:pPr>
      <w:r w:rsidRPr="00C03A43">
        <w:lastRenderedPageBreak/>
        <w:t>Μια νέα γενιά εξαρτημάτων και συστημάτων</w:t>
      </w:r>
    </w:p>
    <w:p w:rsidR="00C03A43" w:rsidRPr="00C03A43" w:rsidRDefault="00C03A43" w:rsidP="002B247F">
      <w:pPr>
        <w:numPr>
          <w:ilvl w:val="0"/>
          <w:numId w:val="38"/>
        </w:numPr>
        <w:contextualSpacing/>
      </w:pPr>
      <w:r w:rsidRPr="00C03A43">
        <w:t>Οριζόντιες δράσεις καινοτομίας ΤΠΕ</w:t>
      </w:r>
    </w:p>
    <w:p w:rsidR="00C03A43" w:rsidRPr="00C03A43" w:rsidRDefault="00C03A43" w:rsidP="002B247F">
      <w:pPr>
        <w:numPr>
          <w:ilvl w:val="0"/>
          <w:numId w:val="38"/>
        </w:numPr>
        <w:contextualSpacing/>
      </w:pPr>
      <w:r w:rsidRPr="00C03A43">
        <w:t>Μικρο-και νανο-ηλεκτρονικές τεχνολογίες, Φωτονική</w:t>
      </w:r>
    </w:p>
    <w:p w:rsidR="00C03A43" w:rsidRPr="00C03A43" w:rsidRDefault="00C03A43" w:rsidP="002B247F">
      <w:pPr>
        <w:numPr>
          <w:ilvl w:val="0"/>
          <w:numId w:val="38"/>
        </w:numPr>
        <w:contextualSpacing/>
      </w:pPr>
      <w:r w:rsidRPr="00C03A43">
        <w:t>ΤΠΕ διαθεματικές δραστηριότητες</w:t>
      </w:r>
    </w:p>
    <w:p w:rsidR="00C03A43" w:rsidRPr="00C03A43" w:rsidRDefault="00C03A43" w:rsidP="002B247F">
      <w:pPr>
        <w:numPr>
          <w:ilvl w:val="0"/>
          <w:numId w:val="38"/>
        </w:numPr>
        <w:contextualSpacing/>
      </w:pPr>
      <w:r w:rsidRPr="00C03A43">
        <w:t>Καινοτομία και στήριξη της επιχειρηματικότητας</w:t>
      </w:r>
    </w:p>
    <w:p w:rsidR="00C03A43" w:rsidRPr="00C03A43" w:rsidRDefault="00C03A43" w:rsidP="002B247F">
      <w:pPr>
        <w:numPr>
          <w:ilvl w:val="0"/>
          <w:numId w:val="38"/>
        </w:numPr>
        <w:contextualSpacing/>
      </w:pPr>
      <w:r w:rsidRPr="00C03A43">
        <w:t>SME instrument</w:t>
      </w:r>
    </w:p>
    <w:p w:rsidR="00C03A43" w:rsidRPr="00C03A43" w:rsidRDefault="00C03A43" w:rsidP="00C03A43">
      <w:pPr>
        <w:rPr>
          <w:rFonts w:asciiTheme="minorHAnsi" w:eastAsiaTheme="minorHAnsi" w:hAnsiTheme="minorHAnsi"/>
          <w:sz w:val="21"/>
        </w:rPr>
      </w:pPr>
      <w:r w:rsidRPr="00C03A43">
        <w:t>Η εθνική RIS3 στον αντίστοιχο στρατηγικό τομέα «Τεχνολογίες Πληροφορικής και Επικοινωνιών» αναδεικνύει τις παρακάτω περιοχές παρέμβασης:</w:t>
      </w:r>
    </w:p>
    <w:p w:rsidR="00C03A43" w:rsidRPr="00C03A43" w:rsidRDefault="00C03A43" w:rsidP="002B247F">
      <w:pPr>
        <w:numPr>
          <w:ilvl w:val="0"/>
          <w:numId w:val="35"/>
        </w:numPr>
        <w:spacing w:before="0" w:after="120" w:line="256" w:lineRule="auto"/>
        <w:contextualSpacing/>
      </w:pPr>
      <w:r w:rsidRPr="00C03A43">
        <w:t>Τεχνολογίες διαχείρισης περιεχομένου και πληροφοριών</w:t>
      </w:r>
      <w:r w:rsidRPr="00C03A43">
        <w:tab/>
      </w:r>
    </w:p>
    <w:p w:rsidR="00C03A43" w:rsidRPr="00C03A43" w:rsidRDefault="00C03A43" w:rsidP="002B247F">
      <w:pPr>
        <w:numPr>
          <w:ilvl w:val="0"/>
          <w:numId w:val="35"/>
        </w:numPr>
        <w:spacing w:before="0" w:after="120" w:line="256" w:lineRule="auto"/>
        <w:contextualSpacing/>
      </w:pPr>
      <w:r w:rsidRPr="00C03A43">
        <w:t>Διαδίκτυο του μέλλοντος</w:t>
      </w:r>
      <w:r w:rsidRPr="00C03A43">
        <w:tab/>
      </w:r>
    </w:p>
    <w:p w:rsidR="00C03A43" w:rsidRPr="00C03A43" w:rsidRDefault="00C03A43" w:rsidP="002B247F">
      <w:pPr>
        <w:numPr>
          <w:ilvl w:val="0"/>
          <w:numId w:val="35"/>
        </w:numPr>
        <w:spacing w:before="0" w:after="120" w:line="256" w:lineRule="auto"/>
        <w:contextualSpacing/>
      </w:pPr>
      <w:r w:rsidRPr="00C03A43">
        <w:t>ΤΠΕ σε οριζόντιες δραστηριότητες</w:t>
      </w:r>
      <w:r w:rsidRPr="00C03A43">
        <w:tab/>
      </w:r>
    </w:p>
    <w:p w:rsidR="00C03A43" w:rsidRPr="00C03A43" w:rsidRDefault="00C03A43" w:rsidP="002B247F">
      <w:pPr>
        <w:numPr>
          <w:ilvl w:val="0"/>
          <w:numId w:val="35"/>
        </w:numPr>
        <w:spacing w:before="0" w:after="120" w:line="256" w:lineRule="auto"/>
        <w:contextualSpacing/>
      </w:pPr>
      <w:r w:rsidRPr="00C03A43">
        <w:t>Ρομποτική</w:t>
      </w:r>
      <w:r w:rsidRPr="00C03A43">
        <w:tab/>
      </w:r>
    </w:p>
    <w:p w:rsidR="00C03A43" w:rsidRPr="00C03A43" w:rsidRDefault="00C03A43" w:rsidP="002B247F">
      <w:pPr>
        <w:numPr>
          <w:ilvl w:val="0"/>
          <w:numId w:val="35"/>
        </w:numPr>
        <w:spacing w:before="0" w:after="120" w:line="256" w:lineRule="auto"/>
        <w:contextualSpacing/>
      </w:pPr>
      <w:r w:rsidRPr="00C03A43">
        <w:t>Εργοστάσια του μέλλοντος</w:t>
      </w:r>
    </w:p>
    <w:p w:rsidR="00C03A43" w:rsidRPr="00C03A43" w:rsidRDefault="00C03A43" w:rsidP="002B247F">
      <w:pPr>
        <w:numPr>
          <w:ilvl w:val="0"/>
          <w:numId w:val="35"/>
        </w:numPr>
        <w:spacing w:before="0" w:after="120" w:line="256" w:lineRule="auto"/>
        <w:contextualSpacing/>
      </w:pPr>
      <w:r w:rsidRPr="00C03A43">
        <w:t>Εφαρμογές σε τομείς προτεραιότητας</w:t>
      </w:r>
    </w:p>
    <w:p w:rsidR="00C03A43" w:rsidRPr="00C03A43" w:rsidRDefault="00C03A43" w:rsidP="002B247F">
      <w:pPr>
        <w:numPr>
          <w:ilvl w:val="0"/>
          <w:numId w:val="35"/>
        </w:numPr>
        <w:spacing w:before="0" w:after="120" w:line="256" w:lineRule="auto"/>
        <w:contextualSpacing/>
      </w:pPr>
      <w:r w:rsidRPr="00C03A43">
        <w:t>Εξαρτήματα και συστήματα</w:t>
      </w:r>
    </w:p>
    <w:p w:rsidR="00C03A43" w:rsidRPr="00C03A43" w:rsidRDefault="00C03A43" w:rsidP="00C7515C">
      <w:pPr>
        <w:spacing w:before="240" w:after="120"/>
      </w:pPr>
      <w:r w:rsidRPr="00C03A43">
        <w:t>Αντιστοιχίζοντας τις περιοχές παρέμβασης της RIS3 με τους ειδικούς στόχους / ερευνητικούς τομείς της θεματικής ενότητας «Τεχνολογίες Πληροφορικής και Επικοινωνιών» του προγράμματος ‘‘Βιομηχανική υπεροχή’’ H2020, παρατηρ</w:t>
      </w:r>
      <w:r w:rsidR="00193D0F">
        <w:t xml:space="preserve">είται </w:t>
      </w:r>
      <w:r w:rsidRPr="00C03A43">
        <w:t>ότι υπάρχει σχεδόν πλήρη ταύτιση των έξι</w:t>
      </w:r>
      <w:r w:rsidR="00193D0F">
        <w:t xml:space="preserve"> (6)</w:t>
      </w:r>
      <w:r w:rsidRPr="00C03A43">
        <w:t xml:space="preserve"> ειδικών στόχων / ερευνητικών τομέων με μία περιοχή παρέμβασης της RIS3. </w:t>
      </w:r>
      <w:r w:rsidR="00D73836">
        <w:t>Ο</w:t>
      </w:r>
      <w:r w:rsidRPr="00C03A43">
        <w:t xml:space="preserve">ι υπόλοιποι τομείς έχουν συνέργειες με δύο ή περισσότερες περιοχές παρέμβασης της εθνικής RIS3, ενώ ένας ερευνητικός τομέας (Καινοτομία και στήριξη της επιχειρηματικότητας) της θεματικής ενότητας δεν βρίσκει άμεση αντιστοίχιση με καμία περιοχή παρέμβασης της εθνικής </w:t>
      </w:r>
      <w:r w:rsidR="00D73836" w:rsidRPr="00C03A43">
        <w:t>RIS3</w:t>
      </w:r>
      <w:r w:rsidRPr="00C03A43">
        <w:t>.</w:t>
      </w:r>
    </w:p>
    <w:p w:rsidR="00C03A43" w:rsidRPr="00C03A43" w:rsidRDefault="00C03A43" w:rsidP="00C03A43">
      <w:r w:rsidRPr="00C03A43">
        <w:t>Η επόμενη θεματική ενότητα που οι ελληνικές συμμετοχές λαμβάνουν μεγάλο προϋπολογισμό είναι η</w:t>
      </w:r>
      <w:r w:rsidRPr="00C03A43">
        <w:rPr>
          <w:noProof/>
        </w:rPr>
        <w:t xml:space="preserve"> θεματική ενότητα «Δράσεις Marie Sklodowska-Curie», η οποία αναφέρεται σε</w:t>
      </w:r>
      <w:r w:rsidR="00A56C0F">
        <w:rPr>
          <w:noProof/>
        </w:rPr>
        <w:t>:</w:t>
      </w:r>
    </w:p>
    <w:p w:rsidR="00C03A43" w:rsidRPr="00C03A43" w:rsidRDefault="00C03A43" w:rsidP="002B247F">
      <w:pPr>
        <w:numPr>
          <w:ilvl w:val="0"/>
          <w:numId w:val="35"/>
        </w:numPr>
        <w:spacing w:before="0" w:after="120" w:line="256" w:lineRule="auto"/>
        <w:contextualSpacing/>
      </w:pPr>
      <w:r w:rsidRPr="00C03A43">
        <w:t xml:space="preserve">Ερευνητικά δίκτυα (ITN): στήριξη για Καινοτόμα Δίκτυα Κατάρτισης που παράγουν νέους ερευνητές </w:t>
      </w:r>
    </w:p>
    <w:p w:rsidR="00C03A43" w:rsidRPr="00C03A43" w:rsidRDefault="00C03A43" w:rsidP="002B247F">
      <w:pPr>
        <w:numPr>
          <w:ilvl w:val="0"/>
          <w:numId w:val="35"/>
        </w:numPr>
        <w:spacing w:before="0" w:after="120" w:line="256" w:lineRule="auto"/>
        <w:contextualSpacing/>
      </w:pPr>
      <w:r w:rsidRPr="00C03A43">
        <w:t>Μεμονωμένες υποτροφίες (IF): στήριξη πεπειραμένων ερευνητών που μεταβαίνουν σε άλλες χώρες, έχοντας την επιλογή να εργαστούν έξω από τον ακαδημαϊκό χώρο</w:t>
      </w:r>
    </w:p>
    <w:p w:rsidR="00C03A43" w:rsidRPr="00C03A43" w:rsidRDefault="00C03A43" w:rsidP="002B247F">
      <w:pPr>
        <w:numPr>
          <w:ilvl w:val="0"/>
          <w:numId w:val="35"/>
        </w:numPr>
        <w:spacing w:before="0" w:after="120" w:line="256" w:lineRule="auto"/>
        <w:contextualSpacing/>
      </w:pPr>
      <w:r w:rsidRPr="00C03A43">
        <w:t>Ανταλλαγές προσωπικού στους τομείς της έρευνας και της καινοτομίας (RISE) για την προώθηση διεθνών και διατομεακών συνεργασιών</w:t>
      </w:r>
    </w:p>
    <w:p w:rsidR="00C03A43" w:rsidRPr="00C03A43" w:rsidRDefault="00C03A43" w:rsidP="002B247F">
      <w:pPr>
        <w:numPr>
          <w:ilvl w:val="0"/>
          <w:numId w:val="35"/>
        </w:numPr>
        <w:spacing w:before="0" w:after="120" w:line="256" w:lineRule="auto"/>
        <w:contextualSpacing/>
      </w:pPr>
      <w:r w:rsidRPr="00C03A43">
        <w:t>Συγχρηματοδότηση περιφερειακών, εθνικών και διεθνών προγραμμάτων για την κατάρτιση στον τομέα της έρευνας ή υποτροφίες κινητικότητας προς ή από μια άλλη χώρα.</w:t>
      </w:r>
    </w:p>
    <w:p w:rsidR="00C03A43" w:rsidRPr="00C03A43" w:rsidRDefault="00C03A43" w:rsidP="00C03A43">
      <w:r w:rsidRPr="00C03A43">
        <w:t>Τα παραπάνω καλύπτουν όλα τα επιστημονικά πεδία, έχοντας ως μοναδικό κριτήριο αξιολόγησης την αριστεία.</w:t>
      </w:r>
    </w:p>
    <w:p w:rsidR="00C03A43" w:rsidRPr="00C03A43" w:rsidRDefault="00C03A43" w:rsidP="00BA0AC2">
      <w:pPr>
        <w:spacing w:after="120"/>
        <w:rPr>
          <w:rFonts w:asciiTheme="minorHAnsi" w:eastAsiaTheme="minorHAnsi" w:hAnsiTheme="minorHAnsi"/>
          <w:sz w:val="21"/>
        </w:rPr>
      </w:pPr>
      <w:r w:rsidRPr="00C03A43">
        <w:t xml:space="preserve">Τέλος, η τρίτη θεματική ενότητα </w:t>
      </w:r>
      <w:r w:rsidR="00A56C0F">
        <w:t>ως προς το</w:t>
      </w:r>
      <w:r w:rsidRPr="00C03A43">
        <w:t xml:space="preserve"> ποσοστό </w:t>
      </w:r>
      <w:r w:rsidR="001D41DD" w:rsidRPr="00C03A43">
        <w:t>προϋπολογισμού</w:t>
      </w:r>
      <w:r w:rsidRPr="00C03A43">
        <w:t xml:space="preserve"> για τις ελληνικές συμμετοχές είναι η  «</w:t>
      </w:r>
      <w:r w:rsidR="001D41DD" w:rsidRPr="00C03A43">
        <w:t>Βιώσιμη</w:t>
      </w:r>
      <w:r w:rsidRPr="00C03A43">
        <w:t xml:space="preserve"> </w:t>
      </w:r>
      <w:r w:rsidR="001D41DD" w:rsidRPr="00C03A43">
        <w:t>Ενέργεια</w:t>
      </w:r>
      <w:r w:rsidRPr="00C03A43">
        <w:t xml:space="preserve">» που διαρθρώνεται γύρω από επτά </w:t>
      </w:r>
      <w:r w:rsidR="00A56C0F">
        <w:t xml:space="preserve">(7) </w:t>
      </w:r>
      <w:r w:rsidRPr="00C03A43">
        <w:t>ειδικούς στόχους και ερευνητικούς τομείς:</w:t>
      </w:r>
    </w:p>
    <w:p w:rsidR="00C03A43" w:rsidRPr="00C03A43" w:rsidRDefault="00C03A43" w:rsidP="002B247F">
      <w:pPr>
        <w:numPr>
          <w:ilvl w:val="0"/>
          <w:numId w:val="36"/>
        </w:numPr>
        <w:spacing w:before="0" w:after="120" w:line="256" w:lineRule="auto"/>
        <w:contextualSpacing/>
      </w:pPr>
      <w:r w:rsidRPr="00C03A43">
        <w:t xml:space="preserve">Μείωση της κατανάλωσης ενέργειας και του αποτυπώματος άνθρακα μέσω έξυπνης και βιώσιμης χρήσης </w:t>
      </w:r>
    </w:p>
    <w:p w:rsidR="00C03A43" w:rsidRPr="00C03A43" w:rsidRDefault="00C03A43" w:rsidP="002B247F">
      <w:pPr>
        <w:numPr>
          <w:ilvl w:val="0"/>
          <w:numId w:val="36"/>
        </w:numPr>
        <w:spacing w:before="0" w:after="120" w:line="256" w:lineRule="auto"/>
        <w:contextualSpacing/>
      </w:pPr>
      <w:r w:rsidRPr="00C03A43">
        <w:t xml:space="preserve">Ενέργεια χαμηλού κόστους και χαμηλού άνθρακα </w:t>
      </w:r>
    </w:p>
    <w:p w:rsidR="00C03A43" w:rsidRPr="00C03A43" w:rsidRDefault="00C03A43" w:rsidP="002B247F">
      <w:pPr>
        <w:numPr>
          <w:ilvl w:val="0"/>
          <w:numId w:val="36"/>
        </w:numPr>
        <w:spacing w:before="0" w:after="120" w:line="256" w:lineRule="auto"/>
        <w:contextualSpacing/>
      </w:pPr>
      <w:r w:rsidRPr="00C03A43">
        <w:t xml:space="preserve">Εναλλακτικά καύσιμα και κινητές πηγές ενέργειας </w:t>
      </w:r>
    </w:p>
    <w:p w:rsidR="00C03A43" w:rsidRPr="00C03A43" w:rsidRDefault="00C03A43" w:rsidP="002B247F">
      <w:pPr>
        <w:numPr>
          <w:ilvl w:val="0"/>
          <w:numId w:val="36"/>
        </w:numPr>
        <w:spacing w:before="0" w:after="120" w:line="256" w:lineRule="auto"/>
        <w:contextualSpacing/>
      </w:pPr>
      <w:r w:rsidRPr="00C03A43">
        <w:t xml:space="preserve">Ένα ενιαίο, έξυπνο ευρωπαϊκό δίκτυο ηλεκτρικής ενέργειας </w:t>
      </w:r>
    </w:p>
    <w:p w:rsidR="00C03A43" w:rsidRPr="00C03A43" w:rsidRDefault="00C03A43" w:rsidP="002B247F">
      <w:pPr>
        <w:numPr>
          <w:ilvl w:val="0"/>
          <w:numId w:val="36"/>
        </w:numPr>
        <w:spacing w:before="0" w:after="120" w:line="256" w:lineRule="auto"/>
        <w:contextualSpacing/>
      </w:pPr>
      <w:r w:rsidRPr="00C03A43">
        <w:t>Νέες γνώσεις και τεχνολογίες</w:t>
      </w:r>
    </w:p>
    <w:p w:rsidR="00C03A43" w:rsidRPr="00C03A43" w:rsidRDefault="00C03A43" w:rsidP="002B247F">
      <w:pPr>
        <w:numPr>
          <w:ilvl w:val="0"/>
          <w:numId w:val="36"/>
        </w:numPr>
        <w:spacing w:before="0" w:after="120" w:line="256" w:lineRule="auto"/>
        <w:contextualSpacing/>
      </w:pPr>
      <w:r w:rsidRPr="00C03A43">
        <w:t xml:space="preserve">Αποτελεσματική λήψη αποφάσεων και συμμετοχή του κοινού </w:t>
      </w:r>
    </w:p>
    <w:p w:rsidR="00C03A43" w:rsidRPr="00C03A43" w:rsidRDefault="00C03A43" w:rsidP="002B247F">
      <w:pPr>
        <w:numPr>
          <w:ilvl w:val="0"/>
          <w:numId w:val="36"/>
        </w:numPr>
        <w:spacing w:before="0" w:after="120" w:line="256" w:lineRule="auto"/>
        <w:contextualSpacing/>
      </w:pPr>
      <w:r w:rsidRPr="00C03A43">
        <w:t xml:space="preserve">Ενθάρρυνση της αγοράς ενέργειας και διείσδυση της καινοτομίας ΤΠΕ </w:t>
      </w:r>
    </w:p>
    <w:p w:rsidR="00C03A43" w:rsidRPr="00C03A43" w:rsidRDefault="00C03A43" w:rsidP="00BA0AC2">
      <w:pPr>
        <w:spacing w:before="240" w:after="120"/>
        <w:rPr>
          <w:rFonts w:asciiTheme="minorHAnsi" w:eastAsiaTheme="minorHAnsi" w:hAnsiTheme="minorHAnsi"/>
          <w:sz w:val="21"/>
        </w:rPr>
      </w:pPr>
      <w:r w:rsidRPr="00C03A43">
        <w:t>Η εθνική RIS3 στον αντίστοιχο στρατηγικό τομέα της Ενέργειας αναδεικνύει τις παρακάτω περιοχές παρέμβασης:</w:t>
      </w:r>
    </w:p>
    <w:p w:rsidR="00C03A43" w:rsidRPr="00C03A43" w:rsidRDefault="00C03A43" w:rsidP="002B247F">
      <w:pPr>
        <w:numPr>
          <w:ilvl w:val="0"/>
          <w:numId w:val="37"/>
        </w:numPr>
        <w:spacing w:before="0" w:after="120" w:line="256" w:lineRule="auto"/>
        <w:contextualSpacing/>
      </w:pPr>
      <w:r w:rsidRPr="00C03A43">
        <w:t>Τεχνολογίες για την εξοικονόμηση ενέργειας</w:t>
      </w:r>
    </w:p>
    <w:p w:rsidR="00C03A43" w:rsidRPr="00C03A43" w:rsidRDefault="00C03A43" w:rsidP="002B247F">
      <w:pPr>
        <w:numPr>
          <w:ilvl w:val="0"/>
          <w:numId w:val="37"/>
        </w:numPr>
        <w:spacing w:before="0" w:after="120" w:line="256" w:lineRule="auto"/>
        <w:contextualSpacing/>
      </w:pPr>
      <w:r w:rsidRPr="00C03A43">
        <w:t>Τεχνολογίες παραγωγής και αποθήκευσης ενέργειας από ΑΠΕ</w:t>
      </w:r>
    </w:p>
    <w:p w:rsidR="00C03A43" w:rsidRPr="00C03A43" w:rsidRDefault="00C03A43" w:rsidP="002B247F">
      <w:pPr>
        <w:numPr>
          <w:ilvl w:val="0"/>
          <w:numId w:val="37"/>
        </w:numPr>
        <w:spacing w:before="0" w:after="120" w:line="256" w:lineRule="auto"/>
        <w:contextualSpacing/>
      </w:pPr>
      <w:r w:rsidRPr="00C03A43">
        <w:t>Έξυπνα δίκτυα και συστήματα μεταφοράς και διανομής</w:t>
      </w:r>
    </w:p>
    <w:p w:rsidR="00C03A43" w:rsidRPr="00C03A43" w:rsidRDefault="00C03A43" w:rsidP="002B247F">
      <w:pPr>
        <w:numPr>
          <w:ilvl w:val="0"/>
          <w:numId w:val="37"/>
        </w:numPr>
        <w:spacing w:before="0" w:after="120" w:line="256" w:lineRule="auto"/>
        <w:contextualSpacing/>
      </w:pPr>
      <w:r w:rsidRPr="00C03A43">
        <w:t>Μείωση των επιπτώσεων από τη χρήση συμβατικών καυσίμων</w:t>
      </w:r>
    </w:p>
    <w:p w:rsidR="00C03A43" w:rsidRPr="00C03A43" w:rsidRDefault="00C03A43" w:rsidP="002B247F">
      <w:pPr>
        <w:numPr>
          <w:ilvl w:val="0"/>
          <w:numId w:val="37"/>
        </w:numPr>
        <w:spacing w:before="0" w:after="120" w:line="256" w:lineRule="auto"/>
        <w:contextualSpacing/>
      </w:pPr>
      <w:r w:rsidRPr="00C03A43">
        <w:t>Επιστημονική και τεχνολογική (Ε&amp;Τ) υποστήριξη της δημόσιας ενεργειακής πολιτικής</w:t>
      </w:r>
    </w:p>
    <w:p w:rsidR="00C03A43" w:rsidRPr="00C03A43" w:rsidRDefault="00C03A43" w:rsidP="00BA0AC2">
      <w:pPr>
        <w:spacing w:before="240"/>
        <w:rPr>
          <w:noProof/>
        </w:rPr>
      </w:pPr>
      <w:r w:rsidRPr="00C03A43">
        <w:t>Αντιστοιχίζοντας τις περιοχές παρέμβασης της RIS3 με τους ειδικούς στόχους / ερευνητικούς τομείς της θεματικής ενότητας «Βιώσιμη Ενέργεια» του προγράμματος ‘‘Κοινωνικές Προκλήσεις’’ H2020, παρατηρ</w:t>
      </w:r>
      <w:r w:rsidR="00A56C0F">
        <w:t>είται</w:t>
      </w:r>
      <w:r w:rsidRPr="00C03A43">
        <w:t xml:space="preserve"> </w:t>
      </w:r>
      <w:r w:rsidRPr="00C03A43">
        <w:lastRenderedPageBreak/>
        <w:t xml:space="preserve">ότι μόνο ένας ερευνητικός τομέας </w:t>
      </w:r>
      <w:r w:rsidRPr="00A56C0F">
        <w:rPr>
          <w:i/>
          <w:iCs/>
        </w:rPr>
        <w:t>«</w:t>
      </w:r>
      <w:r w:rsidR="00A56C0F">
        <w:rPr>
          <w:i/>
          <w:iCs/>
        </w:rPr>
        <w:t>Ε</w:t>
      </w:r>
      <w:r w:rsidRPr="00A56C0F">
        <w:rPr>
          <w:i/>
          <w:iCs/>
        </w:rPr>
        <w:t>νιαίο, έξυπνο ευρωπαϊκό δίκτυο ηλεκτρικής ενέργειας»</w:t>
      </w:r>
      <w:r w:rsidRPr="00C03A43">
        <w:t xml:space="preserve"> εμπεριέχεται στο σύνολό του σε μία μόνο περιοχή παρέμβασης της RIS3. Οι περισσότεροι τομείς έχουν συνέργειες με δύο ή περισσότερες περιοχές παρέμβασης της εθνικής RIS3, ενώ δύο ερευνητικοί τομείς (Αποτελεσματική λήψη αποφάσεων και συμμετοχή του κοινού &amp; Ενθάρρυνση της αγοράς ενέργειας και διείσδυση της καινοτομία ΤΠΕ) της θεματικής ενότητας «Βιώσιμη Ενέργεια» του H2020 δεν βρίσκουν άμεση αντιστοίχιση με καμία περιοχή παρέμβασης της εθνικής </w:t>
      </w:r>
      <w:r w:rsidR="00A56C0F" w:rsidRPr="00C03A43">
        <w:t>RIS3</w:t>
      </w:r>
      <w:r w:rsidR="00A56C0F">
        <w:t xml:space="preserve"> </w:t>
      </w:r>
      <w:r w:rsidRPr="00C03A43">
        <w:t>και ο βαθμός συνέργειάς τους είναι μέτριος έως χαμηλός.</w:t>
      </w:r>
    </w:p>
    <w:p w:rsidR="00C03A43" w:rsidRPr="00C03A43" w:rsidRDefault="00C03A43" w:rsidP="00C03A43">
      <w:pPr>
        <w:pStyle w:val="Heading2"/>
        <w:rPr>
          <w:rFonts w:eastAsia="Calibri"/>
        </w:rPr>
      </w:pPr>
      <w:bookmarkStart w:id="40" w:name="_Toc529977947"/>
      <w:bookmarkStart w:id="41" w:name="_Toc529978018"/>
      <w:bookmarkStart w:id="42" w:name="_Toc529978084"/>
      <w:bookmarkStart w:id="43" w:name="_Toc6398361"/>
      <w:bookmarkStart w:id="44" w:name="_Toc14772581"/>
      <w:bookmarkStart w:id="45" w:name="_Toc22645120"/>
      <w:r w:rsidRPr="00C03A43">
        <w:rPr>
          <w:rFonts w:eastAsia="Calibri"/>
        </w:rPr>
        <w:t>Το Επιχειρησιακό Πρόγραμμα «Ανάπτυξη Ανθρώπινου Δυναμικού Εκπαίδευση και Δια Βίου Μάθηση» (ΕΠ ΑΝΑΔ ΕΔΒΜ)</w:t>
      </w:r>
      <w:bookmarkEnd w:id="40"/>
      <w:bookmarkEnd w:id="41"/>
      <w:bookmarkEnd w:id="42"/>
      <w:bookmarkEnd w:id="43"/>
      <w:bookmarkEnd w:id="44"/>
      <w:bookmarkEnd w:id="45"/>
      <w:r w:rsidRPr="00C03A43">
        <w:rPr>
          <w:rFonts w:eastAsia="Calibri"/>
        </w:rPr>
        <w:t xml:space="preserve"> </w:t>
      </w:r>
    </w:p>
    <w:p w:rsidR="00C03A43" w:rsidRPr="00C03A43" w:rsidRDefault="00C03A43" w:rsidP="00C03A43">
      <w:bookmarkStart w:id="46" w:name="_Hlk21694585"/>
      <w:r w:rsidRPr="00C03A43">
        <w:t>Το Ίδρυμα Κρατικών Υποτροφιών</w:t>
      </w:r>
      <w:r w:rsidR="00BE021C">
        <w:t xml:space="preserve"> (ΙΚΥ)</w:t>
      </w:r>
      <w:r w:rsidRPr="00C03A43">
        <w:t>, στο πλαίσιο του Επιχειρησιακού Προγράμματος «Ανάπτυξη Ανθρώπινου Δυναμικού, Εκπαίδευση και Δια Βίου Μάθηση» (ΕΣΠΑ 2014-2020) με άξονες προτεραιότητας 6, 8, 9, οι οποίοι συγχρηματοδοτούνται από το Ευρωπαϊκό Κοινωνικό Ταμείο, υλοποιεί κύκλους προγραμμάτων υποτροφιών σε τρεις (3) επιστημονικούς τομείς, με σκοπό την εκπόνηση διδακτορικής διατριβής και μεταδιδακτορικής έρευνας στην Ελλάδα</w:t>
      </w:r>
    </w:p>
    <w:p w:rsidR="00C03A43" w:rsidRPr="00C03A43" w:rsidRDefault="00C03A43" w:rsidP="00C03A43">
      <w:r w:rsidRPr="00C03A43">
        <w:t xml:space="preserve">Κύριοι στόχοι των δράσεων είναι: </w:t>
      </w:r>
    </w:p>
    <w:p w:rsidR="00C03A43" w:rsidRPr="00C03A43" w:rsidRDefault="00C03A43" w:rsidP="00C03A43">
      <w:pPr>
        <w:numPr>
          <w:ilvl w:val="0"/>
          <w:numId w:val="27"/>
        </w:numPr>
        <w:contextualSpacing/>
      </w:pPr>
      <w:r w:rsidRPr="00C03A43">
        <w:t>Η ενίσχυση νέων ερευνητών και η παραγωγή υψηλών ερευνητικών αποτελεσμάτων μέσω της διδακτορικής έρευνας με κριτήριο επιλογής την επιστημονική επάρκεια των υποβληθεισών προτάσεων (Ενίσχυση του ανθρώπινου ερευνητικού δυναμικού μέσω της υλοποίησης διδακτορικής έρευνας)</w:t>
      </w:r>
    </w:p>
    <w:p w:rsidR="00C03A43" w:rsidRPr="00C03A43" w:rsidRDefault="00C03A43" w:rsidP="00C03A43">
      <w:pPr>
        <w:numPr>
          <w:ilvl w:val="0"/>
          <w:numId w:val="27"/>
        </w:numPr>
        <w:contextualSpacing/>
      </w:pPr>
      <w:r w:rsidRPr="00C03A43">
        <w:t>Η οικονομική ενίσχυση ανδρών και γυναικών για την υλοποίηση της μεταδιδακτορικής έρευνας σε Ανώτατα Εκπαιδευτικά Ιδρύματα και Ερευνητικά Κέντρα (Ενίσχυση μεταδιδακτόρων ερευνητών/τριών)</w:t>
      </w:r>
    </w:p>
    <w:p w:rsidR="00C03A43" w:rsidRPr="00C03A43" w:rsidRDefault="00C03A43" w:rsidP="00C03A43">
      <w:r w:rsidRPr="00C03A43">
        <w:t>Οι Επιστημονικοί Τομείς είναι οι:</w:t>
      </w:r>
    </w:p>
    <w:p w:rsidR="00C03A43" w:rsidRPr="00C03A43" w:rsidRDefault="00C03A43" w:rsidP="00C03A43">
      <w:pPr>
        <w:numPr>
          <w:ilvl w:val="0"/>
          <w:numId w:val="26"/>
        </w:numPr>
        <w:contextualSpacing/>
      </w:pPr>
      <w:r w:rsidRPr="00C03A43">
        <w:t>Φυσικές Επιστήμες και Επιστήμες Μηχανικού.</w:t>
      </w:r>
    </w:p>
    <w:p w:rsidR="00C03A43" w:rsidRPr="00C03A43" w:rsidRDefault="00C03A43" w:rsidP="00C03A43">
      <w:pPr>
        <w:numPr>
          <w:ilvl w:val="0"/>
          <w:numId w:val="26"/>
        </w:numPr>
        <w:contextualSpacing/>
      </w:pPr>
      <w:r w:rsidRPr="00C03A43">
        <w:t>Επιστήμες Ζωής.</w:t>
      </w:r>
    </w:p>
    <w:p w:rsidR="00C03A43" w:rsidRPr="00C03A43" w:rsidRDefault="00C03A43" w:rsidP="00C03A43">
      <w:pPr>
        <w:numPr>
          <w:ilvl w:val="0"/>
          <w:numId w:val="26"/>
        </w:numPr>
        <w:contextualSpacing/>
      </w:pPr>
      <w:r w:rsidRPr="00C03A43">
        <w:t>Κοινωνικές και Ανθρωπιστικές Επιστήμες</w:t>
      </w:r>
    </w:p>
    <w:p w:rsidR="00C03A43" w:rsidRPr="00C03A43" w:rsidRDefault="00C03A43" w:rsidP="00C03A43">
      <w:pPr>
        <w:pStyle w:val="Heading3"/>
        <w:rPr>
          <w:rFonts w:eastAsia="Calibri"/>
        </w:rPr>
      </w:pPr>
      <w:bookmarkStart w:id="47" w:name="_Toc6924548"/>
      <w:bookmarkStart w:id="48" w:name="_Toc22645121"/>
      <w:bookmarkEnd w:id="46"/>
      <w:r w:rsidRPr="00C03A43">
        <w:rPr>
          <w:rFonts w:eastAsia="Calibri"/>
        </w:rPr>
        <w:t>Ενίσχυση του ανθρώπινου ερευνητικού δυναμικού μέσω της υλοποίησης διδακτορικής έρευνας</w:t>
      </w:r>
      <w:bookmarkEnd w:id="47"/>
      <w:bookmarkEnd w:id="48"/>
    </w:p>
    <w:p w:rsidR="00C03A43" w:rsidRPr="00C03A43" w:rsidRDefault="00C03A43" w:rsidP="00C03A43">
      <w:r w:rsidRPr="00C03A43">
        <w:t>Η παρούσα Δράση υλοποιείται σε κύκλους (υπο-) προγραμμάτων υποτροφιών σε τρεις (3) επιστημονικούς τομείς, με σκοπό την εκπόνηση διδακτορικής διατριβής στην Ελλάδα. Μέχρι τον Δεκέμβρ</w:t>
      </w:r>
      <w:r w:rsidR="006232F0">
        <w:t>ιο</w:t>
      </w:r>
      <w:r w:rsidRPr="00C03A43">
        <w:t xml:space="preserve"> του 2017</w:t>
      </w:r>
      <w:r w:rsidR="003A7BEE">
        <w:t xml:space="preserve"> και στο </w:t>
      </w:r>
      <w:r w:rsidR="003A7BEE" w:rsidRPr="00C03A43">
        <w:t>πλαίσιο της παρούσας δράσης</w:t>
      </w:r>
      <w:r w:rsidRPr="00C03A43">
        <w:t xml:space="preserve"> έχουν υλοποιηθεί δύο υπο-προγράμματα:</w:t>
      </w:r>
    </w:p>
    <w:p w:rsidR="00C03A43" w:rsidRPr="001B2DD1" w:rsidRDefault="007A14D4" w:rsidP="001B2DD1">
      <w:pPr>
        <w:pStyle w:val="ListParagraph"/>
      </w:pPr>
      <w:r w:rsidRPr="007A14D4">
        <w:rPr>
          <w:b/>
          <w:bCs/>
        </w:rPr>
        <w:t>Ενίσχυση του ανθρώπινου ερευνητικού δυναμικού μέσω της υλοποίησης διδακτορικής έρευνας</w:t>
      </w:r>
      <w:r w:rsidR="00C03A43" w:rsidRPr="007A14D4">
        <w:rPr>
          <w:b/>
          <w:bCs/>
        </w:rPr>
        <w:t xml:space="preserve"> </w:t>
      </w:r>
      <w:r w:rsidR="003A7BEE">
        <w:rPr>
          <w:b/>
          <w:bCs/>
        </w:rPr>
        <w:t xml:space="preserve">- </w:t>
      </w:r>
      <w:r w:rsidR="00C03A43" w:rsidRPr="007A14D4">
        <w:rPr>
          <w:b/>
          <w:bCs/>
        </w:rPr>
        <w:t>1</w:t>
      </w:r>
      <w:r w:rsidR="00C03A43" w:rsidRPr="003A7BEE">
        <w:rPr>
          <w:b/>
          <w:bCs/>
          <w:vertAlign w:val="superscript"/>
        </w:rPr>
        <w:t>ος</w:t>
      </w:r>
      <w:r w:rsidR="003A7BEE">
        <w:rPr>
          <w:b/>
          <w:bCs/>
        </w:rPr>
        <w:t xml:space="preserve"> </w:t>
      </w:r>
      <w:r w:rsidR="00C03A43" w:rsidRPr="007A14D4">
        <w:rPr>
          <w:b/>
          <w:bCs/>
        </w:rPr>
        <w:t>Κ</w:t>
      </w:r>
      <w:r w:rsidRPr="007A14D4">
        <w:rPr>
          <w:b/>
          <w:bCs/>
        </w:rPr>
        <w:t>ύκλος</w:t>
      </w:r>
      <w:r w:rsidR="006232F0">
        <w:t xml:space="preserve"> (</w:t>
      </w:r>
      <w:r w:rsidR="00C03A43" w:rsidRPr="001B2DD1">
        <w:t>Ι</w:t>
      </w:r>
      <w:r>
        <w:t>ούλιος 20</w:t>
      </w:r>
      <w:r w:rsidR="00C03A43" w:rsidRPr="001B2DD1">
        <w:t>16</w:t>
      </w:r>
      <w:r w:rsidR="006232F0">
        <w:t>)</w:t>
      </w:r>
      <w:r w:rsidR="00C03A43" w:rsidRPr="001B2DD1">
        <w:t xml:space="preserve">. </w:t>
      </w:r>
      <w:r w:rsidR="006232F0">
        <w:t xml:space="preserve">Αφορά σε </w:t>
      </w:r>
      <w:r w:rsidR="00C03A43" w:rsidRPr="001B2DD1">
        <w:t>υποψήφιους διδάκτορες για τους οποίους δεν έχει παρέλθει χρονικό διάστημα μεγαλύτερο των δεκαοκτώ (18) μηνών από την ημερομηνία ορισμού της τριμελούς συμβουλευτικής επιτροπής του/της υποψήφιου/ας διδάκτορα μέχρι την καταληκτική ημερομηνία ηλεκτρονικής υποβολής των αιτήσεων (15/8/2016)</w:t>
      </w:r>
    </w:p>
    <w:p w:rsidR="00C03A43" w:rsidRPr="00C03A43" w:rsidRDefault="00C03A43" w:rsidP="001B2DD1">
      <w:pPr>
        <w:pStyle w:val="ListParagraph"/>
      </w:pPr>
      <w:r w:rsidRPr="00C03A43">
        <w:tab/>
      </w:r>
      <w:r w:rsidR="007A14D4">
        <w:rPr>
          <w:b/>
          <w:bCs/>
        </w:rPr>
        <w:t xml:space="preserve">Πρόγραμμα χορήγησης υποτροφιών για μεταπτυχιακές σπουδές δεύτερου κύκλου σπουδών. </w:t>
      </w:r>
      <w:r w:rsidR="007A14D4">
        <w:t>Α</w:t>
      </w:r>
      <w:r w:rsidRPr="00C03A43">
        <w:t xml:space="preserve">φορά </w:t>
      </w:r>
      <w:r w:rsidR="006232F0">
        <w:t xml:space="preserve">σε </w:t>
      </w:r>
      <w:r w:rsidRPr="00C03A43">
        <w:t>υποψήφιους διδάκτορες για τους οποίους έχει γίνει ορισμός τριμελούς συμβουλευτικής επιτροπής σε χρόνο μεγαλύτερο από 18 μήνες και μικρότερο από 36 μήνες από την καταληκτική ημερομηνία ηλεκτρονικής υποβολής των αιτήσεων (15/5/2017)</w:t>
      </w:r>
      <w:r w:rsidR="003A7BEE">
        <w:t>, δ</w:t>
      </w:r>
      <w:r w:rsidRPr="00C03A43">
        <w:t xml:space="preserve">ηλαδή </w:t>
      </w:r>
      <w:r w:rsidR="006232F0">
        <w:t xml:space="preserve">ο </w:t>
      </w:r>
      <w:r w:rsidRPr="00C03A43">
        <w:t>ορισμός της τριμελούς συμβουλευτικής επιτροπής πρέπει να έχει γίνει από 1/7/2013 έως 10/1/2015.</w:t>
      </w:r>
    </w:p>
    <w:p w:rsidR="00C03A43" w:rsidRPr="00C03A43" w:rsidRDefault="00C03A43" w:rsidP="00BE021C">
      <w:pPr>
        <w:pStyle w:val="Heading4"/>
        <w:rPr>
          <w:rFonts w:eastAsia="Calibri"/>
        </w:rPr>
      </w:pPr>
      <w:bookmarkStart w:id="49" w:name="_Toc6924549"/>
      <w:bookmarkStart w:id="50" w:name="_Toc22645122"/>
      <w:bookmarkStart w:id="51" w:name="_Toc14772582"/>
      <w:r w:rsidRPr="00C03A43">
        <w:rPr>
          <w:rFonts w:eastAsia="Calibri"/>
        </w:rPr>
        <w:t xml:space="preserve">Ενίσχυση του </w:t>
      </w:r>
      <w:r w:rsidR="006232F0">
        <w:rPr>
          <w:rFonts w:eastAsia="Calibri"/>
        </w:rPr>
        <w:t>α</w:t>
      </w:r>
      <w:r w:rsidRPr="00C03A43">
        <w:rPr>
          <w:rFonts w:eastAsia="Calibri"/>
        </w:rPr>
        <w:t xml:space="preserve">νθρώπινου </w:t>
      </w:r>
      <w:r w:rsidR="006232F0">
        <w:rPr>
          <w:rFonts w:eastAsia="Calibri"/>
        </w:rPr>
        <w:t>ε</w:t>
      </w:r>
      <w:r w:rsidRPr="00C03A43">
        <w:rPr>
          <w:rFonts w:eastAsia="Calibri"/>
        </w:rPr>
        <w:t xml:space="preserve">ρευνητικού </w:t>
      </w:r>
      <w:r w:rsidR="006232F0">
        <w:rPr>
          <w:rFonts w:eastAsia="Calibri"/>
        </w:rPr>
        <w:t>δ</w:t>
      </w:r>
      <w:r w:rsidRPr="00C03A43">
        <w:rPr>
          <w:rFonts w:eastAsia="Calibri"/>
        </w:rPr>
        <w:t xml:space="preserve">υναμικού μέσω της </w:t>
      </w:r>
      <w:r w:rsidR="006232F0">
        <w:rPr>
          <w:rFonts w:eastAsia="Calibri"/>
        </w:rPr>
        <w:t>υ</w:t>
      </w:r>
      <w:r w:rsidRPr="00C03A43">
        <w:rPr>
          <w:rFonts w:eastAsia="Calibri"/>
        </w:rPr>
        <w:t xml:space="preserve">λοποίησης </w:t>
      </w:r>
      <w:r w:rsidR="006232F0">
        <w:rPr>
          <w:rFonts w:eastAsia="Calibri"/>
        </w:rPr>
        <w:t>δ</w:t>
      </w:r>
      <w:r w:rsidRPr="00C03A43">
        <w:rPr>
          <w:rFonts w:eastAsia="Calibri"/>
        </w:rPr>
        <w:t xml:space="preserve">ιδακτορικής </w:t>
      </w:r>
      <w:r w:rsidR="006232F0">
        <w:rPr>
          <w:rFonts w:eastAsia="Calibri"/>
        </w:rPr>
        <w:t>έ</w:t>
      </w:r>
      <w:r w:rsidRPr="00C03A43">
        <w:rPr>
          <w:rFonts w:eastAsia="Calibri"/>
        </w:rPr>
        <w:t>ρευνας 1ος Κ</w:t>
      </w:r>
      <w:r w:rsidR="006232F0">
        <w:rPr>
          <w:rFonts w:eastAsia="Calibri"/>
        </w:rPr>
        <w:t>ύκλος</w:t>
      </w:r>
      <w:bookmarkEnd w:id="49"/>
      <w:bookmarkEnd w:id="50"/>
    </w:p>
    <w:p w:rsidR="00C03A43" w:rsidRPr="00C03A43" w:rsidRDefault="00C03A43" w:rsidP="00C03A43">
      <w:r w:rsidRPr="00C03A43">
        <w:t>Στον 1</w:t>
      </w:r>
      <w:r w:rsidRPr="00C03A43">
        <w:rPr>
          <w:vertAlign w:val="superscript"/>
        </w:rPr>
        <w:t>ο</w:t>
      </w:r>
      <w:r w:rsidRPr="00C03A43">
        <w:t xml:space="preserve"> Κύκλο της παρούσας Δράσης που έλαβε χώρα τον Ιούλιο του 2016, υπεβλήθηκαν συνολικά 1</w:t>
      </w:r>
      <w:r w:rsidR="003A7BEE">
        <w:t>.</w:t>
      </w:r>
      <w:r w:rsidRPr="00C03A43">
        <w:t>286 έγκυρες αιτήσεις στους τρεις επιστημονικούς τομείς εκ των οποίων 211 επιλέχθηκαν για χρηματοδότηση.</w:t>
      </w:r>
    </w:p>
    <w:p w:rsidR="00C03A43" w:rsidRPr="00C03A43" w:rsidRDefault="003A7BEE" w:rsidP="00C03A43">
      <w:r>
        <w:lastRenderedPageBreak/>
        <w:t>Σ</w:t>
      </w:r>
      <w:r w:rsidR="00C03A43" w:rsidRPr="00C03A43">
        <w:t>τον παρακάτω πίνακα παρουσιάζεται η συνολική εικόνα ανά επιστημονικό τομέα και κλάδο του 1</w:t>
      </w:r>
      <w:r w:rsidR="00C03A43" w:rsidRPr="00C03A43">
        <w:rPr>
          <w:vertAlign w:val="superscript"/>
        </w:rPr>
        <w:t>ου</w:t>
      </w:r>
      <w:r w:rsidR="00C03A43" w:rsidRPr="00C03A43">
        <w:t xml:space="preserve"> κύκλου του  προγράμματος "Ενίσχυση του ανθρώπινου ερευνητικού δυναμικού μέσω της υλοποίησης διδακτορικής έρευνας":</w:t>
      </w:r>
    </w:p>
    <w:p w:rsidR="00C03A43" w:rsidRPr="00C03A43" w:rsidRDefault="00C03A43" w:rsidP="00C03A43"/>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bookmarkStart w:id="52" w:name="_Toc6924875"/>
      <w:r w:rsidRPr="00C03A43">
        <w:rPr>
          <w:rFonts w:asciiTheme="minorHAnsi" w:eastAsiaTheme="minorHAnsi" w:hAnsiTheme="minorHAnsi" w:cstheme="minorBidi"/>
          <w:b/>
          <w:iCs/>
          <w:sz w:val="16"/>
          <w:szCs w:val="18"/>
        </w:rPr>
        <w:t xml:space="preserve">Πίνακας </w:t>
      </w:r>
      <w:r w:rsidR="00F864D4">
        <w:rPr>
          <w:rFonts w:asciiTheme="minorHAnsi" w:eastAsiaTheme="minorHAnsi" w:hAnsiTheme="minorHAnsi" w:cstheme="minorBidi"/>
          <w:b/>
          <w:iCs/>
          <w:sz w:val="16"/>
          <w:szCs w:val="18"/>
        </w:rPr>
        <w:t>4</w:t>
      </w:r>
      <w:r w:rsidR="00F864D4">
        <w:rPr>
          <w:rFonts w:asciiTheme="minorHAnsi" w:eastAsiaTheme="minorHAnsi" w:hAnsiTheme="minorHAnsi" w:cstheme="minorBidi"/>
          <w:b/>
          <w:iCs/>
          <w:noProof/>
          <w:sz w:val="16"/>
          <w:szCs w:val="18"/>
        </w:rPr>
        <w:t>-1</w:t>
      </w:r>
      <w:r w:rsidRPr="00C03A43">
        <w:rPr>
          <w:rFonts w:asciiTheme="minorHAnsi" w:eastAsiaTheme="minorHAnsi" w:hAnsiTheme="minorHAnsi" w:cstheme="minorBidi"/>
          <w:b/>
          <w:iCs/>
          <w:sz w:val="16"/>
          <w:szCs w:val="18"/>
        </w:rPr>
        <w:t>: Συνολική εικόνα υποψηφίων του 1</w:t>
      </w:r>
      <w:r w:rsidRPr="00C03A43">
        <w:rPr>
          <w:rFonts w:asciiTheme="minorHAnsi" w:eastAsiaTheme="minorHAnsi" w:hAnsiTheme="minorHAnsi" w:cstheme="minorBidi"/>
          <w:b/>
          <w:iCs/>
          <w:sz w:val="16"/>
          <w:szCs w:val="18"/>
          <w:vertAlign w:val="superscript"/>
        </w:rPr>
        <w:t>ου</w:t>
      </w:r>
      <w:r w:rsidRPr="00C03A43">
        <w:rPr>
          <w:rFonts w:asciiTheme="minorHAnsi" w:eastAsiaTheme="minorHAnsi" w:hAnsiTheme="minorHAnsi" w:cstheme="minorBidi"/>
          <w:b/>
          <w:iCs/>
          <w:sz w:val="16"/>
          <w:szCs w:val="18"/>
        </w:rPr>
        <w:t xml:space="preserve"> κύκλου του  προγράμματος "Ενίσχυση του ανθρώπινου ερευνητικού δυναμικού μέσω της υλοποίησης διδακτορικής έρευνας" ανά επιστημονικό τομέα και κλάδο</w:t>
      </w:r>
      <w:bookmarkEnd w:id="52"/>
    </w:p>
    <w:tbl>
      <w:tblPr>
        <w:tblW w:w="5000" w:type="pct"/>
        <w:tblLayout w:type="fixed"/>
        <w:tblLook w:val="04A0" w:firstRow="1" w:lastRow="0" w:firstColumn="1" w:lastColumn="0" w:noHBand="0" w:noVBand="1"/>
      </w:tblPr>
      <w:tblGrid>
        <w:gridCol w:w="1563"/>
        <w:gridCol w:w="1498"/>
        <w:gridCol w:w="1248"/>
        <w:gridCol w:w="1315"/>
        <w:gridCol w:w="1573"/>
        <w:gridCol w:w="1279"/>
        <w:gridCol w:w="1152"/>
      </w:tblGrid>
      <w:tr w:rsidR="001B2DD1" w:rsidRPr="00C03A43" w:rsidTr="001B2DD1">
        <w:trPr>
          <w:trHeight w:val="315"/>
        </w:trPr>
        <w:tc>
          <w:tcPr>
            <w:tcW w:w="812" w:type="pct"/>
            <w:tcBorders>
              <w:top w:val="nil"/>
              <w:left w:val="nil"/>
              <w:bottom w:val="single" w:sz="8" w:space="0" w:color="8EA9DB"/>
              <w:right w:val="nil"/>
            </w:tcBorders>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 xml:space="preserve">ΕΠΙΣΤΗΜΟΝΙΚΟΣ ΤΟΜΕΑΣ </w:t>
            </w:r>
          </w:p>
        </w:tc>
        <w:tc>
          <w:tcPr>
            <w:tcW w:w="777" w:type="pct"/>
            <w:tcBorders>
              <w:top w:val="nil"/>
              <w:left w:val="nil"/>
              <w:bottom w:val="single" w:sz="8" w:space="0" w:color="8EA9DB"/>
              <w:right w:val="nil"/>
            </w:tcBorders>
            <w:noWrap/>
            <w:vAlign w:val="center"/>
            <w:hideMark/>
          </w:tcPr>
          <w:p w:rsidR="00C03A43" w:rsidRPr="00C03A43" w:rsidRDefault="00C03A43" w:rsidP="00C03A43">
            <w:pPr>
              <w:spacing w:line="240" w:lineRule="auto"/>
              <w:jc w:val="left"/>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ΚΛΑΔΟΣ</w:t>
            </w:r>
          </w:p>
        </w:tc>
        <w:tc>
          <w:tcPr>
            <w:tcW w:w="648"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ΕΠΙΛΕΓΕΝΤΕΣ</w:t>
            </w:r>
          </w:p>
        </w:tc>
        <w:tc>
          <w:tcPr>
            <w:tcW w:w="683"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ΕΠΙΛΑΧΟΝΤΕΣ</w:t>
            </w:r>
          </w:p>
        </w:tc>
        <w:tc>
          <w:tcPr>
            <w:tcW w:w="817"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ΑΠΟΡΡΙΦΘΕΝΤΕΣ</w:t>
            </w:r>
          </w:p>
        </w:tc>
        <w:tc>
          <w:tcPr>
            <w:tcW w:w="664"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ΣΥΝΟΛΟ ΥΠΟΨΗΦΙΩΝ</w:t>
            </w:r>
          </w:p>
        </w:tc>
        <w:tc>
          <w:tcPr>
            <w:tcW w:w="598"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ΠΟΣΟΣΟΤΟ ΕΠΙΤΥΧΙΑΣ</w:t>
            </w:r>
          </w:p>
        </w:tc>
      </w:tr>
      <w:tr w:rsidR="001B2DD1" w:rsidRPr="00C03A43" w:rsidTr="001B2DD1">
        <w:trPr>
          <w:trHeight w:val="600"/>
        </w:trPr>
        <w:tc>
          <w:tcPr>
            <w:tcW w:w="81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ΖΩΗΣ»</w:t>
            </w:r>
          </w:p>
        </w:tc>
        <w:tc>
          <w:tcPr>
            <w:tcW w:w="777"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«ΙΑΤΡΙΚΗ ΚΑΙ ΕΠΙΣΤΗΜΕΣ ΥΓΕΙΑΣ»</w:t>
            </w:r>
          </w:p>
        </w:tc>
        <w:tc>
          <w:tcPr>
            <w:tcW w:w="64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50</w:t>
            </w:r>
          </w:p>
        </w:tc>
        <w:tc>
          <w:tcPr>
            <w:tcW w:w="683"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192</w:t>
            </w:r>
          </w:p>
        </w:tc>
        <w:tc>
          <w:tcPr>
            <w:tcW w:w="817"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664"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244</w:t>
            </w:r>
          </w:p>
        </w:tc>
        <w:tc>
          <w:tcPr>
            <w:tcW w:w="59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20%</w:t>
            </w:r>
          </w:p>
        </w:tc>
      </w:tr>
      <w:tr w:rsidR="001B2DD1" w:rsidRPr="00C03A43" w:rsidTr="001B2DD1">
        <w:trPr>
          <w:trHeight w:val="300"/>
        </w:trPr>
        <w:tc>
          <w:tcPr>
            <w:tcW w:w="812" w:type="pct"/>
            <w:vMerge w:val="restart"/>
            <w:shd w:val="clear" w:color="auto" w:fill="DBDBDB"/>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ΚΑΙ ΑΝΘΡΩΠΙΣΤΙΚΕΣ ΕΠΙΣΤΗΜΕΣ»</w:t>
            </w:r>
          </w:p>
        </w:tc>
        <w:tc>
          <w:tcPr>
            <w:tcW w:w="777"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«ΑΝΘΡΩΠΙΣΤΙΚΕΣ ΕΠΙΣΤΗΜΕΣ»</w:t>
            </w:r>
          </w:p>
        </w:tc>
        <w:tc>
          <w:tcPr>
            <w:tcW w:w="64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34</w:t>
            </w:r>
          </w:p>
        </w:tc>
        <w:tc>
          <w:tcPr>
            <w:tcW w:w="683"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150</w:t>
            </w:r>
          </w:p>
        </w:tc>
        <w:tc>
          <w:tcPr>
            <w:tcW w:w="817"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w:t>
            </w:r>
          </w:p>
        </w:tc>
        <w:tc>
          <w:tcPr>
            <w:tcW w:w="664"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189</w:t>
            </w:r>
          </w:p>
        </w:tc>
        <w:tc>
          <w:tcPr>
            <w:tcW w:w="59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18%</w:t>
            </w:r>
          </w:p>
        </w:tc>
      </w:tr>
      <w:tr w:rsidR="001B2DD1" w:rsidRPr="00C03A43" w:rsidTr="001B2DD1">
        <w:trPr>
          <w:trHeight w:val="300"/>
        </w:trPr>
        <w:tc>
          <w:tcPr>
            <w:tcW w:w="812"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7"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ΕΠΙΣΤΗΜΕΣ»</w:t>
            </w:r>
          </w:p>
        </w:tc>
        <w:tc>
          <w:tcPr>
            <w:tcW w:w="64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36</w:t>
            </w:r>
          </w:p>
        </w:tc>
        <w:tc>
          <w:tcPr>
            <w:tcW w:w="683"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137</w:t>
            </w:r>
          </w:p>
        </w:tc>
        <w:tc>
          <w:tcPr>
            <w:tcW w:w="817"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w:t>
            </w:r>
          </w:p>
        </w:tc>
        <w:tc>
          <w:tcPr>
            <w:tcW w:w="664"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178</w:t>
            </w:r>
          </w:p>
        </w:tc>
        <w:tc>
          <w:tcPr>
            <w:tcW w:w="59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20%</w:t>
            </w:r>
          </w:p>
        </w:tc>
      </w:tr>
      <w:tr w:rsidR="001B2DD1" w:rsidRPr="00C03A43" w:rsidTr="001B2DD1">
        <w:trPr>
          <w:trHeight w:val="600"/>
        </w:trPr>
        <w:tc>
          <w:tcPr>
            <w:tcW w:w="812"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7"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«ΟΙΚΟΝΟΜΙΚΕΣ ΚΑΙ ΝΟΜΙΚΕΣ ΕΠΙΣΤΗΜΕΣ»</w:t>
            </w:r>
          </w:p>
        </w:tc>
        <w:tc>
          <w:tcPr>
            <w:tcW w:w="64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18</w:t>
            </w:r>
          </w:p>
        </w:tc>
        <w:tc>
          <w:tcPr>
            <w:tcW w:w="683"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120</w:t>
            </w:r>
          </w:p>
        </w:tc>
        <w:tc>
          <w:tcPr>
            <w:tcW w:w="817"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w:t>
            </w:r>
          </w:p>
        </w:tc>
        <w:tc>
          <w:tcPr>
            <w:tcW w:w="664"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141</w:t>
            </w:r>
          </w:p>
        </w:tc>
        <w:tc>
          <w:tcPr>
            <w:tcW w:w="59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13%</w:t>
            </w:r>
          </w:p>
        </w:tc>
      </w:tr>
      <w:tr w:rsidR="001B2DD1" w:rsidRPr="00C03A43" w:rsidTr="001B2DD1">
        <w:trPr>
          <w:trHeight w:val="300"/>
        </w:trPr>
        <w:tc>
          <w:tcPr>
            <w:tcW w:w="812" w:type="pct"/>
            <w:vMerge w:val="restart"/>
            <w:shd w:val="clear" w:color="auto" w:fill="EDEDED"/>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 ΚΑΙ ΕΠΙΣΤΗΜΕΣ ΜΗΧΑΝΙΚΟΥ»</w:t>
            </w:r>
          </w:p>
        </w:tc>
        <w:tc>
          <w:tcPr>
            <w:tcW w:w="777"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w:t>
            </w:r>
          </w:p>
        </w:tc>
        <w:tc>
          <w:tcPr>
            <w:tcW w:w="64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35</w:t>
            </w:r>
          </w:p>
        </w:tc>
        <w:tc>
          <w:tcPr>
            <w:tcW w:w="683"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207</w:t>
            </w:r>
          </w:p>
        </w:tc>
        <w:tc>
          <w:tcPr>
            <w:tcW w:w="817"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w:t>
            </w:r>
          </w:p>
        </w:tc>
        <w:tc>
          <w:tcPr>
            <w:tcW w:w="664"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247</w:t>
            </w:r>
          </w:p>
        </w:tc>
        <w:tc>
          <w:tcPr>
            <w:tcW w:w="59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14%</w:t>
            </w:r>
          </w:p>
        </w:tc>
      </w:tr>
      <w:tr w:rsidR="001B2DD1" w:rsidRPr="00C03A43" w:rsidTr="001B2DD1">
        <w:trPr>
          <w:trHeight w:val="600"/>
        </w:trPr>
        <w:tc>
          <w:tcPr>
            <w:tcW w:w="812"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7"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ΜΗΧΑΝΙΚΟΥ ΚΑΙ ΤΕΧΝΟΛΟΓΙΑ»</w:t>
            </w:r>
          </w:p>
        </w:tc>
        <w:tc>
          <w:tcPr>
            <w:tcW w:w="64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31</w:t>
            </w:r>
          </w:p>
        </w:tc>
        <w:tc>
          <w:tcPr>
            <w:tcW w:w="683"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187</w:t>
            </w:r>
          </w:p>
        </w:tc>
        <w:tc>
          <w:tcPr>
            <w:tcW w:w="817"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w:t>
            </w:r>
          </w:p>
        </w:tc>
        <w:tc>
          <w:tcPr>
            <w:tcW w:w="664"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219</w:t>
            </w:r>
          </w:p>
        </w:tc>
        <w:tc>
          <w:tcPr>
            <w:tcW w:w="59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14%</w:t>
            </w:r>
          </w:p>
        </w:tc>
      </w:tr>
      <w:tr w:rsidR="001B2DD1" w:rsidRPr="00C03A43" w:rsidTr="001B2DD1">
        <w:trPr>
          <w:trHeight w:val="300"/>
        </w:trPr>
        <w:tc>
          <w:tcPr>
            <w:tcW w:w="812"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7"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«ΓΕΩΡΓΙΚΕΣ ΕΠΙΣΤΗΜΕΣ»</w:t>
            </w:r>
          </w:p>
        </w:tc>
        <w:tc>
          <w:tcPr>
            <w:tcW w:w="64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7</w:t>
            </w:r>
          </w:p>
        </w:tc>
        <w:tc>
          <w:tcPr>
            <w:tcW w:w="683"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61</w:t>
            </w:r>
          </w:p>
        </w:tc>
        <w:tc>
          <w:tcPr>
            <w:tcW w:w="817"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64"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68</w:t>
            </w:r>
          </w:p>
        </w:tc>
        <w:tc>
          <w:tcPr>
            <w:tcW w:w="59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10%</w:t>
            </w:r>
          </w:p>
        </w:tc>
      </w:tr>
      <w:tr w:rsidR="001B2DD1" w:rsidRPr="00C03A43" w:rsidTr="001B2DD1">
        <w:trPr>
          <w:trHeight w:val="315"/>
        </w:trPr>
        <w:tc>
          <w:tcPr>
            <w:tcW w:w="1590" w:type="pct"/>
            <w:gridSpan w:val="2"/>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right"/>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ΣΥΝΟΛΟ</w:t>
            </w:r>
          </w:p>
        </w:tc>
        <w:tc>
          <w:tcPr>
            <w:tcW w:w="648"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211</w:t>
            </w:r>
          </w:p>
        </w:tc>
        <w:tc>
          <w:tcPr>
            <w:tcW w:w="683"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w:t>
            </w:r>
            <w:r w:rsidR="00BE021C">
              <w:rPr>
                <w:rFonts w:ascii="Calibri" w:eastAsia="Times New Roman" w:hAnsi="Calibri" w:cs="Calibri"/>
                <w:b/>
                <w:bCs/>
                <w:color w:val="000000"/>
                <w:szCs w:val="18"/>
                <w:lang w:eastAsia="el-GR"/>
              </w:rPr>
              <w:t>.</w:t>
            </w:r>
            <w:r w:rsidRPr="00C03A43">
              <w:rPr>
                <w:rFonts w:ascii="Calibri" w:eastAsia="Times New Roman" w:hAnsi="Calibri" w:cs="Calibri"/>
                <w:b/>
                <w:bCs/>
                <w:color w:val="000000"/>
                <w:szCs w:val="18"/>
                <w:lang w:eastAsia="el-GR"/>
              </w:rPr>
              <w:t>054</w:t>
            </w:r>
          </w:p>
        </w:tc>
        <w:tc>
          <w:tcPr>
            <w:tcW w:w="817"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21</w:t>
            </w:r>
          </w:p>
        </w:tc>
        <w:tc>
          <w:tcPr>
            <w:tcW w:w="664"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w:t>
            </w:r>
            <w:r w:rsidR="00BE021C">
              <w:rPr>
                <w:rFonts w:ascii="Calibri" w:eastAsia="Times New Roman" w:hAnsi="Calibri" w:cs="Calibri"/>
                <w:b/>
                <w:bCs/>
                <w:color w:val="000000"/>
                <w:szCs w:val="18"/>
                <w:lang w:eastAsia="el-GR"/>
              </w:rPr>
              <w:t>.</w:t>
            </w:r>
            <w:r w:rsidRPr="00C03A43">
              <w:rPr>
                <w:rFonts w:ascii="Calibri" w:eastAsia="Times New Roman" w:hAnsi="Calibri" w:cs="Calibri"/>
                <w:b/>
                <w:bCs/>
                <w:color w:val="000000"/>
                <w:szCs w:val="18"/>
                <w:lang w:eastAsia="el-GR"/>
              </w:rPr>
              <w:t>286</w:t>
            </w:r>
          </w:p>
        </w:tc>
        <w:tc>
          <w:tcPr>
            <w:tcW w:w="598" w:type="pct"/>
            <w:noWrap/>
            <w:vAlign w:val="center"/>
            <w:hideMark/>
          </w:tcPr>
          <w:p w:rsidR="00C03A43" w:rsidRPr="00C03A43" w:rsidRDefault="00C03A43" w:rsidP="00C03A43">
            <w:pPr>
              <w:rPr>
                <w:rFonts w:ascii="Calibri" w:eastAsia="Times New Roman" w:hAnsi="Calibri" w:cs="Calibri"/>
                <w:b/>
                <w:bCs/>
                <w:color w:val="000000"/>
                <w:szCs w:val="18"/>
                <w:lang w:eastAsia="el-GR"/>
              </w:rPr>
            </w:pPr>
          </w:p>
        </w:tc>
      </w:tr>
    </w:tbl>
    <w:p w:rsidR="00C03A43" w:rsidRPr="00C03A43" w:rsidRDefault="00C03A43" w:rsidP="00C03A43">
      <w:pPr>
        <w:rPr>
          <w:rFonts w:asciiTheme="minorHAnsi" w:hAnsiTheme="minorHAnsi" w:cstheme="minorBidi"/>
          <w:color w:val="231F20"/>
          <w:sz w:val="21"/>
          <w:szCs w:val="21"/>
        </w:rPr>
      </w:pPr>
    </w:p>
    <w:p w:rsidR="00C03A43" w:rsidRPr="00C03A43" w:rsidRDefault="00C03A43" w:rsidP="00C03A43">
      <w:r w:rsidRPr="00C03A43">
        <w:t>Από τον παραπάνω πίνακα φαίνεται ότι η διδακτορική έρευνα έχει μεγαλύτερη ζήτηση στους κλάδους:</w:t>
      </w:r>
    </w:p>
    <w:p w:rsidR="00C03A43" w:rsidRPr="00C03A43" w:rsidRDefault="00C03A43" w:rsidP="002B247F">
      <w:pPr>
        <w:numPr>
          <w:ilvl w:val="0"/>
          <w:numId w:val="34"/>
        </w:numPr>
        <w:spacing w:before="0" w:after="120" w:line="256" w:lineRule="auto"/>
        <w:contextualSpacing/>
      </w:pPr>
      <w:r w:rsidRPr="00C03A43">
        <w:t>«</w:t>
      </w:r>
      <w:r w:rsidR="003A7BEE">
        <w:t>Ιατρική και επιστήμες υγείας</w:t>
      </w:r>
      <w:r w:rsidRPr="00C03A43">
        <w:t>»</w:t>
      </w:r>
    </w:p>
    <w:p w:rsidR="00C03A43" w:rsidRPr="00C03A43" w:rsidRDefault="00C03A43" w:rsidP="002B247F">
      <w:pPr>
        <w:numPr>
          <w:ilvl w:val="0"/>
          <w:numId w:val="34"/>
        </w:numPr>
        <w:spacing w:before="0" w:after="120" w:line="256" w:lineRule="auto"/>
        <w:contextualSpacing/>
      </w:pPr>
      <w:r w:rsidRPr="00C03A43">
        <w:t>«</w:t>
      </w:r>
      <w:r w:rsidR="003A7BEE">
        <w:t>Φυσικές επιστήμες</w:t>
      </w:r>
      <w:r w:rsidRPr="00C03A43">
        <w:t>»</w:t>
      </w:r>
    </w:p>
    <w:p w:rsidR="00C03A43" w:rsidRPr="00C03A43" w:rsidRDefault="00C03A43" w:rsidP="002B247F">
      <w:pPr>
        <w:numPr>
          <w:ilvl w:val="0"/>
          <w:numId w:val="34"/>
        </w:numPr>
        <w:spacing w:before="0" w:after="120" w:line="256" w:lineRule="auto"/>
        <w:contextualSpacing/>
      </w:pPr>
      <w:r w:rsidRPr="00C03A43">
        <w:t>«</w:t>
      </w:r>
      <w:r w:rsidR="003A7BEE">
        <w:t>Επιστήμες μηχανικού και τεχνολογία</w:t>
      </w:r>
      <w:r w:rsidRPr="00C03A43">
        <w:t>»</w:t>
      </w:r>
    </w:p>
    <w:p w:rsidR="00C03A43" w:rsidRPr="00C03A43" w:rsidRDefault="003A7BEE" w:rsidP="00C03A43">
      <w:r>
        <w:t>Τ</w:t>
      </w:r>
      <w:r w:rsidR="00C03A43" w:rsidRPr="00C03A43">
        <w:t xml:space="preserve">ο μεγαλύτερο ποσοστό επιτυχίας συγκεντρώνουν οι υποψήφιοι του κλάδου Ιατρικής και Επιστημών Υγείας </w:t>
      </w:r>
      <w:r>
        <w:t>(</w:t>
      </w:r>
      <w:r w:rsidR="00C03A43" w:rsidRPr="00C03A43">
        <w:t>20%</w:t>
      </w:r>
      <w:r>
        <w:t>)</w:t>
      </w:r>
      <w:r w:rsidR="00C03A43" w:rsidRPr="00C03A43">
        <w:t xml:space="preserve"> και το χαμηλότερο οι υποψήφιοι του κλάδου των Γεωργικών Επιστημών (10%)</w:t>
      </w:r>
      <w:r>
        <w:t>.</w:t>
      </w:r>
    </w:p>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bookmarkStart w:id="53" w:name="_Toc6924952"/>
      <w:r w:rsidRPr="00C03A43">
        <w:rPr>
          <w:rFonts w:asciiTheme="minorHAnsi" w:eastAsiaTheme="minorHAnsi" w:hAnsiTheme="minorHAnsi" w:cstheme="minorBidi"/>
          <w:b/>
          <w:iCs/>
          <w:sz w:val="16"/>
          <w:szCs w:val="18"/>
        </w:rPr>
        <w:lastRenderedPageBreak/>
        <w:t>Διάγραμμα</w:t>
      </w:r>
      <w:r w:rsidR="00F864D4">
        <w:rPr>
          <w:rFonts w:asciiTheme="minorHAnsi" w:eastAsiaTheme="minorHAnsi" w:hAnsiTheme="minorHAnsi" w:cstheme="minorBidi"/>
          <w:b/>
          <w:iCs/>
          <w:sz w:val="16"/>
          <w:szCs w:val="18"/>
        </w:rPr>
        <w:t xml:space="preserve"> </w:t>
      </w:r>
      <w:r w:rsidR="00F864D4">
        <w:rPr>
          <w:rFonts w:asciiTheme="minorHAnsi" w:eastAsiaTheme="minorHAnsi" w:hAnsiTheme="minorHAnsi" w:cstheme="minorBidi"/>
          <w:b/>
          <w:iCs/>
          <w:noProof/>
          <w:sz w:val="16"/>
          <w:szCs w:val="18"/>
        </w:rPr>
        <w:t>4-5</w:t>
      </w:r>
      <w:r w:rsidRPr="00C03A43">
        <w:rPr>
          <w:rFonts w:asciiTheme="minorHAnsi" w:eastAsiaTheme="minorHAnsi" w:hAnsiTheme="minorHAnsi" w:cstheme="minorBidi"/>
          <w:b/>
          <w:iCs/>
          <w:sz w:val="16"/>
          <w:szCs w:val="18"/>
        </w:rPr>
        <w:t>: Σύνολο υποψηφίων διδακτόρων ανά κλάδο επιστημονικού τομέα και ποσοστό επιτυχίας αυτών</w:t>
      </w:r>
      <w:bookmarkEnd w:id="53"/>
    </w:p>
    <w:p w:rsidR="00C03A43" w:rsidRPr="00C03A43" w:rsidRDefault="00C03A43" w:rsidP="00C03A43">
      <w:pPr>
        <w:jc w:val="center"/>
      </w:pPr>
      <w:r w:rsidRPr="00C03A43">
        <w:rPr>
          <w:noProof/>
          <w:lang w:eastAsia="el-GR"/>
        </w:rPr>
        <w:drawing>
          <wp:inline distT="0" distB="0" distL="0" distR="0" wp14:anchorId="53BA07F7" wp14:editId="22D08232">
            <wp:extent cx="5972175" cy="3467100"/>
            <wp:effectExtent l="0" t="0" r="9525" b="0"/>
            <wp:docPr id="63" name="Γράφημα 53">
              <a:extLst xmlns:a="http://schemas.openxmlformats.org/drawingml/2006/main">
                <a:ext uri="{FF2B5EF4-FFF2-40B4-BE49-F238E27FC236}">
                  <a16:creationId xmlns:a16="http://schemas.microsoft.com/office/drawing/2014/main" id="{07D412DB-B4F7-46D9-B228-8D63814B68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C03A43" w:rsidRPr="00C03A43" w:rsidRDefault="00C03A43" w:rsidP="00C03A43">
      <w:pPr>
        <w:rPr>
          <w:rFonts w:asciiTheme="minorHAnsi" w:eastAsiaTheme="minorHAnsi" w:hAnsiTheme="minorHAnsi"/>
          <w:sz w:val="21"/>
        </w:rPr>
      </w:pPr>
    </w:p>
    <w:p w:rsidR="00C03A43" w:rsidRPr="00C03A43" w:rsidRDefault="00C03A43" w:rsidP="00BE021C">
      <w:pPr>
        <w:pStyle w:val="Heading4"/>
        <w:rPr>
          <w:rFonts w:eastAsia="Calibri"/>
        </w:rPr>
      </w:pPr>
      <w:bookmarkStart w:id="54" w:name="_Toc6924551"/>
      <w:bookmarkStart w:id="55" w:name="_Toc22645123"/>
      <w:r w:rsidRPr="00C03A43">
        <w:rPr>
          <w:rFonts w:eastAsia="Calibri"/>
        </w:rPr>
        <w:t>Πρόγραμμα Χορήγησης Υποτροφιών για Μεταπτυχιακές Σπουδές Δεύτερου Κύκλου Σπουδών, 18-36 Μήνες</w:t>
      </w:r>
      <w:bookmarkEnd w:id="54"/>
      <w:bookmarkEnd w:id="55"/>
    </w:p>
    <w:p w:rsidR="00C03A43" w:rsidRPr="00C03A43" w:rsidRDefault="00C03A43" w:rsidP="00C03A43">
      <w:r w:rsidRPr="00C03A43">
        <w:t>Στο παρόν υπο-πρόγραμμα, που έλαβε χώρα τον Μάιο του 2017, υπεβλήθηκαν συνολικά 370 έγκυρες αιτήσεις στους τρεις επιστημονικούς τομείς εκ των οποίων 201 επιλέχθηκαν για χρηματοδότηση.</w:t>
      </w:r>
    </w:p>
    <w:p w:rsidR="00C03A43" w:rsidRPr="00C03A43" w:rsidRDefault="003A7BEE" w:rsidP="00C03A43">
      <w:r>
        <w:t>Στον</w:t>
      </w:r>
      <w:r w:rsidR="00C03A43" w:rsidRPr="00C03A43">
        <w:t xml:space="preserve"> παρακάτω πίνακα παρουσιάζεται η συνολική εικόνα ανά επιστημονικό τομέα και κλάδο του Προγράμματος Χορήγησης Υποτροφιών για Μεταπτυχιακές Σπουδές Δεύτερου Κύκλου Σπουδών, 18-36 Μήνες</w:t>
      </w:r>
      <w:r>
        <w:t>.</w:t>
      </w:r>
    </w:p>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bookmarkStart w:id="56" w:name="_Toc6924877"/>
      <w:r w:rsidRPr="00C03A43">
        <w:rPr>
          <w:rFonts w:asciiTheme="minorHAnsi" w:eastAsiaTheme="minorHAnsi" w:hAnsiTheme="minorHAnsi" w:cstheme="minorBidi"/>
          <w:b/>
          <w:iCs/>
          <w:sz w:val="16"/>
          <w:szCs w:val="18"/>
        </w:rPr>
        <w:t xml:space="preserve">Πίνακας </w:t>
      </w:r>
      <w:r w:rsidR="00F864D4">
        <w:rPr>
          <w:rFonts w:asciiTheme="minorHAnsi" w:eastAsiaTheme="minorHAnsi" w:hAnsiTheme="minorHAnsi" w:cstheme="minorBidi"/>
          <w:b/>
          <w:iCs/>
          <w:noProof/>
          <w:sz w:val="16"/>
          <w:szCs w:val="18"/>
        </w:rPr>
        <w:t>4-2</w:t>
      </w:r>
      <w:r w:rsidRPr="00C03A43">
        <w:rPr>
          <w:rFonts w:asciiTheme="minorHAnsi" w:eastAsiaTheme="minorHAnsi" w:hAnsiTheme="minorHAnsi" w:cstheme="minorBidi"/>
          <w:b/>
          <w:iCs/>
          <w:sz w:val="16"/>
          <w:szCs w:val="18"/>
        </w:rPr>
        <w:t>: Συνολική εικόνα υποψηφίων του Προγράμματος Χορήγησης Υποτροφιών για Μεταπτυχιακές Σπουδές Δεύτερου Κύκλου Σπουδών, 18-36 Μήνες ανά επιστημονικό τομέα και κλάδο.</w:t>
      </w:r>
      <w:bookmarkEnd w:id="56"/>
    </w:p>
    <w:tbl>
      <w:tblPr>
        <w:tblW w:w="5000" w:type="pct"/>
        <w:tblLayout w:type="fixed"/>
        <w:tblLook w:val="04A0" w:firstRow="1" w:lastRow="0" w:firstColumn="1" w:lastColumn="0" w:noHBand="0" w:noVBand="1"/>
      </w:tblPr>
      <w:tblGrid>
        <w:gridCol w:w="1606"/>
        <w:gridCol w:w="1485"/>
        <w:gridCol w:w="1261"/>
        <w:gridCol w:w="1331"/>
        <w:gridCol w:w="1556"/>
        <w:gridCol w:w="1255"/>
        <w:gridCol w:w="1134"/>
      </w:tblGrid>
      <w:tr w:rsidR="00316B45" w:rsidRPr="00C03A43" w:rsidTr="00316B45">
        <w:trPr>
          <w:trHeight w:val="315"/>
          <w:tblHeader/>
        </w:trPr>
        <w:tc>
          <w:tcPr>
            <w:tcW w:w="834" w:type="pct"/>
            <w:tcBorders>
              <w:top w:val="nil"/>
              <w:left w:val="nil"/>
              <w:bottom w:val="single" w:sz="8" w:space="0" w:color="8EA9DB"/>
              <w:right w:val="nil"/>
            </w:tcBorders>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 xml:space="preserve">ΕΠΙΣΤΗΜΟΝΙΚΟΣ ΤΟΜΕΑΣ </w:t>
            </w:r>
          </w:p>
        </w:tc>
        <w:tc>
          <w:tcPr>
            <w:tcW w:w="771" w:type="pct"/>
            <w:tcBorders>
              <w:top w:val="nil"/>
              <w:left w:val="nil"/>
              <w:bottom w:val="single" w:sz="8" w:space="0" w:color="8EA9DB"/>
              <w:right w:val="nil"/>
            </w:tcBorders>
            <w:noWrap/>
            <w:vAlign w:val="center"/>
            <w:hideMark/>
          </w:tcPr>
          <w:p w:rsidR="00C03A43" w:rsidRPr="00C03A43" w:rsidRDefault="00C03A43" w:rsidP="00C03A43">
            <w:pPr>
              <w:spacing w:line="240" w:lineRule="auto"/>
              <w:jc w:val="left"/>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ΚΛΑΔΟΣ</w:t>
            </w:r>
          </w:p>
        </w:tc>
        <w:tc>
          <w:tcPr>
            <w:tcW w:w="655"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ΕΠΙΛΕΓΕΝΤΕΣ</w:t>
            </w:r>
          </w:p>
        </w:tc>
        <w:tc>
          <w:tcPr>
            <w:tcW w:w="691"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ΕΠΙΛΑΧΟΝΤΕΣ</w:t>
            </w:r>
          </w:p>
        </w:tc>
        <w:tc>
          <w:tcPr>
            <w:tcW w:w="808"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ΑΠΟΡΡΙΦΘΕΝΤΕΣ</w:t>
            </w:r>
          </w:p>
        </w:tc>
        <w:tc>
          <w:tcPr>
            <w:tcW w:w="652"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ΣΥΝΟΛΟ ΥΠΟΨΗΦΙΩΝ</w:t>
            </w:r>
          </w:p>
        </w:tc>
        <w:tc>
          <w:tcPr>
            <w:tcW w:w="589"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ΠΟΣΟΣΟΤΟ ΕΠΙΤΥΧΙΑΣ</w:t>
            </w:r>
          </w:p>
        </w:tc>
      </w:tr>
      <w:tr w:rsidR="00316B45" w:rsidRPr="00C03A43" w:rsidTr="00316B45">
        <w:trPr>
          <w:trHeight w:val="600"/>
        </w:trPr>
        <w:tc>
          <w:tcPr>
            <w:tcW w:w="834"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ΖΩΗΣ»</w:t>
            </w:r>
          </w:p>
        </w:tc>
        <w:tc>
          <w:tcPr>
            <w:tcW w:w="771"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ΖΩΗΣ, ΥΓΕΙΑΣ ΚΑΙ ΔΙΑΤΡΟΦΗΣ»</w:t>
            </w:r>
          </w:p>
        </w:tc>
        <w:tc>
          <w:tcPr>
            <w:tcW w:w="655"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40</w:t>
            </w:r>
          </w:p>
        </w:tc>
        <w:tc>
          <w:tcPr>
            <w:tcW w:w="69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38</w:t>
            </w:r>
          </w:p>
        </w:tc>
        <w:tc>
          <w:tcPr>
            <w:tcW w:w="80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78</w:t>
            </w:r>
          </w:p>
        </w:tc>
        <w:tc>
          <w:tcPr>
            <w:tcW w:w="589"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51%</w:t>
            </w:r>
          </w:p>
        </w:tc>
      </w:tr>
      <w:tr w:rsidR="00316B45" w:rsidRPr="00C03A43" w:rsidTr="00316B45">
        <w:trPr>
          <w:trHeight w:val="300"/>
        </w:trPr>
        <w:tc>
          <w:tcPr>
            <w:tcW w:w="834" w:type="pct"/>
            <w:vMerge w:val="restart"/>
            <w:shd w:val="clear" w:color="auto" w:fill="DBDBDB"/>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ΚΑΙ ΑΝΘΡΩΠΙΣΤΙΚΕΣ ΕΠΙΣΤΗΜΕΣ»</w:t>
            </w:r>
          </w:p>
        </w:tc>
        <w:tc>
          <w:tcPr>
            <w:tcW w:w="771"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«ΑΝΘΡΩΠΙΣΤΙΚΕΣ ΕΠΙΣΤΗΜΕΣ»</w:t>
            </w:r>
          </w:p>
        </w:tc>
        <w:tc>
          <w:tcPr>
            <w:tcW w:w="655"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34</w:t>
            </w:r>
          </w:p>
        </w:tc>
        <w:tc>
          <w:tcPr>
            <w:tcW w:w="69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33</w:t>
            </w:r>
          </w:p>
        </w:tc>
        <w:tc>
          <w:tcPr>
            <w:tcW w:w="80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67</w:t>
            </w:r>
          </w:p>
        </w:tc>
        <w:tc>
          <w:tcPr>
            <w:tcW w:w="589"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51%</w:t>
            </w:r>
          </w:p>
        </w:tc>
      </w:tr>
      <w:tr w:rsidR="00316B45" w:rsidRPr="00C03A43" w:rsidTr="00316B45">
        <w:trPr>
          <w:trHeight w:val="300"/>
        </w:trPr>
        <w:tc>
          <w:tcPr>
            <w:tcW w:w="834"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1"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ΕΠΙΣΤΗΜΕΣ»</w:t>
            </w:r>
          </w:p>
        </w:tc>
        <w:tc>
          <w:tcPr>
            <w:tcW w:w="655"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33</w:t>
            </w:r>
          </w:p>
        </w:tc>
        <w:tc>
          <w:tcPr>
            <w:tcW w:w="69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16</w:t>
            </w:r>
          </w:p>
        </w:tc>
        <w:tc>
          <w:tcPr>
            <w:tcW w:w="80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49</w:t>
            </w:r>
          </w:p>
        </w:tc>
        <w:tc>
          <w:tcPr>
            <w:tcW w:w="589"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67%</w:t>
            </w:r>
          </w:p>
        </w:tc>
      </w:tr>
      <w:tr w:rsidR="00316B45" w:rsidRPr="00C03A43" w:rsidTr="00316B45">
        <w:trPr>
          <w:trHeight w:val="600"/>
        </w:trPr>
        <w:tc>
          <w:tcPr>
            <w:tcW w:w="834"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1"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«ΟΙΚΟΝΟΜΙΚΕΣ ΚΑΙ ΝΟΜΙΚΕΣ ΕΠΙΣΤΗΜΕΣ»</w:t>
            </w:r>
          </w:p>
        </w:tc>
        <w:tc>
          <w:tcPr>
            <w:tcW w:w="655"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21</w:t>
            </w:r>
          </w:p>
        </w:tc>
        <w:tc>
          <w:tcPr>
            <w:tcW w:w="69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w:t>
            </w:r>
          </w:p>
        </w:tc>
        <w:tc>
          <w:tcPr>
            <w:tcW w:w="80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65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29</w:t>
            </w:r>
          </w:p>
        </w:tc>
        <w:tc>
          <w:tcPr>
            <w:tcW w:w="589"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72%</w:t>
            </w:r>
          </w:p>
        </w:tc>
      </w:tr>
      <w:tr w:rsidR="00316B45" w:rsidRPr="00C03A43" w:rsidTr="00316B45">
        <w:trPr>
          <w:trHeight w:val="300"/>
        </w:trPr>
        <w:tc>
          <w:tcPr>
            <w:tcW w:w="834" w:type="pct"/>
            <w:vMerge w:val="restart"/>
            <w:shd w:val="clear" w:color="auto" w:fill="EDEDED"/>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 ΚΑΙ ΕΠΙΣΤΗΜΕΣ ΜΗΧΑΝΙΚΟΥ»</w:t>
            </w:r>
          </w:p>
        </w:tc>
        <w:tc>
          <w:tcPr>
            <w:tcW w:w="771"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w:t>
            </w:r>
          </w:p>
        </w:tc>
        <w:tc>
          <w:tcPr>
            <w:tcW w:w="655"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35</w:t>
            </w:r>
          </w:p>
        </w:tc>
        <w:tc>
          <w:tcPr>
            <w:tcW w:w="69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25</w:t>
            </w:r>
          </w:p>
        </w:tc>
        <w:tc>
          <w:tcPr>
            <w:tcW w:w="80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60</w:t>
            </w:r>
          </w:p>
        </w:tc>
        <w:tc>
          <w:tcPr>
            <w:tcW w:w="589"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58%</w:t>
            </w:r>
          </w:p>
        </w:tc>
      </w:tr>
      <w:tr w:rsidR="00316B45" w:rsidRPr="00C03A43" w:rsidTr="00316B45">
        <w:trPr>
          <w:trHeight w:val="600"/>
        </w:trPr>
        <w:tc>
          <w:tcPr>
            <w:tcW w:w="834"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1"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ΜΗΧΑΝΙΚΟΥ ΚΑΙ ΤΕΧΝΟΛΟΓΙΑ»</w:t>
            </w:r>
          </w:p>
        </w:tc>
        <w:tc>
          <w:tcPr>
            <w:tcW w:w="655"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31</w:t>
            </w:r>
          </w:p>
        </w:tc>
        <w:tc>
          <w:tcPr>
            <w:tcW w:w="69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36</w:t>
            </w:r>
          </w:p>
        </w:tc>
        <w:tc>
          <w:tcPr>
            <w:tcW w:w="80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67</w:t>
            </w:r>
          </w:p>
        </w:tc>
        <w:tc>
          <w:tcPr>
            <w:tcW w:w="589"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46%</w:t>
            </w:r>
          </w:p>
        </w:tc>
      </w:tr>
      <w:tr w:rsidR="00316B45" w:rsidRPr="00C03A43" w:rsidTr="00316B45">
        <w:trPr>
          <w:trHeight w:val="300"/>
        </w:trPr>
        <w:tc>
          <w:tcPr>
            <w:tcW w:w="834"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771"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«ΓΕΩΡΓΙΚΕΣ ΕΠΙΣΤΗΜΕΣ»</w:t>
            </w:r>
          </w:p>
        </w:tc>
        <w:tc>
          <w:tcPr>
            <w:tcW w:w="655"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7</w:t>
            </w:r>
          </w:p>
        </w:tc>
        <w:tc>
          <w:tcPr>
            <w:tcW w:w="69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13</w:t>
            </w:r>
          </w:p>
        </w:tc>
        <w:tc>
          <w:tcPr>
            <w:tcW w:w="80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65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20</w:t>
            </w:r>
          </w:p>
        </w:tc>
        <w:tc>
          <w:tcPr>
            <w:tcW w:w="589"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35%</w:t>
            </w:r>
          </w:p>
        </w:tc>
      </w:tr>
      <w:tr w:rsidR="00C03A43" w:rsidRPr="00C03A43" w:rsidTr="00316B45">
        <w:trPr>
          <w:trHeight w:val="315"/>
        </w:trPr>
        <w:tc>
          <w:tcPr>
            <w:tcW w:w="1605" w:type="pct"/>
            <w:gridSpan w:val="2"/>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right"/>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ΣΥΝΟΛΟ</w:t>
            </w:r>
          </w:p>
        </w:tc>
        <w:tc>
          <w:tcPr>
            <w:tcW w:w="655"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201</w:t>
            </w:r>
          </w:p>
        </w:tc>
        <w:tc>
          <w:tcPr>
            <w:tcW w:w="691"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167</w:t>
            </w:r>
          </w:p>
        </w:tc>
        <w:tc>
          <w:tcPr>
            <w:tcW w:w="808"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2</w:t>
            </w:r>
          </w:p>
        </w:tc>
        <w:tc>
          <w:tcPr>
            <w:tcW w:w="652"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370</w:t>
            </w:r>
          </w:p>
        </w:tc>
        <w:tc>
          <w:tcPr>
            <w:tcW w:w="589" w:type="pct"/>
            <w:noWrap/>
            <w:vAlign w:val="center"/>
            <w:hideMark/>
          </w:tcPr>
          <w:p w:rsidR="00C03A43" w:rsidRPr="00C03A43" w:rsidRDefault="00C03A43" w:rsidP="00C03A43">
            <w:pPr>
              <w:rPr>
                <w:rFonts w:ascii="Calibri" w:eastAsia="Times New Roman" w:hAnsi="Calibri" w:cs="Calibri"/>
                <w:b/>
                <w:bCs/>
                <w:color w:val="000000"/>
                <w:szCs w:val="18"/>
                <w:lang w:eastAsia="el-GR"/>
              </w:rPr>
            </w:pPr>
          </w:p>
        </w:tc>
      </w:tr>
    </w:tbl>
    <w:p w:rsidR="00C03A43" w:rsidRPr="00C03A43" w:rsidRDefault="00C03A43" w:rsidP="00C03A43">
      <w:pPr>
        <w:rPr>
          <w:rFonts w:asciiTheme="minorHAnsi" w:hAnsiTheme="minorHAnsi" w:cstheme="minorBidi"/>
          <w:color w:val="231F20"/>
          <w:sz w:val="21"/>
          <w:szCs w:val="21"/>
        </w:rPr>
      </w:pPr>
    </w:p>
    <w:p w:rsidR="00C03A43" w:rsidRPr="00C03A43" w:rsidRDefault="00C03A43" w:rsidP="00C03A43">
      <w:r w:rsidRPr="00C03A43">
        <w:t xml:space="preserve">Από τον παραπάνω πίνακα φαίνεται ότι η διδακτορική έρευνα έχει </w:t>
      </w:r>
      <w:r w:rsidR="003A7BEE">
        <w:t xml:space="preserve">τη </w:t>
      </w:r>
      <w:r w:rsidRPr="00C03A43">
        <w:t>μεγαλύτερη ζήτηση στους κλάδους:</w:t>
      </w:r>
    </w:p>
    <w:p w:rsidR="003A7BEE" w:rsidRPr="00C03A43" w:rsidRDefault="003A7BEE" w:rsidP="003A7BEE">
      <w:pPr>
        <w:numPr>
          <w:ilvl w:val="0"/>
          <w:numId w:val="34"/>
        </w:numPr>
        <w:spacing w:before="0" w:after="120" w:line="256" w:lineRule="auto"/>
        <w:contextualSpacing/>
      </w:pPr>
      <w:r w:rsidRPr="00C03A43">
        <w:t>«</w:t>
      </w:r>
      <w:r>
        <w:t>Ιατρική και επιστήμες υγείας</w:t>
      </w:r>
      <w:r w:rsidRPr="00C03A43">
        <w:t>»</w:t>
      </w:r>
    </w:p>
    <w:p w:rsidR="003A7BEE" w:rsidRPr="00C03A43" w:rsidRDefault="003A7BEE" w:rsidP="003A7BEE">
      <w:pPr>
        <w:numPr>
          <w:ilvl w:val="0"/>
          <w:numId w:val="34"/>
        </w:numPr>
        <w:spacing w:before="0" w:after="120" w:line="256" w:lineRule="auto"/>
        <w:contextualSpacing/>
      </w:pPr>
      <w:r w:rsidRPr="00C03A43">
        <w:t>«</w:t>
      </w:r>
      <w:r>
        <w:t>Ανθρωπιστικές επιστήμες</w:t>
      </w:r>
      <w:r w:rsidRPr="00C03A43">
        <w:t>»</w:t>
      </w:r>
    </w:p>
    <w:p w:rsidR="003A7BEE" w:rsidRPr="00C03A43" w:rsidRDefault="003A7BEE" w:rsidP="003A7BEE">
      <w:pPr>
        <w:numPr>
          <w:ilvl w:val="0"/>
          <w:numId w:val="34"/>
        </w:numPr>
        <w:spacing w:before="0" w:after="120" w:line="256" w:lineRule="auto"/>
        <w:contextualSpacing/>
      </w:pPr>
      <w:r w:rsidRPr="00C03A43">
        <w:t>«</w:t>
      </w:r>
      <w:r>
        <w:t>Επιστήμες μηχανικού και τεχνολογία</w:t>
      </w:r>
      <w:r w:rsidRPr="00C03A43">
        <w:t>»</w:t>
      </w:r>
    </w:p>
    <w:p w:rsidR="00C03A43" w:rsidRPr="00C03A43" w:rsidRDefault="003A7BEE" w:rsidP="00C03A43">
      <w:r>
        <w:t xml:space="preserve">Το </w:t>
      </w:r>
      <w:r w:rsidR="00C03A43" w:rsidRPr="00C03A43">
        <w:t xml:space="preserve">μεγαλύτερο ποσοστό επιτυχίας συγκεντρώνουν οι υποψήφιοι του κλάδου Οικονομικών και Νομικών Επιστημόνων </w:t>
      </w:r>
      <w:r>
        <w:t>(7</w:t>
      </w:r>
      <w:r w:rsidR="00C03A43" w:rsidRPr="00C03A43">
        <w:t>2%</w:t>
      </w:r>
      <w:r>
        <w:t>)</w:t>
      </w:r>
      <w:r w:rsidR="00C03A43" w:rsidRPr="00C03A43">
        <w:t xml:space="preserve"> και το χαμηλότερο οι υποψήφιοι του κλάδου των Γεωργικών Επιστημών (35%)</w:t>
      </w:r>
      <w:r>
        <w:t>.</w:t>
      </w:r>
    </w:p>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bookmarkStart w:id="57" w:name="_Toc6924954"/>
      <w:r w:rsidRPr="00C03A43">
        <w:rPr>
          <w:rFonts w:asciiTheme="minorHAnsi" w:eastAsiaTheme="minorHAnsi" w:hAnsiTheme="minorHAnsi" w:cstheme="minorBidi"/>
          <w:b/>
          <w:iCs/>
          <w:sz w:val="16"/>
          <w:szCs w:val="18"/>
        </w:rPr>
        <w:t>Διάγραμμα</w:t>
      </w:r>
      <w:r w:rsidR="00F864D4">
        <w:rPr>
          <w:rFonts w:asciiTheme="minorHAnsi" w:eastAsiaTheme="minorHAnsi" w:hAnsiTheme="minorHAnsi" w:cstheme="minorBidi"/>
          <w:b/>
          <w:iCs/>
          <w:sz w:val="16"/>
          <w:szCs w:val="18"/>
        </w:rPr>
        <w:t xml:space="preserve"> </w:t>
      </w:r>
      <w:r w:rsidR="00F864D4">
        <w:rPr>
          <w:rFonts w:asciiTheme="minorHAnsi" w:eastAsiaTheme="minorHAnsi" w:hAnsiTheme="minorHAnsi" w:cstheme="minorBidi"/>
          <w:b/>
          <w:iCs/>
          <w:noProof/>
          <w:sz w:val="16"/>
          <w:szCs w:val="18"/>
        </w:rPr>
        <w:t>4-6</w:t>
      </w:r>
      <w:r w:rsidRPr="00C03A43">
        <w:rPr>
          <w:rFonts w:asciiTheme="minorHAnsi" w:eastAsiaTheme="minorHAnsi" w:hAnsiTheme="minorHAnsi" w:cstheme="minorBidi"/>
          <w:b/>
          <w:iCs/>
          <w:sz w:val="16"/>
          <w:szCs w:val="18"/>
        </w:rPr>
        <w:t>: Σύνολο υποψηφίων διδακτόρων ανά κλάδο επιστημονικού τομέα και ποσοστό επιτυχίας αυτών</w:t>
      </w:r>
      <w:bookmarkEnd w:id="57"/>
    </w:p>
    <w:p w:rsidR="00C03A43" w:rsidRPr="00C03A43" w:rsidRDefault="00C03A43" w:rsidP="00C03A43">
      <w:pPr>
        <w:jc w:val="center"/>
      </w:pPr>
      <w:r w:rsidRPr="00C03A43">
        <w:rPr>
          <w:noProof/>
          <w:lang w:eastAsia="el-GR"/>
        </w:rPr>
        <w:drawing>
          <wp:inline distT="0" distB="0" distL="0" distR="0" wp14:anchorId="341F8E7C" wp14:editId="39A9E81D">
            <wp:extent cx="5924550" cy="3333750"/>
            <wp:effectExtent l="0" t="0" r="0" b="0"/>
            <wp:docPr id="67" name="Γράφημα 67">
              <a:extLst xmlns:a="http://schemas.openxmlformats.org/drawingml/2006/main">
                <a:ext uri="{FF2B5EF4-FFF2-40B4-BE49-F238E27FC236}">
                  <a16:creationId xmlns:a16="http://schemas.microsoft.com/office/drawing/2014/main" id="{0B8B978D-1D19-49D2-ADF9-A3ADFD9CE2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C03A43" w:rsidRPr="00C03A43" w:rsidRDefault="00C03A43" w:rsidP="00C03A43"/>
    <w:p w:rsidR="00C03A43" w:rsidRPr="00BE021C" w:rsidRDefault="00C03A43" w:rsidP="00C03A43">
      <w:pPr>
        <w:pStyle w:val="Heading3"/>
        <w:rPr>
          <w:rFonts w:eastAsia="Calibri"/>
        </w:rPr>
      </w:pPr>
      <w:bookmarkStart w:id="58" w:name="_Toc6924552"/>
      <w:bookmarkStart w:id="59" w:name="_Toc22645124"/>
      <w:r w:rsidRPr="00BE021C">
        <w:rPr>
          <w:rFonts w:eastAsia="Calibri"/>
        </w:rPr>
        <w:t>Ενίσχυση μεταδιδακτόρων ερευνητών/τριών</w:t>
      </w:r>
      <w:bookmarkEnd w:id="58"/>
      <w:bookmarkEnd w:id="59"/>
    </w:p>
    <w:p w:rsidR="00C03A43" w:rsidRPr="00BE021C" w:rsidRDefault="00C03A43" w:rsidP="00C03A43">
      <w:r w:rsidRPr="00BE021C">
        <w:t>Το πρόγραμμα υποτροφιών με τίτλο «Ενίσχυση Μεταδιδακτόρων Ερευνητών / Ερευνητριών», έχει ολοκληρώσει μέχρι τα τέλη του 201</w:t>
      </w:r>
      <w:r w:rsidR="00BE021C" w:rsidRPr="00BE021C">
        <w:t>7</w:t>
      </w:r>
      <w:r w:rsidRPr="00BE021C">
        <w:t xml:space="preserve"> μόνο τον 1ο Κύκλο στον οποίο  υποβλήθηκαν συνολικά 1749 αιτήσεις στους  τρεις επιστημονικούς τομείς  εκ των οποίων 289 επιλέχθηκαν για χρηματοδότηση.</w:t>
      </w:r>
    </w:p>
    <w:p w:rsidR="00C03A43" w:rsidRPr="00BE021C" w:rsidRDefault="00C03A43" w:rsidP="00C03A43">
      <w:r w:rsidRPr="00BE021C">
        <w:t>Αναλυτικότερα στον παρακάτω πίνακα παρουσιάζεται η συνολική εικόνα ανά επιστημονικό τομέα και κλάδο του προγράμματος «ΕΝΙΣΧΥΣΗ ΜΕΤΑΔΙΔΑΚΤΟΡΩΝ ΕΡΕΥΝΗΤΩΝ/ΤΡΙΩΝ».</w:t>
      </w:r>
    </w:p>
    <w:p w:rsidR="00316B45" w:rsidRPr="00BE021C" w:rsidRDefault="00316B45" w:rsidP="00C03A43">
      <w:pPr>
        <w:keepNext/>
        <w:spacing w:after="80" w:line="240" w:lineRule="auto"/>
        <w:jc w:val="center"/>
        <w:rPr>
          <w:rFonts w:asciiTheme="minorHAnsi" w:eastAsiaTheme="minorHAnsi" w:hAnsiTheme="minorHAnsi" w:cstheme="minorBidi"/>
          <w:b/>
          <w:iCs/>
          <w:sz w:val="16"/>
          <w:szCs w:val="18"/>
        </w:rPr>
      </w:pPr>
      <w:bookmarkStart w:id="60" w:name="_Toc6924878"/>
    </w:p>
    <w:p w:rsidR="00E12F0E" w:rsidRDefault="00E12F0E">
      <w:pPr>
        <w:spacing w:before="0" w:after="160" w:line="259" w:lineRule="auto"/>
        <w:jc w:val="left"/>
        <w:rPr>
          <w:rFonts w:asciiTheme="minorHAnsi" w:eastAsiaTheme="minorHAnsi" w:hAnsiTheme="minorHAnsi" w:cstheme="minorBidi"/>
          <w:b/>
          <w:iCs/>
          <w:sz w:val="16"/>
          <w:szCs w:val="18"/>
        </w:rPr>
      </w:pPr>
      <w:r>
        <w:rPr>
          <w:rFonts w:asciiTheme="minorHAnsi" w:eastAsiaTheme="minorHAnsi" w:hAnsiTheme="minorHAnsi" w:cstheme="minorBidi"/>
          <w:b/>
          <w:iCs/>
          <w:sz w:val="16"/>
          <w:szCs w:val="18"/>
        </w:rPr>
        <w:br w:type="page"/>
      </w:r>
    </w:p>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r w:rsidRPr="00BE021C">
        <w:rPr>
          <w:rFonts w:asciiTheme="minorHAnsi" w:eastAsiaTheme="minorHAnsi" w:hAnsiTheme="minorHAnsi" w:cstheme="minorBidi"/>
          <w:b/>
          <w:iCs/>
          <w:sz w:val="16"/>
          <w:szCs w:val="18"/>
        </w:rPr>
        <w:lastRenderedPageBreak/>
        <w:t>Πίνακας</w:t>
      </w:r>
      <w:r w:rsidR="00F864D4" w:rsidRPr="00BE021C">
        <w:rPr>
          <w:rFonts w:asciiTheme="minorHAnsi" w:eastAsiaTheme="minorHAnsi" w:hAnsiTheme="minorHAnsi" w:cstheme="minorBidi"/>
          <w:b/>
          <w:iCs/>
          <w:noProof/>
          <w:sz w:val="16"/>
          <w:szCs w:val="18"/>
        </w:rPr>
        <w:t>4-3</w:t>
      </w:r>
      <w:r w:rsidRPr="00BE021C">
        <w:rPr>
          <w:rFonts w:asciiTheme="minorHAnsi" w:eastAsiaTheme="minorHAnsi" w:hAnsiTheme="minorHAnsi" w:cstheme="minorBidi"/>
          <w:b/>
          <w:iCs/>
          <w:sz w:val="16"/>
          <w:szCs w:val="18"/>
        </w:rPr>
        <w:t>: Συνολική εικόνα υποψηφίων του προγράμματος "ΕΝΙΣΧΥΣΗ ΜΕΤΑΔΙΔΑΚΤΟΡΩΝ ΕΡΕΥΝΗΤΩΝ/ΤΡΙΩΝ" ανά επιστημονικό τομέα και κλάδο</w:t>
      </w:r>
      <w:bookmarkEnd w:id="60"/>
    </w:p>
    <w:tbl>
      <w:tblPr>
        <w:tblW w:w="5000" w:type="pct"/>
        <w:tblLayout w:type="fixed"/>
        <w:tblLook w:val="04A0" w:firstRow="1" w:lastRow="0" w:firstColumn="1" w:lastColumn="0" w:noHBand="0" w:noVBand="1"/>
      </w:tblPr>
      <w:tblGrid>
        <w:gridCol w:w="2012"/>
        <w:gridCol w:w="1540"/>
        <w:gridCol w:w="1217"/>
        <w:gridCol w:w="1302"/>
        <w:gridCol w:w="1581"/>
        <w:gridCol w:w="882"/>
        <w:gridCol w:w="1094"/>
      </w:tblGrid>
      <w:tr w:rsidR="00C03A43" w:rsidRPr="00C03A43" w:rsidTr="00316B45">
        <w:trPr>
          <w:trHeight w:val="615"/>
          <w:tblHeader/>
        </w:trPr>
        <w:tc>
          <w:tcPr>
            <w:tcW w:w="1045" w:type="pct"/>
            <w:tcBorders>
              <w:top w:val="nil"/>
              <w:left w:val="nil"/>
              <w:bottom w:val="single" w:sz="8" w:space="0" w:color="8EA9DB"/>
              <w:right w:val="nil"/>
            </w:tcBorders>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 xml:space="preserve">ΕΠΙΣΤΗΜΟΝΙΚΟΣ ΤΟΜΕΑΣ </w:t>
            </w:r>
          </w:p>
        </w:tc>
        <w:tc>
          <w:tcPr>
            <w:tcW w:w="800" w:type="pct"/>
            <w:tcBorders>
              <w:top w:val="nil"/>
              <w:left w:val="nil"/>
              <w:bottom w:val="single" w:sz="8" w:space="0" w:color="8EA9DB"/>
              <w:right w:val="nil"/>
            </w:tcBorders>
            <w:noWrap/>
            <w:vAlign w:val="center"/>
            <w:hideMark/>
          </w:tcPr>
          <w:p w:rsidR="00C03A43" w:rsidRPr="00C03A43" w:rsidRDefault="00C03A43" w:rsidP="00C03A43">
            <w:pPr>
              <w:spacing w:line="240" w:lineRule="auto"/>
              <w:jc w:val="left"/>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ΚΛΑΔΟΣ</w:t>
            </w:r>
          </w:p>
        </w:tc>
        <w:tc>
          <w:tcPr>
            <w:tcW w:w="632"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ΕΠΙΛΕΓΕΝΤΕΣ</w:t>
            </w:r>
          </w:p>
        </w:tc>
        <w:tc>
          <w:tcPr>
            <w:tcW w:w="676"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ΕΠΙΛΑΧΟΝΤΕΣ</w:t>
            </w:r>
          </w:p>
        </w:tc>
        <w:tc>
          <w:tcPr>
            <w:tcW w:w="821"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ΑΠΟΡΡΙΦΘΕΝΤΕΣ</w:t>
            </w:r>
          </w:p>
        </w:tc>
        <w:tc>
          <w:tcPr>
            <w:tcW w:w="458"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ΣΥΝΟΛΟ</w:t>
            </w:r>
          </w:p>
        </w:tc>
        <w:tc>
          <w:tcPr>
            <w:tcW w:w="568" w:type="pct"/>
            <w:tcBorders>
              <w:top w:val="nil"/>
              <w:left w:val="nil"/>
              <w:bottom w:val="single" w:sz="8" w:space="0" w:color="8EA9DB"/>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44546A"/>
                <w:szCs w:val="18"/>
                <w:lang w:eastAsia="el-GR"/>
              </w:rPr>
            </w:pPr>
            <w:r w:rsidRPr="00C03A43">
              <w:rPr>
                <w:rFonts w:ascii="Calibri" w:eastAsia="Times New Roman" w:hAnsi="Calibri" w:cs="Calibri"/>
                <w:b/>
                <w:bCs/>
                <w:color w:val="44546A"/>
                <w:szCs w:val="18"/>
                <w:lang w:eastAsia="el-GR"/>
              </w:rPr>
              <w:t>ΠΟΣΟΣΟΤΟ ΕΠΙΤΥΧΙΑΣ</w:t>
            </w:r>
          </w:p>
        </w:tc>
      </w:tr>
      <w:tr w:rsidR="00C03A43" w:rsidRPr="00C03A43" w:rsidTr="00316B45">
        <w:trPr>
          <w:trHeight w:val="300"/>
        </w:trPr>
        <w:tc>
          <w:tcPr>
            <w:tcW w:w="1045"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ΖΩΗΣ»</w:t>
            </w:r>
          </w:p>
        </w:tc>
        <w:tc>
          <w:tcPr>
            <w:tcW w:w="800"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«ΙΑΤΡΙΚΗ ΚΑΙ ΕΠΙΣΤΗΜΕΣ ΥΓΕΙΑΣ»</w:t>
            </w:r>
          </w:p>
        </w:tc>
        <w:tc>
          <w:tcPr>
            <w:tcW w:w="63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77</w:t>
            </w:r>
          </w:p>
        </w:tc>
        <w:tc>
          <w:tcPr>
            <w:tcW w:w="676"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271</w:t>
            </w:r>
          </w:p>
        </w:tc>
        <w:tc>
          <w:tcPr>
            <w:tcW w:w="82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45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350</w:t>
            </w:r>
          </w:p>
        </w:tc>
        <w:tc>
          <w:tcPr>
            <w:tcW w:w="56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22%</w:t>
            </w:r>
          </w:p>
        </w:tc>
      </w:tr>
      <w:tr w:rsidR="00C03A43" w:rsidRPr="00C03A43" w:rsidTr="00316B45">
        <w:trPr>
          <w:trHeight w:val="300"/>
        </w:trPr>
        <w:tc>
          <w:tcPr>
            <w:tcW w:w="1045" w:type="pct"/>
            <w:vMerge w:val="restart"/>
            <w:shd w:val="clear" w:color="auto" w:fill="DBDBDB"/>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ΚΑΙ ΑΝΘΡΩΠΙΣΤΙΚΕΣ ΕΠΙΣΤΗΜΕΣ»</w:t>
            </w:r>
          </w:p>
        </w:tc>
        <w:tc>
          <w:tcPr>
            <w:tcW w:w="800"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«ΑΝΘΡΩΠΙΣΤΙΚΕΣ ΕΠΙΣΤΗΜΕΣ»</w:t>
            </w:r>
          </w:p>
        </w:tc>
        <w:tc>
          <w:tcPr>
            <w:tcW w:w="63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31</w:t>
            </w:r>
          </w:p>
        </w:tc>
        <w:tc>
          <w:tcPr>
            <w:tcW w:w="676"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239</w:t>
            </w:r>
          </w:p>
        </w:tc>
        <w:tc>
          <w:tcPr>
            <w:tcW w:w="82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8</w:t>
            </w:r>
          </w:p>
        </w:tc>
        <w:tc>
          <w:tcPr>
            <w:tcW w:w="45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278</w:t>
            </w:r>
          </w:p>
        </w:tc>
        <w:tc>
          <w:tcPr>
            <w:tcW w:w="56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11%</w:t>
            </w:r>
          </w:p>
        </w:tc>
      </w:tr>
      <w:tr w:rsidR="00C03A43" w:rsidRPr="00C03A43" w:rsidTr="00316B45">
        <w:trPr>
          <w:trHeight w:val="300"/>
        </w:trPr>
        <w:tc>
          <w:tcPr>
            <w:tcW w:w="1045"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800"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«ΚΟΙΝΩΝΙΚΕΣ ΕΠΙΣΤΗΜΕΣ»</w:t>
            </w:r>
          </w:p>
        </w:tc>
        <w:tc>
          <w:tcPr>
            <w:tcW w:w="63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32</w:t>
            </w:r>
          </w:p>
        </w:tc>
        <w:tc>
          <w:tcPr>
            <w:tcW w:w="676"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159</w:t>
            </w:r>
          </w:p>
        </w:tc>
        <w:tc>
          <w:tcPr>
            <w:tcW w:w="82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45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193</w:t>
            </w:r>
          </w:p>
        </w:tc>
        <w:tc>
          <w:tcPr>
            <w:tcW w:w="56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17%</w:t>
            </w:r>
          </w:p>
        </w:tc>
      </w:tr>
      <w:tr w:rsidR="00C03A43" w:rsidRPr="00C03A43" w:rsidTr="00316B45">
        <w:trPr>
          <w:trHeight w:val="600"/>
        </w:trPr>
        <w:tc>
          <w:tcPr>
            <w:tcW w:w="1045"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800"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«ΟΙΚΟΝΟΜΙΚΕΣ ΚΑΙ ΝΟΜΙΚΕΣ ΕΠΙΣΤΗΜΕΣ»</w:t>
            </w:r>
          </w:p>
        </w:tc>
        <w:tc>
          <w:tcPr>
            <w:tcW w:w="63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16</w:t>
            </w:r>
          </w:p>
        </w:tc>
        <w:tc>
          <w:tcPr>
            <w:tcW w:w="676"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106</w:t>
            </w:r>
          </w:p>
        </w:tc>
        <w:tc>
          <w:tcPr>
            <w:tcW w:w="82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0</w:t>
            </w:r>
          </w:p>
        </w:tc>
        <w:tc>
          <w:tcPr>
            <w:tcW w:w="45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122</w:t>
            </w:r>
          </w:p>
        </w:tc>
        <w:tc>
          <w:tcPr>
            <w:tcW w:w="56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13%</w:t>
            </w:r>
          </w:p>
        </w:tc>
      </w:tr>
      <w:tr w:rsidR="00C03A43" w:rsidRPr="00C03A43" w:rsidTr="00316B45">
        <w:trPr>
          <w:trHeight w:val="300"/>
        </w:trPr>
        <w:tc>
          <w:tcPr>
            <w:tcW w:w="1045" w:type="pct"/>
            <w:vMerge w:val="restart"/>
            <w:shd w:val="clear" w:color="auto" w:fill="EDEDED"/>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 ΚΑΙ ΕΠΙΣΤΗΜΕΣ ΜΗΧΑΝΙΚΟΥ»</w:t>
            </w:r>
          </w:p>
        </w:tc>
        <w:tc>
          <w:tcPr>
            <w:tcW w:w="800"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«ΦΥΣΙΚΕΣ ΕΠΙΣΤΗΜΕΣ»</w:t>
            </w:r>
          </w:p>
        </w:tc>
        <w:tc>
          <w:tcPr>
            <w:tcW w:w="63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64</w:t>
            </w:r>
          </w:p>
        </w:tc>
        <w:tc>
          <w:tcPr>
            <w:tcW w:w="676"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312</w:t>
            </w:r>
          </w:p>
        </w:tc>
        <w:tc>
          <w:tcPr>
            <w:tcW w:w="82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45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378</w:t>
            </w:r>
          </w:p>
        </w:tc>
        <w:tc>
          <w:tcPr>
            <w:tcW w:w="56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17%</w:t>
            </w:r>
          </w:p>
        </w:tc>
      </w:tr>
      <w:tr w:rsidR="00C03A43" w:rsidRPr="00C03A43" w:rsidTr="00316B45">
        <w:trPr>
          <w:trHeight w:val="600"/>
        </w:trPr>
        <w:tc>
          <w:tcPr>
            <w:tcW w:w="1045"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800" w:type="pct"/>
            <w:shd w:val="clear" w:color="auto" w:fill="DBDBDB"/>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«ΕΠΙΣΤΗΜΕΣ ΜΗΧΑΝΙΚΟΥ ΚΑΙ ΤΕΧΝΟΛΟΓΙΑ»</w:t>
            </w:r>
          </w:p>
        </w:tc>
        <w:tc>
          <w:tcPr>
            <w:tcW w:w="632"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56</w:t>
            </w:r>
          </w:p>
        </w:tc>
        <w:tc>
          <w:tcPr>
            <w:tcW w:w="676"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260</w:t>
            </w:r>
          </w:p>
        </w:tc>
        <w:tc>
          <w:tcPr>
            <w:tcW w:w="821"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2</w:t>
            </w:r>
          </w:p>
        </w:tc>
        <w:tc>
          <w:tcPr>
            <w:tcW w:w="45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318</w:t>
            </w:r>
          </w:p>
        </w:tc>
        <w:tc>
          <w:tcPr>
            <w:tcW w:w="568" w:type="pct"/>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18%</w:t>
            </w:r>
          </w:p>
        </w:tc>
      </w:tr>
      <w:tr w:rsidR="00C03A43" w:rsidRPr="00C03A43" w:rsidTr="00316B45">
        <w:trPr>
          <w:trHeight w:val="300"/>
        </w:trPr>
        <w:tc>
          <w:tcPr>
            <w:tcW w:w="1045" w:type="pct"/>
            <w:vMerge/>
            <w:vAlign w:val="center"/>
            <w:hideMark/>
          </w:tcPr>
          <w:p w:rsidR="00C03A43" w:rsidRPr="00C03A43" w:rsidRDefault="00C03A43" w:rsidP="00C03A43">
            <w:pPr>
              <w:jc w:val="left"/>
              <w:rPr>
                <w:rFonts w:ascii="Calibri" w:eastAsia="Times New Roman" w:hAnsi="Calibri" w:cs="Calibri"/>
                <w:color w:val="000000"/>
                <w:szCs w:val="18"/>
                <w:lang w:eastAsia="el-GR"/>
              </w:rPr>
            </w:pPr>
          </w:p>
        </w:tc>
        <w:tc>
          <w:tcPr>
            <w:tcW w:w="800" w:type="pct"/>
            <w:shd w:val="clear" w:color="auto" w:fill="EDEDED"/>
            <w:vAlign w:val="center"/>
            <w:hideMark/>
          </w:tcPr>
          <w:p w:rsidR="00C03A43" w:rsidRPr="00C03A43" w:rsidRDefault="00C03A43" w:rsidP="00C03A43">
            <w:pPr>
              <w:spacing w:line="240" w:lineRule="auto"/>
              <w:jc w:val="left"/>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«ΓΕΩΡΓΙΚΕΣ ΕΠΙΣΤΗΜΕΣ»</w:t>
            </w:r>
          </w:p>
        </w:tc>
        <w:tc>
          <w:tcPr>
            <w:tcW w:w="632"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13</w:t>
            </w:r>
          </w:p>
        </w:tc>
        <w:tc>
          <w:tcPr>
            <w:tcW w:w="676"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96</w:t>
            </w:r>
          </w:p>
        </w:tc>
        <w:tc>
          <w:tcPr>
            <w:tcW w:w="821"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w:t>
            </w:r>
          </w:p>
        </w:tc>
        <w:tc>
          <w:tcPr>
            <w:tcW w:w="45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110</w:t>
            </w:r>
          </w:p>
        </w:tc>
        <w:tc>
          <w:tcPr>
            <w:tcW w:w="568" w:type="pct"/>
            <w:shd w:val="clear" w:color="auto" w:fill="EDEDED"/>
            <w:noWrap/>
            <w:vAlign w:val="center"/>
            <w:hideMark/>
          </w:tcPr>
          <w:p w:rsidR="00C03A43" w:rsidRPr="00C03A43" w:rsidRDefault="00C03A43" w:rsidP="00C03A43">
            <w:pPr>
              <w:spacing w:line="240" w:lineRule="auto"/>
              <w:jc w:val="center"/>
              <w:rPr>
                <w:rFonts w:ascii="Calibri" w:eastAsia="Times New Roman" w:hAnsi="Calibri" w:cs="Calibri"/>
                <w:color w:val="000000"/>
                <w:szCs w:val="18"/>
                <w:lang w:eastAsia="el-GR"/>
              </w:rPr>
            </w:pPr>
            <w:r w:rsidRPr="00C03A43">
              <w:rPr>
                <w:rFonts w:ascii="Calibri" w:eastAsia="Times New Roman" w:hAnsi="Calibri" w:cs="Calibri"/>
                <w:color w:val="000000"/>
                <w:szCs w:val="18"/>
                <w:lang w:eastAsia="el-GR"/>
              </w:rPr>
              <w:t>12%</w:t>
            </w:r>
          </w:p>
        </w:tc>
      </w:tr>
      <w:tr w:rsidR="00C03A43" w:rsidRPr="00C03A43" w:rsidTr="00316B45">
        <w:trPr>
          <w:trHeight w:val="315"/>
        </w:trPr>
        <w:tc>
          <w:tcPr>
            <w:tcW w:w="1045"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left"/>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ΣΥΝΟΛΟ</w:t>
            </w:r>
          </w:p>
        </w:tc>
        <w:tc>
          <w:tcPr>
            <w:tcW w:w="800"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left"/>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 </w:t>
            </w:r>
          </w:p>
        </w:tc>
        <w:tc>
          <w:tcPr>
            <w:tcW w:w="632"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289</w:t>
            </w:r>
          </w:p>
        </w:tc>
        <w:tc>
          <w:tcPr>
            <w:tcW w:w="676"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w:t>
            </w:r>
            <w:r w:rsidR="00094FD6">
              <w:rPr>
                <w:rFonts w:ascii="Calibri" w:eastAsia="Times New Roman" w:hAnsi="Calibri" w:cs="Calibri"/>
                <w:b/>
                <w:bCs/>
                <w:color w:val="000000"/>
                <w:szCs w:val="18"/>
                <w:lang w:eastAsia="el-GR"/>
              </w:rPr>
              <w:t>.</w:t>
            </w:r>
            <w:r w:rsidRPr="00C03A43">
              <w:rPr>
                <w:rFonts w:ascii="Calibri" w:eastAsia="Times New Roman" w:hAnsi="Calibri" w:cs="Calibri"/>
                <w:b/>
                <w:bCs/>
                <w:color w:val="000000"/>
                <w:szCs w:val="18"/>
                <w:lang w:eastAsia="el-GR"/>
              </w:rPr>
              <w:t>443</w:t>
            </w:r>
          </w:p>
        </w:tc>
        <w:tc>
          <w:tcPr>
            <w:tcW w:w="821" w:type="pct"/>
            <w:tcBorders>
              <w:top w:val="single" w:sz="4" w:space="0" w:color="4472C4"/>
              <w:left w:val="nil"/>
              <w:bottom w:val="double" w:sz="6" w:space="0" w:color="4472C4"/>
              <w:right w:val="nil"/>
            </w:tcBorders>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17</w:t>
            </w:r>
          </w:p>
        </w:tc>
        <w:tc>
          <w:tcPr>
            <w:tcW w:w="458" w:type="pct"/>
            <w:tcBorders>
              <w:top w:val="single" w:sz="4" w:space="0" w:color="4472C4"/>
              <w:left w:val="nil"/>
              <w:bottom w:val="double" w:sz="6" w:space="0" w:color="4472C4"/>
              <w:right w:val="nil"/>
            </w:tcBorders>
            <w:shd w:val="clear" w:color="auto" w:fill="DBDBDB"/>
            <w:noWrap/>
            <w:vAlign w:val="center"/>
            <w:hideMark/>
          </w:tcPr>
          <w:p w:rsidR="00C03A43" w:rsidRPr="00C03A43" w:rsidRDefault="00C03A43" w:rsidP="00C03A43">
            <w:pPr>
              <w:spacing w:line="240" w:lineRule="auto"/>
              <w:jc w:val="center"/>
              <w:rPr>
                <w:rFonts w:ascii="Calibri" w:eastAsia="Times New Roman" w:hAnsi="Calibri" w:cs="Calibri"/>
                <w:b/>
                <w:bCs/>
                <w:color w:val="000000"/>
                <w:szCs w:val="18"/>
                <w:lang w:eastAsia="el-GR"/>
              </w:rPr>
            </w:pPr>
            <w:r w:rsidRPr="00C03A43">
              <w:rPr>
                <w:rFonts w:ascii="Calibri" w:eastAsia="Times New Roman" w:hAnsi="Calibri" w:cs="Calibri"/>
                <w:b/>
                <w:bCs/>
                <w:color w:val="000000"/>
                <w:szCs w:val="18"/>
                <w:lang w:eastAsia="el-GR"/>
              </w:rPr>
              <w:t>1</w:t>
            </w:r>
            <w:r w:rsidR="00094FD6">
              <w:rPr>
                <w:rFonts w:ascii="Calibri" w:eastAsia="Times New Roman" w:hAnsi="Calibri" w:cs="Calibri"/>
                <w:b/>
                <w:bCs/>
                <w:color w:val="000000"/>
                <w:szCs w:val="18"/>
                <w:lang w:eastAsia="el-GR"/>
              </w:rPr>
              <w:t>.</w:t>
            </w:r>
            <w:r w:rsidRPr="00C03A43">
              <w:rPr>
                <w:rFonts w:ascii="Calibri" w:eastAsia="Times New Roman" w:hAnsi="Calibri" w:cs="Calibri"/>
                <w:b/>
                <w:bCs/>
                <w:color w:val="000000"/>
                <w:szCs w:val="18"/>
                <w:lang w:eastAsia="el-GR"/>
              </w:rPr>
              <w:t>749</w:t>
            </w:r>
          </w:p>
        </w:tc>
        <w:tc>
          <w:tcPr>
            <w:tcW w:w="568" w:type="pct"/>
            <w:tcBorders>
              <w:top w:val="single" w:sz="4" w:space="0" w:color="4472C4"/>
              <w:left w:val="nil"/>
              <w:bottom w:val="double" w:sz="6" w:space="0" w:color="4472C4"/>
              <w:right w:val="nil"/>
            </w:tcBorders>
            <w:noWrap/>
            <w:vAlign w:val="center"/>
            <w:hideMark/>
          </w:tcPr>
          <w:p w:rsidR="00C03A43" w:rsidRPr="00C03A43" w:rsidRDefault="00C03A43" w:rsidP="00C03A43">
            <w:pPr>
              <w:rPr>
                <w:rFonts w:ascii="Calibri" w:eastAsia="Times New Roman" w:hAnsi="Calibri" w:cs="Calibri"/>
                <w:b/>
                <w:bCs/>
                <w:color w:val="000000"/>
                <w:szCs w:val="18"/>
                <w:lang w:eastAsia="el-GR"/>
              </w:rPr>
            </w:pPr>
          </w:p>
        </w:tc>
      </w:tr>
    </w:tbl>
    <w:p w:rsidR="00C03A43" w:rsidRPr="00C03A43" w:rsidRDefault="00C03A43" w:rsidP="00C03A43">
      <w:pPr>
        <w:rPr>
          <w:rFonts w:asciiTheme="minorHAnsi" w:hAnsiTheme="minorHAnsi" w:cstheme="minorBidi"/>
          <w:color w:val="231F20"/>
          <w:sz w:val="21"/>
          <w:szCs w:val="21"/>
        </w:rPr>
      </w:pPr>
    </w:p>
    <w:p w:rsidR="00C03A43" w:rsidRPr="00BE021C" w:rsidRDefault="00C03A43" w:rsidP="00C03A43">
      <w:r w:rsidRPr="00BE021C">
        <w:t>Από τον παραπάνω πίνακα φαίνεται ότι η μεταδιδακτορική έρευνα έχει μεγαλύτερη ζήτηση στους κλάδους:</w:t>
      </w:r>
    </w:p>
    <w:p w:rsidR="003A7BEE" w:rsidRPr="00BE021C" w:rsidRDefault="003A7BEE" w:rsidP="003A7BEE">
      <w:pPr>
        <w:numPr>
          <w:ilvl w:val="0"/>
          <w:numId w:val="34"/>
        </w:numPr>
        <w:spacing w:before="0" w:after="120" w:line="256" w:lineRule="auto"/>
        <w:contextualSpacing/>
      </w:pPr>
      <w:r w:rsidRPr="00BE021C">
        <w:t xml:space="preserve"> «Ιατρική και επιστήμες υγείας»</w:t>
      </w:r>
    </w:p>
    <w:p w:rsidR="003A7BEE" w:rsidRPr="00BE021C" w:rsidRDefault="003A7BEE" w:rsidP="003A7BEE">
      <w:pPr>
        <w:numPr>
          <w:ilvl w:val="0"/>
          <w:numId w:val="34"/>
        </w:numPr>
        <w:spacing w:before="0" w:after="120" w:line="256" w:lineRule="auto"/>
        <w:contextualSpacing/>
      </w:pPr>
      <w:r w:rsidRPr="00BE021C">
        <w:t>«Φυσικές επιστήμες»</w:t>
      </w:r>
    </w:p>
    <w:p w:rsidR="003A7BEE" w:rsidRPr="00BE021C" w:rsidRDefault="003A7BEE" w:rsidP="003A7BEE">
      <w:pPr>
        <w:numPr>
          <w:ilvl w:val="0"/>
          <w:numId w:val="34"/>
        </w:numPr>
        <w:spacing w:before="0" w:after="120" w:line="256" w:lineRule="auto"/>
        <w:contextualSpacing/>
      </w:pPr>
      <w:r w:rsidRPr="00BE021C">
        <w:t>«Επιστήμες μηχανικού και τεχνολογία»</w:t>
      </w:r>
    </w:p>
    <w:p w:rsidR="00C03A43" w:rsidRPr="00BE021C" w:rsidRDefault="003A7BEE" w:rsidP="00C03A43">
      <w:r w:rsidRPr="00BE021C">
        <w:t>Τ</w:t>
      </w:r>
      <w:r w:rsidR="00C03A43" w:rsidRPr="00BE021C">
        <w:t xml:space="preserve">ο μεγαλύτερο ποσοστό επιτυχίας συγκεντρώνουν οι υποψήφιοι του κλάδου Ιατρικής και Επιστημών Υγείας </w:t>
      </w:r>
      <w:r w:rsidRPr="00BE021C">
        <w:t>(</w:t>
      </w:r>
      <w:r w:rsidR="00C03A43" w:rsidRPr="00BE021C">
        <w:t>22%</w:t>
      </w:r>
      <w:r w:rsidRPr="00BE021C">
        <w:t>)</w:t>
      </w:r>
      <w:r w:rsidR="00C03A43" w:rsidRPr="00BE021C">
        <w:t xml:space="preserve"> και το χαμηλότερο οι υποψήφιοι του κλάδου των Ανθρωπιστικών Επιστημών (11%)</w:t>
      </w:r>
      <w:r w:rsidRPr="00BE021C">
        <w:t>.</w:t>
      </w:r>
    </w:p>
    <w:p w:rsidR="00C03A43" w:rsidRPr="00C03A43" w:rsidRDefault="00C03A43" w:rsidP="00C03A43">
      <w:pPr>
        <w:keepNext/>
        <w:spacing w:after="80" w:line="240" w:lineRule="auto"/>
        <w:jc w:val="center"/>
        <w:rPr>
          <w:rFonts w:asciiTheme="minorHAnsi" w:eastAsiaTheme="minorHAnsi" w:hAnsiTheme="minorHAnsi" w:cstheme="minorBidi"/>
          <w:b/>
          <w:iCs/>
          <w:sz w:val="16"/>
          <w:szCs w:val="18"/>
        </w:rPr>
      </w:pPr>
      <w:bookmarkStart w:id="61" w:name="_Toc6924955"/>
      <w:r w:rsidRPr="00BE021C">
        <w:rPr>
          <w:rFonts w:asciiTheme="minorHAnsi" w:eastAsiaTheme="minorHAnsi" w:hAnsiTheme="minorHAnsi" w:cstheme="minorBidi"/>
          <w:b/>
          <w:iCs/>
          <w:sz w:val="16"/>
          <w:szCs w:val="18"/>
        </w:rPr>
        <w:t>Διάγραμμα</w:t>
      </w:r>
      <w:r w:rsidR="00F864D4" w:rsidRPr="00BE021C">
        <w:rPr>
          <w:rFonts w:asciiTheme="minorHAnsi" w:eastAsiaTheme="minorHAnsi" w:hAnsiTheme="minorHAnsi" w:cstheme="minorBidi"/>
          <w:b/>
          <w:iCs/>
          <w:noProof/>
          <w:sz w:val="16"/>
          <w:szCs w:val="18"/>
        </w:rPr>
        <w:t xml:space="preserve"> 4-7</w:t>
      </w:r>
      <w:r w:rsidRPr="00BE021C">
        <w:rPr>
          <w:rFonts w:asciiTheme="minorHAnsi" w:eastAsiaTheme="minorHAnsi" w:hAnsiTheme="minorHAnsi" w:cstheme="minorBidi"/>
          <w:b/>
          <w:iCs/>
          <w:sz w:val="16"/>
          <w:szCs w:val="18"/>
        </w:rPr>
        <w:t>: Σύνολο υποψηφίων μεταδιδακτόρων ανά κλάδο επιστημονικού τομέα και ποσοστό επιτυχίας αυτών</w:t>
      </w:r>
      <w:bookmarkEnd w:id="61"/>
    </w:p>
    <w:p w:rsidR="00C03A43" w:rsidRPr="00C03A43" w:rsidRDefault="00C03A43" w:rsidP="00C03A43">
      <w:pPr>
        <w:jc w:val="center"/>
      </w:pPr>
      <w:r w:rsidRPr="00C03A43">
        <w:rPr>
          <w:noProof/>
          <w:lang w:eastAsia="el-GR"/>
        </w:rPr>
        <w:drawing>
          <wp:inline distT="0" distB="0" distL="0" distR="0" wp14:anchorId="463A7BCC" wp14:editId="4CAC2417">
            <wp:extent cx="5991225" cy="3324225"/>
            <wp:effectExtent l="0" t="0" r="9525" b="9525"/>
            <wp:docPr id="66" name="Γράφημα 54">
              <a:extLst xmlns:a="http://schemas.openxmlformats.org/drawingml/2006/main">
                <a:ext uri="{FF2B5EF4-FFF2-40B4-BE49-F238E27FC236}">
                  <a16:creationId xmlns:a16="http://schemas.microsoft.com/office/drawing/2014/main" id="{9617010E-2BE6-45F1-83F8-9A6C476C68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C03A43" w:rsidRPr="00C03A43" w:rsidRDefault="00C03A43" w:rsidP="00C03A43"/>
    <w:p w:rsidR="00C03A43" w:rsidRPr="00C03A43" w:rsidRDefault="00C03A43" w:rsidP="00C03A43">
      <w:r w:rsidRPr="00C03A43">
        <w:t>Από την ανάλυση που προηγήθηκε φαίνεται ότι δεν είναι ξεκάθαρη η σύνδεση της έρευνας που χρηματοδοτήθηκε στο πλαίσιο των εθνικών προγραμμάτων του Επιχειρησιακού Προγράμματος «Ανάπτυξη Ανθρώπινου Δυναμικού Εκπαίδευση και Δια Βίου Μάθηση» με την Εθνική RIS3.</w:t>
      </w:r>
    </w:p>
    <w:p w:rsidR="00C03A43" w:rsidRPr="00C03A43" w:rsidRDefault="00C03A43" w:rsidP="00C03A43">
      <w:r w:rsidRPr="00C03A43">
        <w:t>Κάποια γενικά συμπεράσματα στα οποία καταλήγουμε είναι τα παρακάτω:</w:t>
      </w:r>
    </w:p>
    <w:p w:rsidR="00C03A43" w:rsidRPr="00BE021C" w:rsidRDefault="00C03A43" w:rsidP="00C03A43">
      <w:pPr>
        <w:numPr>
          <w:ilvl w:val="0"/>
          <w:numId w:val="11"/>
        </w:numPr>
        <w:spacing w:before="0" w:after="120" w:line="256" w:lineRule="auto"/>
        <w:contextualSpacing/>
      </w:pPr>
      <w:r w:rsidRPr="00BE021C">
        <w:t>Ο τομέας της Υγείας και των Φαρμάκων (RIS3) έχει μεγάλη εκπροσώπηση στη χρηματοδοτούμενη από το ΕΠΑΝΑΔΕΔΒΜ διδακτορική και μεταδιδακτορική έρευνα.</w:t>
      </w:r>
    </w:p>
    <w:p w:rsidR="00C03A43" w:rsidRPr="00BE021C" w:rsidRDefault="00C03A43" w:rsidP="00C03A43">
      <w:pPr>
        <w:numPr>
          <w:ilvl w:val="0"/>
          <w:numId w:val="11"/>
        </w:numPr>
        <w:spacing w:before="0" w:after="120" w:line="256" w:lineRule="auto"/>
        <w:contextualSpacing/>
      </w:pPr>
      <w:r w:rsidRPr="00BE021C">
        <w:t>Ο κλάδος των επιστημών μηχανικού και της τεχνολογίας αν και  έχει μεγάλο ποσοστό ερευνητών δεν εμπίπτει καθαρά σε κάποιον από τους τομείς της εθνικής στρατηγική έξυπνης εξειδίκευσης, αλλά έχει συνέργειες με περισσότερες περιοχές παρέμβασης της εθνικής RIS3.</w:t>
      </w:r>
    </w:p>
    <w:p w:rsidR="00C03A43" w:rsidRPr="00BE021C" w:rsidRDefault="00C03A43" w:rsidP="00C03A43">
      <w:pPr>
        <w:numPr>
          <w:ilvl w:val="0"/>
          <w:numId w:val="11"/>
        </w:numPr>
        <w:spacing w:before="0" w:after="120" w:line="256" w:lineRule="auto"/>
        <w:contextualSpacing/>
      </w:pPr>
      <w:r w:rsidRPr="00BE021C">
        <w:t>Οι γεωργικές επιστήμες εμπίπτουν στον τομέα προτεραιότητας της RIS3 Αγροδιατροφή, αλλά φαίνεται να μην προσελκύουν σημαντικό αριθμό ερευνητών. Μόνο το 5% των υποψηφίων αιτήθηκαν για χρηματοδότηση διδακτορικής έρευνας στις γεωργικές επιστήμες, ενώ και για μεταδιδακτορική έρευνα στις γεωργικές επιστήμες, η ζήτηση είναι χαμηλή.</w:t>
      </w:r>
    </w:p>
    <w:p w:rsidR="00C03A43" w:rsidRPr="00BE021C" w:rsidRDefault="00C03A43" w:rsidP="00C03A43">
      <w:pPr>
        <w:numPr>
          <w:ilvl w:val="0"/>
          <w:numId w:val="11"/>
        </w:numPr>
        <w:spacing w:before="0" w:after="120" w:line="256" w:lineRule="auto"/>
        <w:contextualSpacing/>
      </w:pPr>
      <w:r w:rsidRPr="00BE021C">
        <w:t>Η έρευνα στις Κοινωνικές και Ανθρωπιστικές Επιστήμες έχει πολύ χαμηλή έως καθόλου σύνδεση με την RIS3. Ενώ σε επίπεδο διδακτορικών διατριβών προσελκύει ένα μεγάλο αριθμό υποψηφίων, στο επίπεδο των μεταδιδακτορικών μειώνεται η προτίμηση των υποψηφίων για έρευνα στον τομέα αυτόν.</w:t>
      </w:r>
    </w:p>
    <w:p w:rsidR="00C03A43" w:rsidRPr="00C03A43" w:rsidRDefault="00C03A43" w:rsidP="00C03A43">
      <w:pPr>
        <w:pStyle w:val="Heading2"/>
        <w:rPr>
          <w:rFonts w:eastAsia="Calibri"/>
        </w:rPr>
      </w:pPr>
      <w:bookmarkStart w:id="62" w:name="_Toc22645125"/>
      <w:r w:rsidRPr="00C03A43">
        <w:rPr>
          <w:rFonts w:eastAsia="Calibri"/>
        </w:rPr>
        <w:t>Το πρόγραμμα LIFE</w:t>
      </w:r>
      <w:bookmarkEnd w:id="51"/>
      <w:bookmarkEnd w:id="62"/>
    </w:p>
    <w:p w:rsidR="00C03A43" w:rsidRPr="00C03A43" w:rsidRDefault="00C03A43" w:rsidP="00C03A43">
      <w:r w:rsidRPr="00C03A43">
        <w:t>Το πρόγραμμα LIFE αποτελεί το κύριο χρηματοδοτικό μέσο της Ευρωπαϊκής Ένωσης για το περιβάλλον, συμβάλλει στην αειφόρο ανάπτυξη και στην επίτευξη των σκοπών και των στόχων της στρατηγικής «Ευρώπη 2020» και στηρίζει την εφαρμογή του 7</w:t>
      </w:r>
      <w:r w:rsidRPr="00BE021C">
        <w:rPr>
          <w:vertAlign w:val="superscript"/>
        </w:rPr>
        <w:t>ου</w:t>
      </w:r>
      <w:r w:rsidR="00BE021C">
        <w:t xml:space="preserve"> </w:t>
      </w:r>
      <w:r w:rsidRPr="00C03A43">
        <w:t>Προγράμματος Δράσης για το Περιβάλλον</w:t>
      </w:r>
      <w:r w:rsidR="00BE021C">
        <w:t>,</w:t>
      </w:r>
      <w:r w:rsidRPr="00C03A43">
        <w:t xml:space="preserve"> καθώς και άλλες στρατηγικές και σχέδια της ΕΕ για το περιβάλλον και το κλίμα. Μέσω του προγράμματος LIFE</w:t>
      </w:r>
      <w:r w:rsidR="00BE021C">
        <w:t>,</w:t>
      </w:r>
      <w:r w:rsidRPr="00C03A43">
        <w:t xml:space="preserve"> χρηματοδοτούνται μέτρα και έργα με ευρωπαϊκή προστιθέμενη αξία για τα κράτη-μέλη. </w:t>
      </w:r>
    </w:p>
    <w:p w:rsidR="00C03A43" w:rsidRPr="00C03A43" w:rsidRDefault="00C03A43" w:rsidP="00C03A43">
      <w:r w:rsidRPr="00C03A43">
        <w:t>Το πρόγραμμα δημοσιεύει ετήσιες προσκλήσεις για υποβολή προτάσεων, υπογραμμίζοντας τη δέσμευσή του να στηρίξει έργα που συμβάλλουν στην προστασία του περιβάλλοντος και στην αντιμετώπιση των επιπτώσεων της κλιματικής αλλαγής.</w:t>
      </w:r>
    </w:p>
    <w:p w:rsidR="00C03A43" w:rsidRPr="00C03A43" w:rsidRDefault="00C03A43" w:rsidP="00C03A43">
      <w:r w:rsidRPr="00C03A43">
        <w:t>Οι στόχοι του προγράμματος LIFE συντίθενται στα κάτωθι:</w:t>
      </w:r>
    </w:p>
    <w:p w:rsidR="00C03A43" w:rsidRPr="00C03A43" w:rsidRDefault="00C03A43" w:rsidP="00C03A43">
      <w:pPr>
        <w:numPr>
          <w:ilvl w:val="0"/>
          <w:numId w:val="28"/>
        </w:numPr>
        <w:contextualSpacing/>
      </w:pPr>
      <w:r w:rsidRPr="00C03A43">
        <w:t>Να συμβάλλει προς μια αποδοτική, φιλική προς το κλίμα, χαμηλών εκπομπών άνθρακα οικονομία, καθώς και στην προστασία και βελτίωση του περιβάλλοντος, διατηρώντας και βελτιώνοντας τη βιοποικιλότητα, τα οικοσυστήματα και ειδικότερα το δίκτυο Natura 2000</w:t>
      </w:r>
    </w:p>
    <w:p w:rsidR="00C03A43" w:rsidRPr="00C03A43" w:rsidRDefault="00C03A43" w:rsidP="00C03A43">
      <w:pPr>
        <w:numPr>
          <w:ilvl w:val="0"/>
          <w:numId w:val="28"/>
        </w:numPr>
        <w:contextualSpacing/>
      </w:pPr>
      <w:r w:rsidRPr="00C03A43">
        <w:t xml:space="preserve">Να προωθήσει την εφαρμογή και ενσωμάτωση των περιβαλλοντικών και κλιματικών στόχων στις πολιτικές και πρακτικές των κρατών – μελών </w:t>
      </w:r>
    </w:p>
    <w:p w:rsidR="00C03A43" w:rsidRPr="00C03A43" w:rsidRDefault="00C03A43" w:rsidP="00C03A43">
      <w:pPr>
        <w:numPr>
          <w:ilvl w:val="0"/>
          <w:numId w:val="28"/>
        </w:numPr>
        <w:contextualSpacing/>
      </w:pPr>
      <w:r w:rsidRPr="00C03A43">
        <w:t>Να βελτιώσει την περιβαλλοντική και κλιματική διακυβέρνηση σε όλα τα επίπεδα</w:t>
      </w:r>
    </w:p>
    <w:p w:rsidR="00C03A43" w:rsidRPr="00C03A43" w:rsidRDefault="00C03A43" w:rsidP="00C03A43">
      <w:pPr>
        <w:numPr>
          <w:ilvl w:val="0"/>
          <w:numId w:val="28"/>
        </w:numPr>
        <w:contextualSpacing/>
      </w:pPr>
      <w:r w:rsidRPr="00C03A43">
        <w:t>Να υποστηρίξει την εφαρμογή του 7</w:t>
      </w:r>
      <w:r w:rsidRPr="00BE021C">
        <w:rPr>
          <w:vertAlign w:val="superscript"/>
        </w:rPr>
        <w:t>ου</w:t>
      </w:r>
      <w:r w:rsidR="00BE021C">
        <w:t xml:space="preserve"> </w:t>
      </w:r>
      <w:r w:rsidRPr="00C03A43">
        <w:t>Προγράμματος Περιβαλλοντικής Δράσης</w:t>
      </w:r>
    </w:p>
    <w:p w:rsidR="00C03A43" w:rsidRPr="00C03A43" w:rsidRDefault="00C03A43" w:rsidP="00C03A43">
      <w:r w:rsidRPr="00C03A43">
        <w:t xml:space="preserve">Στο πρόγραμμα LIFE για τη νέα περίοδο χρηματοδότησης 2014-2020, καθιερώνονται δύο υποπρογράμματα, το πρώτο για το Περιβάλλον και το δεύτερο για την Κλιματική Δράση. </w:t>
      </w:r>
    </w:p>
    <w:p w:rsidR="00C03A43" w:rsidRPr="00C03A43" w:rsidRDefault="00C03A43" w:rsidP="00C03A43">
      <w:r w:rsidRPr="00C03A43">
        <w:t>Το πρόγραμμα εκτός από τα «παραδοσιακά έργα», όπως έργα πιλοτικά (καινοτόμα), επίδειξης, βέλτιστων πρακτικών, έργα πληροφόρησης ευαισθητοποίησης και διάδοσης, περιλαμβάνει επίσης μια νέα κατηγορία έργων, τα ολοκληρωμένα έργα, καθώς και στρατηγικές και έργα για το περιβάλλον ή το κλίμα, τα οποία λειτουργούν σε εκτεταμένη εδαφική κλίμακα και που χρηματοδοτούνται από κοινού με τουλάχιστον μία ακόμη χρηματοδοτική πηγή.</w:t>
      </w:r>
    </w:p>
    <w:p w:rsidR="00C03A43" w:rsidRPr="00C03A43" w:rsidRDefault="00C03A43" w:rsidP="00C03A43">
      <w:r w:rsidRPr="00C03A43">
        <w:t>Επίσης, περιλαμβάνει έργα τεχνικής βοήθειας, έργα οικοδόμησης δυναμικού και προπαρασκευαστικά έργα.</w:t>
      </w:r>
    </w:p>
    <w:p w:rsidR="00C03A43" w:rsidRPr="00C03A43" w:rsidRDefault="00C03A43" w:rsidP="00C03A43">
      <w:r w:rsidRPr="00C03A43">
        <w:t>Συγκεκριμένα</w:t>
      </w:r>
      <w:r w:rsidR="00B46734">
        <w:t xml:space="preserve"> το </w:t>
      </w:r>
      <w:r w:rsidRPr="00C03A43">
        <w:t>81% κατ’ ελάχιστο του προϋπολογισμού του προγράμματος, περίπου 2,8 δισ. ευρώ θα διοχετευτούν σε:</w:t>
      </w:r>
    </w:p>
    <w:p w:rsidR="00C03A43" w:rsidRPr="00C03A43" w:rsidRDefault="00C03A43" w:rsidP="00C03A43">
      <w:pPr>
        <w:numPr>
          <w:ilvl w:val="0"/>
          <w:numId w:val="29"/>
        </w:numPr>
        <w:contextualSpacing/>
      </w:pPr>
      <w:r w:rsidRPr="00C03A43">
        <w:t>Παραδοσιακά έργα: καλές - βέλτιστες πρακτικές, καινοτόμα - πιλοτικά έργα, έργα επίδειξης, έργα διάδοσης ενημέρωσης και πληροφόρησης,</w:t>
      </w:r>
    </w:p>
    <w:p w:rsidR="00C03A43" w:rsidRPr="00C03A43" w:rsidRDefault="00C03A43" w:rsidP="00C03A43">
      <w:pPr>
        <w:numPr>
          <w:ilvl w:val="0"/>
          <w:numId w:val="29"/>
        </w:numPr>
        <w:contextualSpacing/>
      </w:pPr>
      <w:r w:rsidRPr="00C03A43">
        <w:t xml:space="preserve">Ολοκληρωμένα έργα: τα οποία στοχεύουν στην εφαρμογή σε μεγάλες περιοχές, σχεδίων και στρατηγικών που απαιτούνται από τη νομοθεσία της ΕΕ στους τομείς του νερού, της φύσης, των </w:t>
      </w:r>
      <w:r w:rsidRPr="00C03A43">
        <w:lastRenderedPageBreak/>
        <w:t>απορριμμάτων, της ατμόσφαιρας, καθώς και του μετριασμού των επιπτώσεων της κλιματικής αλλαγής και την προσαρμογή σε αυτή,</w:t>
      </w:r>
    </w:p>
    <w:p w:rsidR="00C03A43" w:rsidRPr="00C03A43" w:rsidRDefault="00C03A43" w:rsidP="00C03A43">
      <w:pPr>
        <w:numPr>
          <w:ilvl w:val="0"/>
          <w:numId w:val="29"/>
        </w:numPr>
        <w:contextualSpacing/>
      </w:pPr>
      <w:r w:rsidRPr="00C03A43">
        <w:t>Προπαρασκευαστικά έργα: που προσδιορίζονται από την Επιτροπή ώστε να στηρίξουν τις ανάγκες για την εφαρμογή και ανάπτυξη των ευρωπαϊκών περιβαλλοντικών πολιτικών και της νομοθεσίας,</w:t>
      </w:r>
    </w:p>
    <w:p w:rsidR="00C03A43" w:rsidRPr="00C03A43" w:rsidRDefault="00C03A43" w:rsidP="00C03A43">
      <w:pPr>
        <w:numPr>
          <w:ilvl w:val="0"/>
          <w:numId w:val="29"/>
        </w:numPr>
        <w:contextualSpacing/>
      </w:pPr>
      <w:r w:rsidRPr="00C03A43">
        <w:t>Έργα οικοδόμησης δυναμικού: οικονομική στήριξη σε δράσεις που απαιτούνται ώστε να ενισχυθεί η ικανότητα των κρατών – μελών με στόχο να γίνει πιο ενεργή η συμμετοχή τους στο πρόγραμμα. Η δυνατότητα υποβολής για την πρώτη περίοδο (2014-2017) ολοκληρώθηκε στις 30 Σεπτεμβρίου 2015.</w:t>
      </w:r>
    </w:p>
    <w:p w:rsidR="00C03A43" w:rsidRPr="00C03A43" w:rsidRDefault="00C03A43" w:rsidP="00C03A43">
      <w:r w:rsidRPr="00C03A43">
        <w:t>Μέχρι και το 2017 (Προσκλήσεις Σεπτέμβριος 2014, 2015 &amp; 2016) έχουν εγκριθεί 40 έργα με ελληνικές συμμετοχές, εκ των οποίων 20 έργα έχουν Έλληνα συντονιστή φορέα. Τα εν λόγω έργα αριθμούν 103 ελληνικές συμμετοχές 75 διαφορετικών φορέων, οι οποίοι λαμβάνουν συνολικό προϋπολογισμό 24,34</w:t>
      </w:r>
      <w:r w:rsidR="005D0EE6">
        <w:t xml:space="preserve"> </w:t>
      </w:r>
      <w:r w:rsidRPr="00C03A43">
        <w:t>εκ.</w:t>
      </w:r>
      <w:r w:rsidR="005D0EE6">
        <w:t xml:space="preserve"> ευρώ.</w:t>
      </w:r>
    </w:p>
    <w:p w:rsidR="00C03A43" w:rsidRPr="00C03A43" w:rsidRDefault="00C03A43" w:rsidP="00C03A43">
      <w:pPr>
        <w:spacing w:after="80" w:line="240" w:lineRule="auto"/>
        <w:jc w:val="center"/>
        <w:rPr>
          <w:rFonts w:asciiTheme="minorHAnsi" w:eastAsiaTheme="minorHAnsi" w:hAnsiTheme="minorHAnsi" w:cstheme="minorBidi"/>
          <w:b/>
          <w:iCs/>
          <w:sz w:val="16"/>
          <w:szCs w:val="18"/>
        </w:rPr>
      </w:pPr>
      <w:r w:rsidRPr="00C03A43">
        <w:rPr>
          <w:rFonts w:asciiTheme="minorHAnsi" w:eastAsiaTheme="minorHAnsi" w:hAnsiTheme="minorHAnsi" w:cstheme="minorBidi"/>
          <w:b/>
          <w:iCs/>
          <w:sz w:val="16"/>
          <w:szCs w:val="18"/>
        </w:rPr>
        <w:t xml:space="preserve">Διάγραμμα  </w:t>
      </w:r>
      <w:r w:rsidR="00F864D4">
        <w:rPr>
          <w:rFonts w:asciiTheme="minorHAnsi" w:eastAsiaTheme="minorHAnsi" w:hAnsiTheme="minorHAnsi" w:cstheme="minorBidi"/>
          <w:b/>
          <w:iCs/>
          <w:noProof/>
          <w:sz w:val="16"/>
          <w:szCs w:val="18"/>
        </w:rPr>
        <w:t>4-8</w:t>
      </w:r>
      <w:r w:rsidRPr="00C03A43">
        <w:rPr>
          <w:rFonts w:asciiTheme="minorHAnsi" w:eastAsiaTheme="minorHAnsi" w:hAnsiTheme="minorHAnsi" w:cstheme="minorBidi"/>
          <w:b/>
          <w:iCs/>
          <w:sz w:val="16"/>
          <w:szCs w:val="18"/>
        </w:rPr>
        <w:t xml:space="preserve">: </w:t>
      </w:r>
      <w:r w:rsidR="005D0EE6">
        <w:rPr>
          <w:rFonts w:asciiTheme="minorHAnsi" w:eastAsiaTheme="minorHAnsi" w:hAnsiTheme="minorHAnsi" w:cstheme="minorBidi"/>
          <w:b/>
          <w:iCs/>
          <w:sz w:val="16"/>
          <w:szCs w:val="18"/>
        </w:rPr>
        <w:t>Προϋπολογισμός</w:t>
      </w:r>
      <w:r w:rsidRPr="00C03A43">
        <w:rPr>
          <w:rFonts w:asciiTheme="minorHAnsi" w:eastAsiaTheme="minorHAnsi" w:hAnsiTheme="minorHAnsi" w:cstheme="minorBidi"/>
          <w:b/>
          <w:iCs/>
          <w:sz w:val="16"/>
          <w:szCs w:val="18"/>
        </w:rPr>
        <w:t xml:space="preserve"> που κατανέμ</w:t>
      </w:r>
      <w:r w:rsidR="005D0EE6">
        <w:rPr>
          <w:rFonts w:asciiTheme="minorHAnsi" w:eastAsiaTheme="minorHAnsi" w:hAnsiTheme="minorHAnsi" w:cstheme="minorBidi"/>
          <w:b/>
          <w:iCs/>
          <w:sz w:val="16"/>
          <w:szCs w:val="18"/>
        </w:rPr>
        <w:t>ε</w:t>
      </w:r>
      <w:r w:rsidRPr="00C03A43">
        <w:rPr>
          <w:rFonts w:asciiTheme="minorHAnsi" w:eastAsiaTheme="minorHAnsi" w:hAnsiTheme="minorHAnsi" w:cstheme="minorBidi"/>
          <w:b/>
          <w:iCs/>
          <w:sz w:val="16"/>
          <w:szCs w:val="18"/>
        </w:rPr>
        <w:t>ται ανά θεματική προτεραιότητα του προγράμματος LIFE στις ελληνικές συμμετοχές</w:t>
      </w:r>
    </w:p>
    <w:p w:rsidR="00C03A43" w:rsidRPr="00C03A43" w:rsidRDefault="00C03A43" w:rsidP="00C03A43">
      <w:pPr>
        <w:jc w:val="center"/>
      </w:pPr>
      <w:r w:rsidRPr="00C03A43">
        <w:rPr>
          <w:noProof/>
          <w:lang w:eastAsia="el-GR"/>
        </w:rPr>
        <w:drawing>
          <wp:inline distT="0" distB="0" distL="0" distR="0" wp14:anchorId="02F15E2D" wp14:editId="00B69355">
            <wp:extent cx="4572000" cy="2743200"/>
            <wp:effectExtent l="0" t="0" r="0" b="0"/>
            <wp:docPr id="1" name="Γράφημα 1">
              <a:extLst xmlns:a="http://schemas.openxmlformats.org/drawingml/2006/main">
                <a:ext uri="{FF2B5EF4-FFF2-40B4-BE49-F238E27FC236}">
                  <a16:creationId xmlns:a16="http://schemas.microsoft.com/office/drawing/2014/main" id="{2ED5C0E5-EB5A-4837-A61C-830DEE7A16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C03A43" w:rsidRPr="00C03A43" w:rsidRDefault="00C03A43" w:rsidP="00C03A43"/>
    <w:p w:rsidR="00C03A43" w:rsidRPr="00C03A43" w:rsidRDefault="00C03A43" w:rsidP="00C03A43">
      <w:r w:rsidRPr="00C03A43">
        <w:t xml:space="preserve">Σε σχέση με την </w:t>
      </w:r>
      <w:r w:rsidRPr="00C03A43">
        <w:rPr>
          <w:lang w:val="en-US"/>
        </w:rPr>
        <w:t>RIS</w:t>
      </w:r>
      <w:r w:rsidRPr="00C03A43">
        <w:t xml:space="preserve">3 το πρόγραμμα </w:t>
      </w:r>
      <w:r w:rsidRPr="00C03A43">
        <w:rPr>
          <w:lang w:val="en-US"/>
        </w:rPr>
        <w:t>LIFE</w:t>
      </w:r>
      <w:r w:rsidRPr="00C03A43">
        <w:t xml:space="preserve"> εμπίπτει εξολοκλήρου στον τομέα «περιβάλλον και βιώσιμη ανάπτυξη.</w:t>
      </w:r>
    </w:p>
    <w:p w:rsidR="00C03A43" w:rsidRPr="00C03A43" w:rsidRDefault="00C03A43" w:rsidP="00C03A43">
      <w:pPr>
        <w:pStyle w:val="Heading2"/>
        <w:rPr>
          <w:rFonts w:eastAsia="Calibri"/>
        </w:rPr>
      </w:pPr>
      <w:bookmarkStart w:id="63" w:name="_Toc14772583"/>
      <w:bookmarkStart w:id="64" w:name="_Toc22645126"/>
      <w:r w:rsidRPr="00C03A43">
        <w:rPr>
          <w:rFonts w:eastAsia="Calibri"/>
        </w:rPr>
        <w:t>Το πρόγραμμα URBACT</w:t>
      </w:r>
      <w:bookmarkEnd w:id="63"/>
      <w:bookmarkEnd w:id="64"/>
    </w:p>
    <w:p w:rsidR="00C03A43" w:rsidRPr="00C03A43" w:rsidRDefault="00C03A43" w:rsidP="00C03A43">
      <w:r w:rsidRPr="00C03A43">
        <w:t>Το URBACT δίνει στις πόλεις της Ευρώπης κεντρικό και σημαίνοντα ρόλο. Διευκολύνει τη συνεργασία μεταξύ τους για την εύρεση αποτελεσματικών και βιώσιμων λύσεων σε αστικές προκλήσεις, ενθαρρύνει την ανταλλαγή καλών πρακτικών, επιδιώκει την ανάπτυξη γνώσεων και δεξιοτήτων των πόλεων σε ζητήματα βιώσιμης αστικής ανάπτυξης, και όλα αυτά μέσα από μια διαδικασία δικτύωσης. Για να το επιτύχει αυτό</w:t>
      </w:r>
      <w:r w:rsidR="005D0EE6">
        <w:t>,</w:t>
      </w:r>
      <w:r w:rsidRPr="00C03A43">
        <w:t xml:space="preserve"> χρηματοδοτεί</w:t>
      </w:r>
      <w:r w:rsidR="005D0EE6">
        <w:t xml:space="preserve"> τα εξής</w:t>
      </w:r>
      <w:r w:rsidRPr="00C03A43">
        <w:t xml:space="preserve"> δίκτυα πόλεων:</w:t>
      </w:r>
    </w:p>
    <w:p w:rsidR="00C03A43" w:rsidRPr="00C03A43" w:rsidRDefault="00C03A43" w:rsidP="00C03A43">
      <w:pPr>
        <w:numPr>
          <w:ilvl w:val="0"/>
          <w:numId w:val="30"/>
        </w:numPr>
        <w:contextualSpacing/>
      </w:pPr>
      <w:r w:rsidRPr="00C03A43">
        <w:t>Δίκτυα Σχεδιασμού Δράσεων</w:t>
      </w:r>
    </w:p>
    <w:p w:rsidR="00C03A43" w:rsidRPr="00C03A43" w:rsidRDefault="00C03A43" w:rsidP="00C03A43">
      <w:pPr>
        <w:numPr>
          <w:ilvl w:val="0"/>
          <w:numId w:val="30"/>
        </w:numPr>
        <w:contextualSpacing/>
      </w:pPr>
      <w:r w:rsidRPr="00C03A43">
        <w:t>Δίκτυα Υλοποίησης Δράσεων</w:t>
      </w:r>
    </w:p>
    <w:p w:rsidR="00C03A43" w:rsidRPr="00C03A43" w:rsidRDefault="00C03A43" w:rsidP="00C03A43">
      <w:pPr>
        <w:numPr>
          <w:ilvl w:val="0"/>
          <w:numId w:val="30"/>
        </w:numPr>
        <w:contextualSpacing/>
      </w:pPr>
      <w:r w:rsidRPr="00C03A43">
        <w:t>Δίκτυα Μεταφοράς Καλών Πρακτικών</w:t>
      </w:r>
    </w:p>
    <w:p w:rsidR="00C03A43" w:rsidRPr="00C03A43" w:rsidRDefault="00C03A43" w:rsidP="00C03A43">
      <w:r w:rsidRPr="00C03A43">
        <w:t xml:space="preserve">Η ολοκληρωμένη αστική ανάπτυξη (αστικός σχεδιασμός, ενεργειακή αναβάθμιση, αστική κινητικότητα και ανάπλαση, ανοικτοί χώροι), η οικονομία (κυκλική οικονομία, ταυτότητα πόλης, πολιτισμός, απασχόληση και τοπική οικονομική ανάπτυξη, έρευνα και καινοτομία), το περιβάλλον (εγκαταλειμμένοι χώροι, χαμηλές εκπομπές CO2, πρόληψη κινδύνων, διαχείριση απορριμμάτων), η ανάπτυξη δεξιοτήτων (χρηματοδοτικές τεχνικές και εργαλεία, συμμετοχικότητα, κοινωνική καινοτομία) και η κοινωνική ένταξη (τρίτη ηλικία, πολιτισμός – εκπαίδευση – απασχόληση, υγεία, ένταξη μεταναστών, μειονεκτούσες γειτονιές), είναι ζητήματα για τα οποία το </w:t>
      </w:r>
      <w:r w:rsidRPr="00C03A43">
        <w:rPr>
          <w:lang w:val="en-US"/>
        </w:rPr>
        <w:t>URBACT</w:t>
      </w:r>
      <w:r w:rsidRPr="00C03A43">
        <w:t xml:space="preserve"> ενθαρρύνει την ανάπτυξη δικτύων πόλεων.</w:t>
      </w:r>
    </w:p>
    <w:p w:rsidR="00C03A43" w:rsidRPr="00C03A43" w:rsidRDefault="00C03A43" w:rsidP="00C03A43">
      <w:r w:rsidRPr="00C03A43">
        <w:t xml:space="preserve">Οι ελληνικές συμμετοχές στο URBACT III σε 8 εγκεκριμένα έργα, ανήλθαν στις 12, με συνολικό </w:t>
      </w:r>
      <w:r w:rsidR="005D0EE6">
        <w:t>προϋπολογισμό</w:t>
      </w:r>
      <w:r w:rsidRPr="00C03A43">
        <w:t xml:space="preserve"> 633.315,09 €.</w:t>
      </w:r>
    </w:p>
    <w:p w:rsidR="00C03A43" w:rsidRPr="00C03A43" w:rsidRDefault="00C03A43" w:rsidP="00C03A43">
      <w:r w:rsidRPr="00C03A43">
        <w:lastRenderedPageBreak/>
        <w:t>Η προσέγγιση της RIS3 που αφορά στην αποστολή και αντιμετώπιση παγκόσμιων προκλήσεων είναι ανοικτή σε όλους τους παράγοντες</w:t>
      </w:r>
      <w:r w:rsidR="00F27985">
        <w:t xml:space="preserve">/φορείς </w:t>
      </w:r>
      <w:r w:rsidRPr="00C03A43">
        <w:t xml:space="preserve">έρευνας και καινοτομίας, όπως οι πόλεις και οι περιφέρειες, οι οποίες θα μπορούσαν να λειτουργήσουν ως «εργαστήρια καινοτομίας της αλλαγής» για την εφαρμογή νέων ιδεών και εννοιών. Από εκεί προκύπτει και η σύνδεση της </w:t>
      </w:r>
      <w:r w:rsidRPr="00C03A43">
        <w:rPr>
          <w:lang w:val="en-US"/>
        </w:rPr>
        <w:t>RI</w:t>
      </w:r>
      <w:r w:rsidR="005D0EE6">
        <w:t>3</w:t>
      </w:r>
      <w:r w:rsidRPr="00C03A43">
        <w:rPr>
          <w:lang w:val="en-US"/>
        </w:rPr>
        <w:t>S</w:t>
      </w:r>
      <w:r w:rsidRPr="00C03A43">
        <w:t xml:space="preserve"> με το συγκεκριμένο Πρόγραμμα. Το </w:t>
      </w:r>
      <w:r w:rsidR="00F27985">
        <w:t xml:space="preserve">ήμισυ </w:t>
      </w:r>
      <w:r w:rsidRPr="00C03A43">
        <w:t xml:space="preserve">των εγκεκριμένων έργων συνδέεται άμεσα με τους τομείς </w:t>
      </w:r>
      <w:r w:rsidR="00F27985">
        <w:t xml:space="preserve">προτεραιότητας </w:t>
      </w:r>
      <w:r w:rsidRPr="00C03A43">
        <w:t xml:space="preserve">της RIS3. Αναλυτικότερα, </w:t>
      </w:r>
      <w:r w:rsidR="00F27985">
        <w:t>δύο (</w:t>
      </w:r>
      <w:r w:rsidRPr="00C03A43">
        <w:t>2</w:t>
      </w:r>
      <w:r w:rsidR="00F27985">
        <w:t>)</w:t>
      </w:r>
      <w:r w:rsidRPr="00C03A43">
        <w:t xml:space="preserve"> εγκεκριμένα έργα </w:t>
      </w:r>
      <w:r w:rsidR="00F27985">
        <w:t>περιλαμβάνονται</w:t>
      </w:r>
      <w:r w:rsidRPr="00C03A43">
        <w:t xml:space="preserve"> στον τομέα των αστικών μεταφορών, ένα (1) στην Αγροδιατροφή και ένα (1) στον τομέα του πολιτισμού.</w:t>
      </w:r>
    </w:p>
    <w:p w:rsidR="00316B45" w:rsidRDefault="00316B45">
      <w:pPr>
        <w:spacing w:before="0" w:after="160" w:line="259" w:lineRule="auto"/>
        <w:jc w:val="left"/>
      </w:pPr>
    </w:p>
    <w:p w:rsidR="001B7E9E" w:rsidRDefault="001B7E9E" w:rsidP="001B7E9E">
      <w:pPr>
        <w:pStyle w:val="Heading1"/>
      </w:pPr>
      <w:bookmarkStart w:id="65" w:name="_Toc22645127"/>
      <w:bookmarkStart w:id="66" w:name="_Toc6503379"/>
      <w:r>
        <w:t>Δείκτες Εκροής Στρατηγικής</w:t>
      </w:r>
      <w:bookmarkEnd w:id="65"/>
    </w:p>
    <w:p w:rsidR="00D90118" w:rsidRPr="009406A9" w:rsidRDefault="00D90118" w:rsidP="00D90118">
      <w:pPr>
        <w:pStyle w:val="Heading2"/>
      </w:pPr>
      <w:bookmarkStart w:id="67" w:name="_Toc22645128"/>
      <w:r w:rsidRPr="009406A9">
        <w:t>Γενικές Παρατηρήσεις</w:t>
      </w:r>
      <w:bookmarkEnd w:id="66"/>
      <w:bookmarkEnd w:id="67"/>
    </w:p>
    <w:p w:rsidR="00D90118" w:rsidRDefault="00D90118" w:rsidP="00D90118">
      <w:r>
        <w:t xml:space="preserve">Ο Μηχανισμός Παρακολούθησης και αξιολόγησης της </w:t>
      </w:r>
      <w:r w:rsidRPr="003B1358">
        <w:t>RIS</w:t>
      </w:r>
      <w:r>
        <w:t>3 εφαρμόζεται σε εθνικό και περιφερειακό επίπεδο και βασίζεται σε δείκτες οι οποίοι επιτρέπουν την παρακολούθηση της προόδου κάθε προτεραιότητας της έξυπνης</w:t>
      </w:r>
      <w:r w:rsidR="00F513A2">
        <w:t xml:space="preserve"> εξειδίκευσης. Για το ΕΠΑνΕΚ</w:t>
      </w:r>
      <w:r>
        <w:t xml:space="preserve">, ως το βασικό τομεακό Ε.Π. που συνδέεται με την εφαρμογή της </w:t>
      </w:r>
      <w:r w:rsidRPr="003B1358">
        <w:t>RIS</w:t>
      </w:r>
      <w:r w:rsidR="001C2425">
        <w:t>3</w:t>
      </w:r>
      <w:r>
        <w:t>, παρακολουθείται ο Θεματικός Στόχος 1 και οι δείκτες εκροών των Επενδυτικών Προτεραιοτήτων 1</w:t>
      </w:r>
      <w:r>
        <w:rPr>
          <w:lang w:val="en-US"/>
        </w:rPr>
        <w:t>a</w:t>
      </w:r>
      <w:r w:rsidRPr="003B1358">
        <w:t xml:space="preserve"> </w:t>
      </w:r>
      <w:r>
        <w:t xml:space="preserve">και </w:t>
      </w:r>
      <w:r w:rsidRPr="003B1358">
        <w:t>1</w:t>
      </w:r>
      <w:r>
        <w:rPr>
          <w:lang w:val="en-US"/>
        </w:rPr>
        <w:t>b</w:t>
      </w:r>
      <w:r w:rsidRPr="003B1358">
        <w:t>.</w:t>
      </w:r>
    </w:p>
    <w:p w:rsidR="00D90118" w:rsidRDefault="00D90118" w:rsidP="00D90118">
      <w:r>
        <w:t>Στο πλαίσιο αυτό παρακολ</w:t>
      </w:r>
      <w:r w:rsidR="00F513A2">
        <w:t>ουθούνται οι εξής δείκτες</w:t>
      </w:r>
      <w:r>
        <w:t>:</w:t>
      </w:r>
    </w:p>
    <w:p w:rsidR="00D90118" w:rsidRDefault="00D90118" w:rsidP="001B2DD1">
      <w:pPr>
        <w:pStyle w:val="ListParagraph"/>
        <w:numPr>
          <w:ilvl w:val="0"/>
          <w:numId w:val="19"/>
        </w:numPr>
      </w:pPr>
      <w:r>
        <w:rPr>
          <w:lang w:val="en-US"/>
        </w:rPr>
        <w:t>CO</w:t>
      </w:r>
      <w:r w:rsidRPr="000A3801">
        <w:t xml:space="preserve">25, </w:t>
      </w:r>
      <w:r>
        <w:rPr>
          <w:lang w:val="en-US"/>
        </w:rPr>
        <w:t>SO</w:t>
      </w:r>
      <w:r w:rsidRPr="000A3801">
        <w:t xml:space="preserve">033 </w:t>
      </w:r>
      <w:r>
        <w:t>της Επενδυτικής Προτεραιότητας 1α</w:t>
      </w:r>
    </w:p>
    <w:p w:rsidR="00D90118" w:rsidRDefault="00D90118" w:rsidP="001B2DD1">
      <w:pPr>
        <w:pStyle w:val="ListParagraph"/>
        <w:numPr>
          <w:ilvl w:val="0"/>
          <w:numId w:val="19"/>
        </w:numPr>
        <w:rPr>
          <w:lang w:val="en-US"/>
        </w:rPr>
      </w:pPr>
      <w:r>
        <w:rPr>
          <w:lang w:val="en-US"/>
        </w:rPr>
        <w:t>CO01, CO02, CO03, CO05, CO07,</w:t>
      </w:r>
      <w:r w:rsidRPr="000A3801">
        <w:rPr>
          <w:lang w:val="en-US"/>
        </w:rPr>
        <w:t xml:space="preserve"> </w:t>
      </w:r>
      <w:r>
        <w:rPr>
          <w:lang w:val="en-US"/>
        </w:rPr>
        <w:t>CO24,</w:t>
      </w:r>
      <w:r w:rsidRPr="000A3801">
        <w:rPr>
          <w:lang w:val="en-US"/>
        </w:rPr>
        <w:t xml:space="preserve"> </w:t>
      </w:r>
      <w:r>
        <w:rPr>
          <w:lang w:val="en-US"/>
        </w:rPr>
        <w:t>CO26,</w:t>
      </w:r>
      <w:r w:rsidRPr="000A3801">
        <w:rPr>
          <w:lang w:val="en-US"/>
        </w:rPr>
        <w:t xml:space="preserve"> </w:t>
      </w:r>
      <w:r>
        <w:rPr>
          <w:lang w:val="en-US"/>
        </w:rPr>
        <w:t>CO27 και</w:t>
      </w:r>
      <w:r w:rsidRPr="000A3801">
        <w:rPr>
          <w:lang w:val="en-US"/>
        </w:rPr>
        <w:t xml:space="preserve"> </w:t>
      </w:r>
      <w:r>
        <w:t>Τ</w:t>
      </w:r>
      <w:r w:rsidRPr="000A3801">
        <w:rPr>
          <w:lang w:val="en-US"/>
        </w:rPr>
        <w:t xml:space="preserve">4204 </w:t>
      </w:r>
      <w:r>
        <w:t>της</w:t>
      </w:r>
      <w:r w:rsidRPr="000A3801">
        <w:rPr>
          <w:lang w:val="en-US"/>
        </w:rPr>
        <w:t xml:space="preserve"> </w:t>
      </w:r>
      <w:r>
        <w:t>Επενδυτικής</w:t>
      </w:r>
      <w:r w:rsidRPr="000A3801">
        <w:rPr>
          <w:lang w:val="en-US"/>
        </w:rPr>
        <w:t xml:space="preserve"> </w:t>
      </w:r>
      <w:r>
        <w:t>Προτεραιότητας 1</w:t>
      </w:r>
      <w:r>
        <w:rPr>
          <w:lang w:val="en-US"/>
        </w:rPr>
        <w:t xml:space="preserve">b. </w:t>
      </w:r>
    </w:p>
    <w:p w:rsidR="00D90118" w:rsidRDefault="00D90118" w:rsidP="00D90118">
      <w:r>
        <w:t>Η παρακολούθηση των τιμών των συγκεκριμένων δεικτών γίνεται στη βάση της φυσικής προόδου των έργων που εντάσσονται στο πλαίσιο Προσκλήσεων που εκδίδουν οι φορείς υλοποίησης για τις παραπάνω Επενδυτικές Προτεραιότητες. Σύμφωνα με τις Προσκλήσεις που έχουν εκδοθεί έως το 201</w:t>
      </w:r>
      <w:r w:rsidR="001C2425">
        <w:t>7</w:t>
      </w:r>
      <w:r>
        <w:t>, η κατανομή των δεικτών έχει ως εξής:</w:t>
      </w:r>
    </w:p>
    <w:p w:rsidR="00D90118" w:rsidRDefault="00D90118" w:rsidP="00D90118"/>
    <w:p w:rsidR="00D90118" w:rsidRDefault="00D90118" w:rsidP="00D90118">
      <w:pPr>
        <w:sectPr w:rsidR="00D90118" w:rsidSect="005476F0">
          <w:headerReference w:type="default" r:id="rId60"/>
          <w:footerReference w:type="default" r:id="rId61"/>
          <w:footerReference w:type="first" r:id="rId62"/>
          <w:pgSz w:w="11906" w:h="16838" w:code="9"/>
          <w:pgMar w:top="1440" w:right="1247" w:bottom="1440" w:left="1247" w:header="720" w:footer="720" w:gutter="0"/>
          <w:cols w:space="708"/>
          <w:docGrid w:linePitch="360"/>
        </w:sectPr>
      </w:pPr>
    </w:p>
    <w:p w:rsidR="00D90118" w:rsidRPr="0000404B" w:rsidRDefault="006C426D" w:rsidP="006C426D">
      <w:pPr>
        <w:pStyle w:val="Caption"/>
        <w:rPr>
          <w:szCs w:val="16"/>
        </w:rPr>
      </w:pPr>
      <w:r>
        <w:lastRenderedPageBreak/>
        <w:t xml:space="preserve">Πίνακας </w:t>
      </w:r>
      <w:r w:rsidR="00833098">
        <w:rPr>
          <w:noProof/>
        </w:rPr>
        <w:fldChar w:fldCharType="begin"/>
      </w:r>
      <w:r w:rsidR="00833098">
        <w:rPr>
          <w:noProof/>
        </w:rPr>
        <w:instrText xml:space="preserve"> STYLEREF 1 \s </w:instrText>
      </w:r>
      <w:r w:rsidR="00833098">
        <w:rPr>
          <w:noProof/>
        </w:rPr>
        <w:fldChar w:fldCharType="separate"/>
      </w:r>
      <w:r w:rsidR="00332E24">
        <w:rPr>
          <w:noProof/>
        </w:rPr>
        <w:t>5</w:t>
      </w:r>
      <w:r w:rsidR="00833098">
        <w:rPr>
          <w:noProof/>
        </w:rPr>
        <w:fldChar w:fldCharType="end"/>
      </w:r>
      <w:r w:rsidR="009C23C4">
        <w:noBreakHyphen/>
      </w:r>
      <w:r w:rsidR="00833098">
        <w:rPr>
          <w:noProof/>
        </w:rPr>
        <w:fldChar w:fldCharType="begin"/>
      </w:r>
      <w:r w:rsidR="00833098">
        <w:rPr>
          <w:noProof/>
        </w:rPr>
        <w:instrText xml:space="preserve"> SEQ Πίνακας \* ARABIC \s 1 </w:instrText>
      </w:r>
      <w:r w:rsidR="00833098">
        <w:rPr>
          <w:noProof/>
        </w:rPr>
        <w:fldChar w:fldCharType="separate"/>
      </w:r>
      <w:r w:rsidR="00332E24">
        <w:rPr>
          <w:noProof/>
        </w:rPr>
        <w:t>1</w:t>
      </w:r>
      <w:r w:rsidR="00833098">
        <w:rPr>
          <w:noProof/>
        </w:rPr>
        <w:fldChar w:fldCharType="end"/>
      </w:r>
      <w:r w:rsidR="0000404B" w:rsidRPr="0000404B">
        <w:rPr>
          <w:szCs w:val="16"/>
        </w:rPr>
        <w:t xml:space="preserve">: </w:t>
      </w:r>
      <w:r>
        <w:rPr>
          <w:szCs w:val="16"/>
        </w:rPr>
        <w:t xml:space="preserve"> </w:t>
      </w:r>
      <w:r w:rsidR="0000404B" w:rsidRPr="0000404B">
        <w:rPr>
          <w:szCs w:val="16"/>
        </w:rPr>
        <w:t>Δείκτες εκροών ανά Πρόσκληση</w:t>
      </w: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570"/>
        <w:gridCol w:w="1360"/>
        <w:gridCol w:w="1365"/>
        <w:gridCol w:w="805"/>
        <w:gridCol w:w="665"/>
        <w:gridCol w:w="687"/>
        <w:gridCol w:w="693"/>
        <w:gridCol w:w="655"/>
        <w:gridCol w:w="655"/>
        <w:gridCol w:w="668"/>
        <w:gridCol w:w="690"/>
        <w:gridCol w:w="655"/>
        <w:gridCol w:w="655"/>
        <w:gridCol w:w="642"/>
        <w:gridCol w:w="992"/>
      </w:tblGrid>
      <w:tr w:rsidR="00D90118" w:rsidTr="00977C09">
        <w:trPr>
          <w:tblHeader/>
        </w:trPr>
        <w:tc>
          <w:tcPr>
            <w:tcW w:w="2570" w:type="dxa"/>
            <w:vMerge w:val="restart"/>
            <w:shd w:val="clear" w:color="auto" w:fill="800000"/>
            <w:vAlign w:val="center"/>
          </w:tcPr>
          <w:p w:rsidR="00D90118" w:rsidRPr="006C426D" w:rsidRDefault="00D90118" w:rsidP="00D21C6A">
            <w:pPr>
              <w:rPr>
                <w:b/>
              </w:rPr>
            </w:pPr>
            <w:r w:rsidRPr="006C426D">
              <w:rPr>
                <w:b/>
              </w:rPr>
              <w:t>Πρόσκληση/Δράση</w:t>
            </w:r>
          </w:p>
        </w:tc>
        <w:tc>
          <w:tcPr>
            <w:tcW w:w="1360" w:type="dxa"/>
            <w:vMerge w:val="restart"/>
            <w:shd w:val="clear" w:color="auto" w:fill="800000"/>
            <w:vAlign w:val="center"/>
          </w:tcPr>
          <w:p w:rsidR="00D90118" w:rsidRPr="006C426D" w:rsidRDefault="00D90118" w:rsidP="00D21C6A">
            <w:pPr>
              <w:rPr>
                <w:b/>
              </w:rPr>
            </w:pPr>
            <w:r w:rsidRPr="006C426D">
              <w:rPr>
                <w:b/>
              </w:rPr>
              <w:t>Έτος Πρόσκλησης</w:t>
            </w:r>
          </w:p>
        </w:tc>
        <w:tc>
          <w:tcPr>
            <w:tcW w:w="1365" w:type="dxa"/>
            <w:vMerge w:val="restart"/>
            <w:shd w:val="clear" w:color="auto" w:fill="800000"/>
            <w:vAlign w:val="center"/>
          </w:tcPr>
          <w:p w:rsidR="00D90118" w:rsidRPr="006C426D" w:rsidRDefault="00D90118" w:rsidP="00D21C6A">
            <w:pPr>
              <w:rPr>
                <w:b/>
              </w:rPr>
            </w:pPr>
            <w:r w:rsidRPr="006C426D">
              <w:rPr>
                <w:b/>
              </w:rPr>
              <w:t>Φορέας Πρόσκλησης</w:t>
            </w:r>
          </w:p>
        </w:tc>
        <w:tc>
          <w:tcPr>
            <w:tcW w:w="8462" w:type="dxa"/>
            <w:gridSpan w:val="12"/>
            <w:shd w:val="clear" w:color="auto" w:fill="800000"/>
          </w:tcPr>
          <w:p w:rsidR="00D90118" w:rsidRPr="006C426D" w:rsidRDefault="00D90118" w:rsidP="00D21C6A">
            <w:pPr>
              <w:jc w:val="center"/>
              <w:rPr>
                <w:b/>
              </w:rPr>
            </w:pPr>
            <w:r w:rsidRPr="006C426D">
              <w:rPr>
                <w:b/>
              </w:rPr>
              <w:t>Δείκτες Εκροών ανά Πρόσκληση Θ.Σ. 1 - ΕΠΑΝΕΚ</w:t>
            </w:r>
          </w:p>
        </w:tc>
      </w:tr>
      <w:tr w:rsidR="00D90118" w:rsidTr="00977C09">
        <w:tc>
          <w:tcPr>
            <w:tcW w:w="2570" w:type="dxa"/>
            <w:vMerge/>
            <w:shd w:val="clear" w:color="auto" w:fill="800000"/>
          </w:tcPr>
          <w:p w:rsidR="00D90118" w:rsidRPr="00A07EEE" w:rsidRDefault="00D90118" w:rsidP="00D21C6A"/>
        </w:tc>
        <w:tc>
          <w:tcPr>
            <w:tcW w:w="1360" w:type="dxa"/>
            <w:vMerge/>
            <w:shd w:val="clear" w:color="auto" w:fill="800000"/>
          </w:tcPr>
          <w:p w:rsidR="00D90118" w:rsidRPr="00A07EEE" w:rsidRDefault="00D90118" w:rsidP="00D21C6A"/>
        </w:tc>
        <w:tc>
          <w:tcPr>
            <w:tcW w:w="1365" w:type="dxa"/>
            <w:vMerge/>
            <w:shd w:val="clear" w:color="auto" w:fill="800000"/>
          </w:tcPr>
          <w:p w:rsidR="00D90118" w:rsidRPr="00A07EEE" w:rsidRDefault="00D90118" w:rsidP="00D21C6A"/>
        </w:tc>
        <w:tc>
          <w:tcPr>
            <w:tcW w:w="805"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rPr>
              <w:t>05801</w:t>
            </w:r>
          </w:p>
        </w:tc>
        <w:tc>
          <w:tcPr>
            <w:tcW w:w="665"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rPr>
              <w:t>05802</w:t>
            </w:r>
          </w:p>
        </w:tc>
        <w:tc>
          <w:tcPr>
            <w:tcW w:w="687"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rPr>
              <w:t>05803</w:t>
            </w:r>
          </w:p>
        </w:tc>
        <w:tc>
          <w:tcPr>
            <w:tcW w:w="693"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rPr>
              <w:t>05804</w:t>
            </w:r>
          </w:p>
        </w:tc>
        <w:tc>
          <w:tcPr>
            <w:tcW w:w="655" w:type="dxa"/>
            <w:shd w:val="clear" w:color="auto" w:fill="D9D9D9" w:themeFill="background1" w:themeFillShade="D9"/>
            <w:vAlign w:val="center"/>
          </w:tcPr>
          <w:p w:rsidR="00D90118" w:rsidRPr="0000404B" w:rsidRDefault="00D90118" w:rsidP="00D21C6A">
            <w:pPr>
              <w:jc w:val="center"/>
              <w:rPr>
                <w:b/>
                <w:sz w:val="16"/>
                <w:szCs w:val="16"/>
              </w:rPr>
            </w:pPr>
            <w:r w:rsidRPr="00A07EEE">
              <w:rPr>
                <w:b/>
                <w:sz w:val="16"/>
                <w:szCs w:val="16"/>
                <w:lang w:val="en-US"/>
              </w:rPr>
              <w:t>CO</w:t>
            </w:r>
            <w:r w:rsidRPr="0000404B">
              <w:rPr>
                <w:b/>
                <w:sz w:val="16"/>
                <w:szCs w:val="16"/>
              </w:rPr>
              <w:t>01</w:t>
            </w:r>
          </w:p>
        </w:tc>
        <w:tc>
          <w:tcPr>
            <w:tcW w:w="655"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lang w:val="en-US"/>
              </w:rPr>
              <w:t>CO02</w:t>
            </w:r>
          </w:p>
        </w:tc>
        <w:tc>
          <w:tcPr>
            <w:tcW w:w="668"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lang w:val="en-US"/>
              </w:rPr>
              <w:t>CO05</w:t>
            </w:r>
          </w:p>
        </w:tc>
        <w:tc>
          <w:tcPr>
            <w:tcW w:w="690" w:type="dxa"/>
            <w:shd w:val="clear" w:color="auto" w:fill="D9D9D9" w:themeFill="background1" w:themeFillShade="D9"/>
            <w:vAlign w:val="center"/>
          </w:tcPr>
          <w:p w:rsidR="00D90118" w:rsidRPr="00A07EEE" w:rsidRDefault="00D90118" w:rsidP="00D21C6A">
            <w:pPr>
              <w:jc w:val="center"/>
              <w:rPr>
                <w:b/>
                <w:sz w:val="16"/>
                <w:szCs w:val="16"/>
                <w:lang w:val="en-US"/>
              </w:rPr>
            </w:pPr>
            <w:r w:rsidRPr="00A07EEE">
              <w:rPr>
                <w:b/>
                <w:sz w:val="16"/>
                <w:szCs w:val="16"/>
                <w:lang w:val="en-US"/>
              </w:rPr>
              <w:t>CO24</w:t>
            </w:r>
          </w:p>
        </w:tc>
        <w:tc>
          <w:tcPr>
            <w:tcW w:w="655"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lang w:val="en-US"/>
              </w:rPr>
              <w:t>CO25</w:t>
            </w:r>
          </w:p>
        </w:tc>
        <w:tc>
          <w:tcPr>
            <w:tcW w:w="655"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lang w:val="en-US"/>
              </w:rPr>
              <w:t>CO26</w:t>
            </w:r>
          </w:p>
        </w:tc>
        <w:tc>
          <w:tcPr>
            <w:tcW w:w="642" w:type="dxa"/>
            <w:shd w:val="clear" w:color="auto" w:fill="D9D9D9" w:themeFill="background1" w:themeFillShade="D9"/>
            <w:vAlign w:val="center"/>
          </w:tcPr>
          <w:p w:rsidR="00D90118" w:rsidRPr="00A07EEE" w:rsidRDefault="00D90118" w:rsidP="00D21C6A">
            <w:pPr>
              <w:jc w:val="center"/>
              <w:rPr>
                <w:b/>
                <w:sz w:val="16"/>
                <w:szCs w:val="16"/>
                <w:lang w:val="en-US"/>
              </w:rPr>
            </w:pPr>
            <w:r w:rsidRPr="00A07EEE">
              <w:rPr>
                <w:b/>
                <w:sz w:val="16"/>
                <w:szCs w:val="16"/>
                <w:lang w:val="en-US"/>
              </w:rPr>
              <w:t>T4204</w:t>
            </w:r>
          </w:p>
        </w:tc>
        <w:tc>
          <w:tcPr>
            <w:tcW w:w="992" w:type="dxa"/>
            <w:shd w:val="clear" w:color="auto" w:fill="D9D9D9" w:themeFill="background1" w:themeFillShade="D9"/>
            <w:vAlign w:val="center"/>
          </w:tcPr>
          <w:p w:rsidR="00D90118" w:rsidRPr="00A07EEE" w:rsidRDefault="00D90118" w:rsidP="00D21C6A">
            <w:pPr>
              <w:jc w:val="center"/>
              <w:rPr>
                <w:b/>
                <w:sz w:val="16"/>
                <w:szCs w:val="16"/>
                <w:lang w:val="en-US"/>
              </w:rPr>
            </w:pPr>
            <w:r w:rsidRPr="00A07EEE">
              <w:rPr>
                <w:b/>
                <w:sz w:val="16"/>
                <w:szCs w:val="16"/>
                <w:lang w:val="en-US"/>
              </w:rPr>
              <w:t>SO033/</w:t>
            </w:r>
          </w:p>
          <w:p w:rsidR="00D90118" w:rsidRPr="00A07EEE" w:rsidRDefault="00D90118" w:rsidP="00D21C6A">
            <w:pPr>
              <w:jc w:val="center"/>
              <w:rPr>
                <w:b/>
                <w:sz w:val="16"/>
                <w:szCs w:val="16"/>
                <w:lang w:val="en-US"/>
              </w:rPr>
            </w:pPr>
            <w:r w:rsidRPr="00A07EEE">
              <w:rPr>
                <w:b/>
                <w:sz w:val="16"/>
                <w:szCs w:val="16"/>
                <w:lang w:val="en-US"/>
              </w:rPr>
              <w:t>T4225</w:t>
            </w:r>
          </w:p>
        </w:tc>
      </w:tr>
      <w:tr w:rsidR="00D90118" w:rsidTr="00977C09">
        <w:tc>
          <w:tcPr>
            <w:tcW w:w="2570" w:type="dxa"/>
          </w:tcPr>
          <w:p w:rsidR="00D90118" w:rsidRPr="00F1002D" w:rsidRDefault="00D90118" w:rsidP="00D21C6A">
            <w:pPr>
              <w:rPr>
                <w:i/>
              </w:rPr>
            </w:pPr>
            <w:r w:rsidRPr="00F1002D">
              <w:rPr>
                <w:i/>
              </w:rPr>
              <w:t>Δημιουργώ, Ερευνώ, Καινοτομώ</w:t>
            </w:r>
          </w:p>
        </w:tc>
        <w:tc>
          <w:tcPr>
            <w:tcW w:w="1360" w:type="dxa"/>
          </w:tcPr>
          <w:p w:rsidR="00D90118" w:rsidRPr="006626D0" w:rsidRDefault="00D90118" w:rsidP="00D21C6A">
            <w:pPr>
              <w:jc w:val="center"/>
              <w:rPr>
                <w:b/>
              </w:rPr>
            </w:pPr>
            <w:r w:rsidRPr="006626D0">
              <w:rPr>
                <w:b/>
              </w:rPr>
              <w:t>2017</w:t>
            </w:r>
          </w:p>
        </w:tc>
        <w:tc>
          <w:tcPr>
            <w:tcW w:w="1365" w:type="dxa"/>
          </w:tcPr>
          <w:p w:rsidR="00D90118" w:rsidRPr="00A07EEE" w:rsidRDefault="00D90118" w:rsidP="00D21C6A">
            <w:r>
              <w:t>ΕΥΔΕ ΕΤΑΚ</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rPr>
                <w:i/>
              </w:rPr>
            </w:pPr>
            <w:r w:rsidRPr="00F1002D">
              <w:rPr>
                <w:i/>
              </w:rPr>
              <w:t>ERA-NETS 2016</w:t>
            </w:r>
          </w:p>
        </w:tc>
        <w:tc>
          <w:tcPr>
            <w:tcW w:w="1360" w:type="dxa"/>
          </w:tcPr>
          <w:p w:rsidR="00D90118" w:rsidRPr="006626D0" w:rsidRDefault="00D90118" w:rsidP="00D21C6A">
            <w:pPr>
              <w:jc w:val="center"/>
              <w:rPr>
                <w:b/>
              </w:rPr>
            </w:pPr>
            <w:r w:rsidRPr="006626D0">
              <w:rPr>
                <w:b/>
              </w:rPr>
              <w:t>2016</w:t>
            </w:r>
          </w:p>
        </w:tc>
        <w:tc>
          <w:tcPr>
            <w:tcW w:w="1365" w:type="dxa"/>
          </w:tcPr>
          <w:p w:rsidR="00D90118" w:rsidRPr="00A07EEE" w:rsidRDefault="00D90118" w:rsidP="00D21C6A">
            <w:r w:rsidRPr="00A07EEE">
              <w:t>ΓΓΕΤ</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jc w:val="left"/>
              <w:rPr>
                <w:i/>
                <w:sz w:val="16"/>
                <w:szCs w:val="16"/>
              </w:rPr>
            </w:pPr>
            <w:r w:rsidRPr="00F1002D">
              <w:rPr>
                <w:i/>
                <w:sz w:val="16"/>
                <w:szCs w:val="16"/>
              </w:rPr>
              <w:t>Διμερής Ε&amp;Τ Συνεργασία Ελλάδα-Γερμανία</w:t>
            </w:r>
          </w:p>
        </w:tc>
        <w:tc>
          <w:tcPr>
            <w:tcW w:w="1360" w:type="dxa"/>
          </w:tcPr>
          <w:p w:rsidR="00D90118" w:rsidRPr="006626D0" w:rsidRDefault="00D90118" w:rsidP="00D21C6A">
            <w:pPr>
              <w:jc w:val="center"/>
              <w:rPr>
                <w:b/>
              </w:rPr>
            </w:pPr>
            <w:r w:rsidRPr="006626D0">
              <w:rPr>
                <w:b/>
              </w:rPr>
              <w:t>2016</w:t>
            </w:r>
          </w:p>
        </w:tc>
        <w:tc>
          <w:tcPr>
            <w:tcW w:w="1365" w:type="dxa"/>
          </w:tcPr>
          <w:p w:rsidR="00D90118" w:rsidRPr="00A07EEE" w:rsidRDefault="00D90118" w:rsidP="00D21C6A">
            <w:r w:rsidRPr="00A07EEE">
              <w:t>ΓΓΕΤ</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jc w:val="left"/>
              <w:rPr>
                <w:i/>
                <w:sz w:val="16"/>
                <w:szCs w:val="16"/>
              </w:rPr>
            </w:pPr>
            <w:r w:rsidRPr="00F1002D">
              <w:rPr>
                <w:i/>
                <w:sz w:val="16"/>
                <w:szCs w:val="16"/>
              </w:rPr>
              <w:t>Διμερής Ε&amp;Τ Συνεργασία Ελλάδα-Ρωσία</w:t>
            </w:r>
          </w:p>
        </w:tc>
        <w:tc>
          <w:tcPr>
            <w:tcW w:w="1360" w:type="dxa"/>
          </w:tcPr>
          <w:p w:rsidR="00D90118" w:rsidRPr="006626D0" w:rsidRDefault="00D90118" w:rsidP="00D21C6A">
            <w:pPr>
              <w:jc w:val="center"/>
              <w:rPr>
                <w:b/>
              </w:rPr>
            </w:pPr>
            <w:r w:rsidRPr="006626D0">
              <w:rPr>
                <w:b/>
              </w:rPr>
              <w:t>2016</w:t>
            </w:r>
          </w:p>
        </w:tc>
        <w:tc>
          <w:tcPr>
            <w:tcW w:w="1365" w:type="dxa"/>
          </w:tcPr>
          <w:p w:rsidR="00D90118" w:rsidRPr="00A07EEE" w:rsidRDefault="00D90118" w:rsidP="00D21C6A">
            <w:r w:rsidRPr="00A07EEE">
              <w:t>ΓΓΕΤ</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jc w:val="left"/>
              <w:rPr>
                <w:i/>
                <w:sz w:val="16"/>
                <w:szCs w:val="16"/>
              </w:rPr>
            </w:pPr>
            <w:r w:rsidRPr="00F1002D">
              <w:rPr>
                <w:i/>
                <w:sz w:val="16"/>
                <w:szCs w:val="16"/>
              </w:rPr>
              <w:t>Διμερής Ε&amp;Τ Συνεργασία Ελλάδα-Ισραήλ</w:t>
            </w:r>
          </w:p>
        </w:tc>
        <w:tc>
          <w:tcPr>
            <w:tcW w:w="1360" w:type="dxa"/>
          </w:tcPr>
          <w:p w:rsidR="00D90118" w:rsidRPr="006626D0" w:rsidRDefault="00D90118" w:rsidP="00D21C6A">
            <w:pPr>
              <w:jc w:val="center"/>
              <w:rPr>
                <w:b/>
              </w:rPr>
            </w:pPr>
            <w:r w:rsidRPr="006626D0">
              <w:rPr>
                <w:b/>
              </w:rPr>
              <w:t>2017</w:t>
            </w:r>
          </w:p>
        </w:tc>
        <w:tc>
          <w:tcPr>
            <w:tcW w:w="1365" w:type="dxa"/>
          </w:tcPr>
          <w:p w:rsidR="00D90118" w:rsidRPr="00A07EEE" w:rsidRDefault="00D90118" w:rsidP="00D21C6A">
            <w:r w:rsidRPr="00A07EEE">
              <w:t>ΓΓΕΤ</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jc w:val="left"/>
              <w:rPr>
                <w:i/>
                <w:sz w:val="16"/>
                <w:szCs w:val="16"/>
              </w:rPr>
            </w:pPr>
            <w:r w:rsidRPr="00F1002D">
              <w:rPr>
                <w:i/>
                <w:sz w:val="16"/>
                <w:szCs w:val="16"/>
              </w:rPr>
              <w:t>Ειδικές Δράσεις «ΥΔΑΤΟΚΑΛΛΙΕΡΓΕΙΕΣ» «ΒΙΟΜΗΧΑΝΙΚΑ ΥΛΙΚΑ» , «ΑΝΟΙΧΤΗ ΚΑΙΝΟΤΟΜΙΑ ΣΤΟΝ ΠΟΛΙΤΙΣΜΟ»’’</w:t>
            </w:r>
          </w:p>
        </w:tc>
        <w:tc>
          <w:tcPr>
            <w:tcW w:w="1360" w:type="dxa"/>
            <w:vAlign w:val="center"/>
          </w:tcPr>
          <w:p w:rsidR="00D90118" w:rsidRPr="006626D0" w:rsidRDefault="00D90118" w:rsidP="00D21C6A">
            <w:pPr>
              <w:jc w:val="center"/>
              <w:rPr>
                <w:b/>
              </w:rPr>
            </w:pPr>
            <w:r w:rsidRPr="006626D0">
              <w:rPr>
                <w:b/>
              </w:rPr>
              <w:t>2017</w:t>
            </w:r>
          </w:p>
        </w:tc>
        <w:tc>
          <w:tcPr>
            <w:tcW w:w="1365" w:type="dxa"/>
            <w:vAlign w:val="center"/>
          </w:tcPr>
          <w:p w:rsidR="00D90118" w:rsidRPr="00A07EEE" w:rsidRDefault="00D90118" w:rsidP="00D21C6A">
            <w:r w:rsidRPr="00A07EEE">
              <w:t>ΓΓΕΤ</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r>
      <w:tr w:rsidR="00D90118" w:rsidTr="00977C09">
        <w:tc>
          <w:tcPr>
            <w:tcW w:w="2570" w:type="dxa"/>
          </w:tcPr>
          <w:p w:rsidR="00D90118" w:rsidRPr="00F1002D" w:rsidRDefault="00D90118" w:rsidP="00D21C6A">
            <w:pPr>
              <w:jc w:val="left"/>
              <w:rPr>
                <w:i/>
                <w:sz w:val="16"/>
                <w:szCs w:val="16"/>
              </w:rPr>
            </w:pPr>
            <w:r w:rsidRPr="00F1002D">
              <w:rPr>
                <w:i/>
                <w:sz w:val="16"/>
                <w:szCs w:val="16"/>
              </w:rPr>
              <w:t>Ενίσχυση Υποδομών Ε&amp;Κ-A Κύκλος</w:t>
            </w:r>
          </w:p>
        </w:tc>
        <w:tc>
          <w:tcPr>
            <w:tcW w:w="1360" w:type="dxa"/>
          </w:tcPr>
          <w:p w:rsidR="00D90118" w:rsidRPr="006626D0" w:rsidRDefault="00D90118" w:rsidP="00D21C6A">
            <w:pPr>
              <w:jc w:val="center"/>
              <w:rPr>
                <w:b/>
              </w:rPr>
            </w:pPr>
            <w:r w:rsidRPr="006626D0">
              <w:rPr>
                <w:b/>
              </w:rPr>
              <w:t>2016</w:t>
            </w:r>
          </w:p>
        </w:tc>
        <w:tc>
          <w:tcPr>
            <w:tcW w:w="1365" w:type="dxa"/>
          </w:tcPr>
          <w:p w:rsidR="00D90118" w:rsidRPr="00A07EEE" w:rsidRDefault="00D90118" w:rsidP="00D21C6A">
            <w:r w:rsidRPr="00A07EEE">
              <w:t>ΕΥΔ ΕΠΑΝΕΚ</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r w:rsidRPr="00735DA4">
              <w:rPr>
                <w:color w:val="800000"/>
                <w:sz w:val="22"/>
                <w:szCs w:val="22"/>
              </w:rPr>
              <w:t>√</w:t>
            </w:r>
          </w:p>
        </w:tc>
      </w:tr>
      <w:tr w:rsidR="00D90118" w:rsidTr="00977C09">
        <w:tc>
          <w:tcPr>
            <w:tcW w:w="2570" w:type="dxa"/>
          </w:tcPr>
          <w:p w:rsidR="00D90118" w:rsidRPr="00F1002D" w:rsidRDefault="00D90118" w:rsidP="00D21C6A">
            <w:pPr>
              <w:jc w:val="left"/>
              <w:rPr>
                <w:i/>
                <w:sz w:val="16"/>
                <w:szCs w:val="16"/>
              </w:rPr>
            </w:pPr>
            <w:r w:rsidRPr="00F1002D">
              <w:rPr>
                <w:i/>
                <w:sz w:val="16"/>
                <w:szCs w:val="16"/>
              </w:rPr>
              <w:t>Ενίσχυση Υποδομών Ε&amp;Κ-Β Κύκλος</w:t>
            </w:r>
          </w:p>
        </w:tc>
        <w:tc>
          <w:tcPr>
            <w:tcW w:w="1360" w:type="dxa"/>
          </w:tcPr>
          <w:p w:rsidR="00D90118" w:rsidRPr="006626D0" w:rsidRDefault="00D90118" w:rsidP="00D21C6A">
            <w:pPr>
              <w:jc w:val="center"/>
              <w:rPr>
                <w:b/>
              </w:rPr>
            </w:pPr>
            <w:r w:rsidRPr="006626D0">
              <w:rPr>
                <w:b/>
              </w:rPr>
              <w:t>2017</w:t>
            </w:r>
          </w:p>
        </w:tc>
        <w:tc>
          <w:tcPr>
            <w:tcW w:w="1365" w:type="dxa"/>
          </w:tcPr>
          <w:p w:rsidR="00D90118" w:rsidRPr="00A07EEE" w:rsidRDefault="00D90118" w:rsidP="00D21C6A">
            <w:r w:rsidRPr="00A07EEE">
              <w:t>ΕΥΔ ΕΠΑΝΕΚ</w:t>
            </w:r>
          </w:p>
        </w:tc>
        <w:tc>
          <w:tcPr>
            <w:tcW w:w="0" w:type="auto"/>
            <w:vAlign w:val="center"/>
          </w:tcPr>
          <w:p w:rsidR="00D90118" w:rsidRPr="00735DA4" w:rsidRDefault="00D90118" w:rsidP="00D21C6A">
            <w:pPr>
              <w:jc w:val="center"/>
              <w:rPr>
                <w:color w:val="800000"/>
                <w:sz w:val="22"/>
                <w:szCs w:val="22"/>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tcPr>
          <w:p w:rsidR="00D90118" w:rsidRPr="00735DA4" w:rsidRDefault="00D90118" w:rsidP="00D21C6A">
            <w:pPr>
              <w:jc w:val="center"/>
              <w:rPr>
                <w:color w:val="800000"/>
              </w:rPr>
            </w:pPr>
            <w:r w:rsidRPr="00735DA4">
              <w:rPr>
                <w:color w:val="800000"/>
                <w:sz w:val="22"/>
                <w:szCs w:val="22"/>
              </w:rPr>
              <w:t>√</w:t>
            </w: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p>
        </w:tc>
        <w:tc>
          <w:tcPr>
            <w:tcW w:w="0" w:type="auto"/>
            <w:vAlign w:val="center"/>
          </w:tcPr>
          <w:p w:rsidR="00D90118" w:rsidRPr="00735DA4" w:rsidRDefault="00D90118" w:rsidP="00D21C6A">
            <w:pPr>
              <w:jc w:val="center"/>
              <w:rPr>
                <w:color w:val="800000"/>
              </w:rPr>
            </w:pPr>
            <w:r w:rsidRPr="00735DA4">
              <w:rPr>
                <w:color w:val="800000"/>
                <w:sz w:val="22"/>
                <w:szCs w:val="22"/>
              </w:rPr>
              <w:t>√</w:t>
            </w:r>
          </w:p>
        </w:tc>
      </w:tr>
      <w:tr w:rsidR="00D90118" w:rsidRPr="006C426D" w:rsidTr="00977C09">
        <w:tc>
          <w:tcPr>
            <w:tcW w:w="2570" w:type="dxa"/>
          </w:tcPr>
          <w:p w:rsidR="00D90118" w:rsidRPr="006C426D" w:rsidRDefault="00D90118" w:rsidP="00D21C6A">
            <w:pPr>
              <w:jc w:val="left"/>
              <w:rPr>
                <w:i/>
                <w:sz w:val="16"/>
                <w:szCs w:val="16"/>
              </w:rPr>
            </w:pPr>
            <w:r w:rsidRPr="006C426D">
              <w:rPr>
                <w:i/>
                <w:sz w:val="16"/>
                <w:szCs w:val="16"/>
              </w:rPr>
              <w:t>Υποδομές ΚΡΗΠΙΣ</w:t>
            </w:r>
          </w:p>
        </w:tc>
        <w:tc>
          <w:tcPr>
            <w:tcW w:w="1360" w:type="dxa"/>
          </w:tcPr>
          <w:p w:rsidR="00D90118" w:rsidRPr="006C426D" w:rsidRDefault="00D90118" w:rsidP="00D21C6A">
            <w:pPr>
              <w:jc w:val="center"/>
              <w:rPr>
                <w:b/>
              </w:rPr>
            </w:pPr>
            <w:r w:rsidRPr="006C426D">
              <w:rPr>
                <w:b/>
              </w:rPr>
              <w:t>2016</w:t>
            </w:r>
          </w:p>
        </w:tc>
        <w:tc>
          <w:tcPr>
            <w:tcW w:w="1365" w:type="dxa"/>
          </w:tcPr>
          <w:p w:rsidR="00D90118" w:rsidRPr="006C426D" w:rsidRDefault="00D90118" w:rsidP="00D21C6A">
            <w:r w:rsidRPr="006C426D">
              <w:t>ΕΥΔ ΕΠΑΝΕΚ</w:t>
            </w:r>
          </w:p>
        </w:tc>
        <w:tc>
          <w:tcPr>
            <w:tcW w:w="0" w:type="auto"/>
            <w:vAlign w:val="center"/>
          </w:tcPr>
          <w:p w:rsidR="00D90118" w:rsidRPr="006C426D" w:rsidRDefault="00D90118" w:rsidP="00D21C6A">
            <w:pPr>
              <w:jc w:val="center"/>
              <w:rPr>
                <w:color w:val="800000"/>
                <w:sz w:val="22"/>
                <w:szCs w:val="22"/>
              </w:rPr>
            </w:pPr>
            <w:r w:rsidRPr="006C426D">
              <w:rPr>
                <w:color w:val="800000"/>
                <w:sz w:val="22"/>
                <w:szCs w:val="22"/>
              </w:rPr>
              <w:t>√</w:t>
            </w: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tcPr>
          <w:p w:rsidR="00D90118" w:rsidRPr="006C426D" w:rsidRDefault="00D90118" w:rsidP="00D21C6A">
            <w:pPr>
              <w:jc w:val="center"/>
              <w:rPr>
                <w:color w:val="800000"/>
              </w:rPr>
            </w:pPr>
            <w:r w:rsidRPr="006C426D">
              <w:rPr>
                <w:color w:val="800000"/>
                <w:sz w:val="22"/>
                <w:szCs w:val="22"/>
              </w:rPr>
              <w:t>√</w:t>
            </w:r>
          </w:p>
        </w:tc>
        <w:tc>
          <w:tcPr>
            <w:tcW w:w="0" w:type="auto"/>
          </w:tcPr>
          <w:p w:rsidR="00D90118" w:rsidRPr="006C426D" w:rsidRDefault="00D90118" w:rsidP="00D21C6A">
            <w:pPr>
              <w:jc w:val="center"/>
              <w:rPr>
                <w:color w:val="800000"/>
              </w:rPr>
            </w:pPr>
            <w:r w:rsidRPr="006C426D">
              <w:rPr>
                <w:color w:val="800000"/>
                <w:sz w:val="22"/>
                <w:szCs w:val="22"/>
              </w:rPr>
              <w:t>√</w:t>
            </w: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c>
          <w:tcPr>
            <w:tcW w:w="0" w:type="auto"/>
            <w:vAlign w:val="center"/>
          </w:tcPr>
          <w:p w:rsidR="00D90118" w:rsidRPr="006C426D" w:rsidRDefault="00D90118" w:rsidP="00D21C6A">
            <w:pPr>
              <w:jc w:val="center"/>
              <w:rPr>
                <w:color w:val="800000"/>
              </w:rPr>
            </w:pPr>
          </w:p>
        </w:tc>
      </w:tr>
    </w:tbl>
    <w:p w:rsidR="00D90118" w:rsidRDefault="00D90118" w:rsidP="00D90118"/>
    <w:p w:rsidR="00D90118" w:rsidRDefault="00D90118" w:rsidP="00D90118">
      <w:pPr>
        <w:sectPr w:rsidR="00D90118" w:rsidSect="003D021E">
          <w:headerReference w:type="default" r:id="rId63"/>
          <w:footerReference w:type="default" r:id="rId64"/>
          <w:pgSz w:w="16838" w:h="11906" w:orient="landscape"/>
          <w:pgMar w:top="1800" w:right="1440" w:bottom="1800" w:left="1440" w:header="708" w:footer="708" w:gutter="0"/>
          <w:cols w:space="708"/>
          <w:docGrid w:linePitch="360"/>
        </w:sectPr>
      </w:pPr>
    </w:p>
    <w:p w:rsidR="00D90118" w:rsidRPr="002D1658" w:rsidRDefault="00D90118" w:rsidP="00D90118">
      <w:r>
        <w:lastRenderedPageBreak/>
        <w:t xml:space="preserve">Από τα παραπάνω προκύπτει ότι οι δείκτες </w:t>
      </w:r>
      <w:r w:rsidRPr="002D1658">
        <w:rPr>
          <w:b/>
          <w:lang w:val="en-US"/>
        </w:rPr>
        <w:t>CO</w:t>
      </w:r>
      <w:r w:rsidRPr="002D1658">
        <w:rPr>
          <w:b/>
        </w:rPr>
        <w:t>03</w:t>
      </w:r>
      <w:r>
        <w:rPr>
          <w:b/>
        </w:rPr>
        <w:t xml:space="preserve"> </w:t>
      </w:r>
      <w:r>
        <w:t>(Αριθμός επιχειρήσεων που λαμβάνουν οικονομική στήριξη πλην επιχορηγήσεων)</w:t>
      </w:r>
      <w:r w:rsidRPr="002D1658">
        <w:rPr>
          <w:b/>
        </w:rPr>
        <w:t>,</w:t>
      </w:r>
      <w:r w:rsidRPr="009F5DB6">
        <w:t xml:space="preserve"> </w:t>
      </w:r>
      <w:r w:rsidRPr="002D1658">
        <w:rPr>
          <w:b/>
          <w:lang w:val="en-US"/>
        </w:rPr>
        <w:t>CO</w:t>
      </w:r>
      <w:r w:rsidRPr="002D1658">
        <w:rPr>
          <w:b/>
        </w:rPr>
        <w:t>07</w:t>
      </w:r>
      <w:r w:rsidRPr="009F5DB6">
        <w:t xml:space="preserve"> </w:t>
      </w:r>
      <w:r>
        <w:t xml:space="preserve">(Ιδιωτικές Επενδύσεις που συνδυάζονται με δημόσια στήριξη των επιχειρήσεων) και </w:t>
      </w:r>
      <w:r w:rsidRPr="002D1658">
        <w:rPr>
          <w:b/>
          <w:lang w:val="en-US"/>
        </w:rPr>
        <w:t>CO</w:t>
      </w:r>
      <w:r w:rsidRPr="002D1658">
        <w:rPr>
          <w:b/>
        </w:rPr>
        <w:t>027</w:t>
      </w:r>
      <w:r>
        <w:rPr>
          <w:b/>
        </w:rPr>
        <w:t xml:space="preserve"> </w:t>
      </w:r>
      <w:r w:rsidRPr="002D1658">
        <w:t xml:space="preserve">(ιδιωτικές επενδύσεις </w:t>
      </w:r>
      <w:r w:rsidRPr="003216DC">
        <w:t>που συνδυάζονται με δημόσια στήριξη στον τομέα της καινοτομίας ή σε έργα έρευνας και ανάπτυξης),</w:t>
      </w:r>
      <w:r>
        <w:t xml:space="preserve"> δεν έχουν ακόμα παρουσιασθεί στις Προσκλήσεις παρόλο που μετριούνται στο πλαίσιο της Επενδυτικής Προτεραιότητας 1</w:t>
      </w:r>
      <w:r>
        <w:rPr>
          <w:lang w:val="en-US"/>
        </w:rPr>
        <w:t>b</w:t>
      </w:r>
      <w:r w:rsidRPr="003216DC">
        <w:t xml:space="preserve"> </w:t>
      </w:r>
      <w:r>
        <w:t xml:space="preserve">του ΕΠΑνΕΚ. Ως εκ τούτου για τους δείκτες αυτούς δεν μπορούν </w:t>
      </w:r>
      <w:r w:rsidR="00435055">
        <w:t xml:space="preserve">προς το </w:t>
      </w:r>
      <w:r>
        <w:t>παρόν να εξαχθούν στοιχεία κάλυψης σε επίπεδο Προγράμματος.</w:t>
      </w:r>
    </w:p>
    <w:p w:rsidR="00D90118" w:rsidRPr="00E01892" w:rsidRDefault="00D90118" w:rsidP="00D90118">
      <w:r>
        <w:t xml:space="preserve">Από την άλλη, ο δείκτης </w:t>
      </w:r>
      <w:r w:rsidRPr="00E01892">
        <w:rPr>
          <w:b/>
        </w:rPr>
        <w:t>05801</w:t>
      </w:r>
      <w:r>
        <w:t xml:space="preserve"> (Επιστημονικές δημοσιεύσεις σε διεθνή περιοδικά με αξιολόγηση ή σε διεθνή συνέδρια με αξιολόγηση </w:t>
      </w:r>
      <w:r w:rsidRPr="00161942">
        <w:t>(</w:t>
      </w:r>
      <w:r>
        <w:rPr>
          <w:lang w:val="en-US"/>
        </w:rPr>
        <w:t>peer</w:t>
      </w:r>
      <w:r>
        <w:t xml:space="preserve"> </w:t>
      </w:r>
      <w:r>
        <w:rPr>
          <w:lang w:val="en-US"/>
        </w:rPr>
        <w:t>reviewed</w:t>
      </w:r>
      <w:r w:rsidRPr="00161942">
        <w:t>)</w:t>
      </w:r>
      <w:r>
        <w:t>, ο οποίος εμφανίζεται σε όλες τις παραπάνω Προσκλήσεις</w:t>
      </w:r>
      <w:r w:rsidRPr="00DF19CF">
        <w:t>,</w:t>
      </w:r>
      <w:r>
        <w:t xml:space="preserve"> και οι δείκτες </w:t>
      </w:r>
      <w:r w:rsidRPr="00DF19CF">
        <w:t xml:space="preserve"> </w:t>
      </w:r>
      <w:r w:rsidRPr="00E01892">
        <w:rPr>
          <w:b/>
        </w:rPr>
        <w:t xml:space="preserve">05802 </w:t>
      </w:r>
      <w:r w:rsidRPr="00DF19CF">
        <w:t>(</w:t>
      </w:r>
      <w:r>
        <w:t xml:space="preserve">Αιτήσεις διπλωμάτων ευρεσιτεχνίας σε εθνικό επίπεδο στο πλαίσιο της δράσης, </w:t>
      </w:r>
      <w:r w:rsidRPr="00E01892">
        <w:rPr>
          <w:b/>
        </w:rPr>
        <w:t>05803</w:t>
      </w:r>
      <w:r>
        <w:t xml:space="preserve"> (Αιτήσεις διπλωμάτων ευρεσιτεχνίας σε ευρωπαϊκό επίπεδο στο πλαίσιο της δράσης) και </w:t>
      </w:r>
      <w:r w:rsidRPr="00E01892">
        <w:rPr>
          <w:b/>
        </w:rPr>
        <w:t>0580</w:t>
      </w:r>
      <w:r>
        <w:rPr>
          <w:b/>
        </w:rPr>
        <w:t>4</w:t>
      </w:r>
      <w:r>
        <w:t xml:space="preserve"> (Αιτήσεις διπλωμάτων ευρεσιτεχνίας </w:t>
      </w:r>
      <w:r>
        <w:rPr>
          <w:lang w:val="en-US"/>
        </w:rPr>
        <w:t>PCT</w:t>
      </w:r>
      <w:r>
        <w:t xml:space="preserve"> στο πλαίσιο της δράσης)</w:t>
      </w:r>
      <w:r w:rsidRPr="00E01892">
        <w:t xml:space="preserve"> </w:t>
      </w:r>
      <w:r>
        <w:t xml:space="preserve">οι οποίοι εμφανίζονται μόνο στην Πρόσκληση ΕΔΚ και στις Προσκλήσεις των τριών Διμερών Ε&amp;Τ Συνεργασιών, είναι πρόσθετοι αυτών που έχουν ορισθεί στο </w:t>
      </w:r>
      <w:r w:rsidR="00F42681">
        <w:t xml:space="preserve">ΕΠΑνΕΚ </w:t>
      </w:r>
      <w:r>
        <w:t>για τις Επενδυτικές Προτεραιότητες 1</w:t>
      </w:r>
      <w:r>
        <w:rPr>
          <w:lang w:val="en-US"/>
        </w:rPr>
        <w:t>a</w:t>
      </w:r>
      <w:r w:rsidRPr="00E01892">
        <w:t xml:space="preserve"> </w:t>
      </w:r>
      <w:r>
        <w:t>και 1</w:t>
      </w:r>
      <w:r>
        <w:rPr>
          <w:lang w:val="en-US"/>
        </w:rPr>
        <w:t>b</w:t>
      </w:r>
      <w:r w:rsidRPr="00E01892">
        <w:t>.</w:t>
      </w:r>
    </w:p>
    <w:p w:rsidR="00D90118" w:rsidRDefault="00D90118" w:rsidP="00D90118">
      <w:pPr>
        <w:pStyle w:val="Heading2"/>
      </w:pPr>
      <w:bookmarkStart w:id="68" w:name="_Toc6503380"/>
      <w:bookmarkStart w:id="69" w:name="_Toc22645129"/>
      <w:r>
        <w:t>Τιμές στόχοι δεικτών</w:t>
      </w:r>
      <w:bookmarkEnd w:id="68"/>
      <w:bookmarkEnd w:id="69"/>
      <w:r>
        <w:t xml:space="preserve"> </w:t>
      </w:r>
    </w:p>
    <w:p w:rsidR="00D90118" w:rsidRPr="00987545" w:rsidRDefault="00D90118" w:rsidP="00D90118">
      <w:pPr>
        <w:rPr>
          <w:b/>
        </w:rPr>
      </w:pPr>
      <w:r w:rsidRPr="00987545">
        <w:rPr>
          <w:b/>
        </w:rPr>
        <w:t>Σε επίπεδο Προγράμματος</w:t>
      </w:r>
    </w:p>
    <w:p w:rsidR="00D90118" w:rsidRDefault="00D90118" w:rsidP="00D90118">
      <w:r>
        <w:t>Στον πίνακα που ακολουθεί εμφανίζονται οι τιμές στόχοι των δεικτών του ΘΣ1 του ΕΠΑνΕΚ</w:t>
      </w:r>
      <w:r w:rsidR="00220CEB">
        <w:t>.</w:t>
      </w:r>
    </w:p>
    <w:p w:rsidR="0003032C" w:rsidRDefault="0003032C" w:rsidP="00D90118"/>
    <w:p w:rsidR="0003032C" w:rsidRDefault="0003032C" w:rsidP="00D90118">
      <w:pPr>
        <w:sectPr w:rsidR="0003032C" w:rsidSect="003632D5">
          <w:headerReference w:type="default" r:id="rId65"/>
          <w:footerReference w:type="default" r:id="rId66"/>
          <w:pgSz w:w="11906" w:h="16838"/>
          <w:pgMar w:top="1440" w:right="1247" w:bottom="1440" w:left="1247" w:header="709" w:footer="709" w:gutter="0"/>
          <w:cols w:space="708"/>
          <w:docGrid w:linePitch="360"/>
        </w:sectPr>
      </w:pPr>
    </w:p>
    <w:p w:rsidR="0003032C" w:rsidRDefault="0003032C" w:rsidP="00D90118"/>
    <w:p w:rsidR="00D90118" w:rsidRPr="00435055" w:rsidRDefault="0003032C" w:rsidP="0003032C">
      <w:pPr>
        <w:pStyle w:val="Caption"/>
        <w:rPr>
          <w:szCs w:val="16"/>
        </w:rPr>
      </w:pPr>
      <w:r>
        <w:t xml:space="preserve">Πίνακας </w:t>
      </w:r>
      <w:r w:rsidR="00833098">
        <w:rPr>
          <w:noProof/>
        </w:rPr>
        <w:fldChar w:fldCharType="begin"/>
      </w:r>
      <w:r w:rsidR="00833098">
        <w:rPr>
          <w:noProof/>
        </w:rPr>
        <w:instrText xml:space="preserve"> STYLEREF 1 \s </w:instrText>
      </w:r>
      <w:r w:rsidR="00833098">
        <w:rPr>
          <w:noProof/>
        </w:rPr>
        <w:fldChar w:fldCharType="separate"/>
      </w:r>
      <w:r w:rsidR="00332E24">
        <w:rPr>
          <w:noProof/>
        </w:rPr>
        <w:t>5</w:t>
      </w:r>
      <w:r w:rsidR="00833098">
        <w:rPr>
          <w:noProof/>
        </w:rPr>
        <w:fldChar w:fldCharType="end"/>
      </w:r>
      <w:r w:rsidR="009C23C4">
        <w:noBreakHyphen/>
      </w:r>
      <w:r w:rsidR="00833098">
        <w:rPr>
          <w:noProof/>
        </w:rPr>
        <w:fldChar w:fldCharType="begin"/>
      </w:r>
      <w:r w:rsidR="00833098">
        <w:rPr>
          <w:noProof/>
        </w:rPr>
        <w:instrText xml:space="preserve"> SEQ Πίνακας \* ARABIC \s 1 </w:instrText>
      </w:r>
      <w:r w:rsidR="00833098">
        <w:rPr>
          <w:noProof/>
        </w:rPr>
        <w:fldChar w:fldCharType="separate"/>
      </w:r>
      <w:r w:rsidR="00332E24">
        <w:rPr>
          <w:noProof/>
        </w:rPr>
        <w:t>2</w:t>
      </w:r>
      <w:r w:rsidR="00833098">
        <w:rPr>
          <w:noProof/>
        </w:rPr>
        <w:fldChar w:fldCharType="end"/>
      </w:r>
      <w:r>
        <w:t xml:space="preserve"> </w:t>
      </w:r>
      <w:r w:rsidR="00D90118" w:rsidRPr="00435055">
        <w:rPr>
          <w:szCs w:val="16"/>
        </w:rPr>
        <w:t>Τιμές στόχοι δεικτών εκροής σε επίπεδο ΘΣ1</w:t>
      </w:r>
    </w:p>
    <w:tbl>
      <w:tblPr>
        <w:tblW w:w="5285" w:type="pct"/>
        <w:jc w:val="center"/>
        <w:tblBorders>
          <w:top w:val="single" w:sz="8" w:space="0" w:color="7F7F7F" w:themeColor="text1" w:themeTint="80"/>
          <w:left w:val="single" w:sz="8" w:space="0" w:color="7F7F7F" w:themeColor="text1" w:themeTint="80"/>
          <w:bottom w:val="single" w:sz="8" w:space="0" w:color="7F7F7F" w:themeColor="text1" w:themeTint="80"/>
          <w:right w:val="single" w:sz="8" w:space="0" w:color="7F7F7F" w:themeColor="text1" w:themeTint="80"/>
          <w:insideH w:val="single" w:sz="8" w:space="0" w:color="7F7F7F" w:themeColor="text1" w:themeTint="80"/>
          <w:insideV w:val="single" w:sz="8" w:space="0" w:color="7F7F7F" w:themeColor="text1" w:themeTint="80"/>
        </w:tblBorders>
        <w:tblLook w:val="04A0" w:firstRow="1" w:lastRow="0" w:firstColumn="1" w:lastColumn="0" w:noHBand="0" w:noVBand="1"/>
      </w:tblPr>
      <w:tblGrid>
        <w:gridCol w:w="1349"/>
        <w:gridCol w:w="3794"/>
        <w:gridCol w:w="1460"/>
        <w:gridCol w:w="1318"/>
        <w:gridCol w:w="1330"/>
        <w:gridCol w:w="1321"/>
        <w:gridCol w:w="1507"/>
        <w:gridCol w:w="1507"/>
        <w:gridCol w:w="1396"/>
      </w:tblGrid>
      <w:tr w:rsidR="00913B2D" w:rsidRPr="00646DDA" w:rsidTr="0003032C">
        <w:trPr>
          <w:trHeight w:val="705"/>
          <w:tblHeader/>
          <w:jc w:val="center"/>
        </w:trPr>
        <w:tc>
          <w:tcPr>
            <w:tcW w:w="3086" w:type="pct"/>
            <w:gridSpan w:val="5"/>
            <w:shd w:val="clear" w:color="auto" w:fill="800000"/>
            <w:noWrap/>
            <w:vAlign w:val="center"/>
            <w:hideMark/>
          </w:tcPr>
          <w:p w:rsidR="00913B2D" w:rsidRPr="00646DDA" w:rsidRDefault="00913B2D" w:rsidP="00913B2D">
            <w:pPr>
              <w:spacing w:before="0" w:line="240" w:lineRule="auto"/>
              <w:jc w:val="center"/>
              <w:rPr>
                <w:rFonts w:eastAsia="Times New Roman"/>
                <w:b/>
                <w:bCs/>
                <w:color w:val="FFFFFF"/>
                <w:szCs w:val="18"/>
                <w:lang w:eastAsia="el-GR"/>
              </w:rPr>
            </w:pPr>
            <w:r w:rsidRPr="00646DDA">
              <w:rPr>
                <w:rFonts w:eastAsia="Times New Roman"/>
                <w:b/>
                <w:bCs/>
                <w:color w:val="FFFFFF"/>
                <w:szCs w:val="18"/>
                <w:lang w:eastAsia="el-GR"/>
              </w:rPr>
              <w:t>ΔΕΙΚΤΕΣ ΕΚΡΟΩΝ</w:t>
            </w:r>
          </w:p>
        </w:tc>
        <w:tc>
          <w:tcPr>
            <w:tcW w:w="1914" w:type="pct"/>
            <w:gridSpan w:val="4"/>
            <w:shd w:val="clear" w:color="auto" w:fill="800000"/>
            <w:noWrap/>
            <w:vAlign w:val="center"/>
            <w:hideMark/>
          </w:tcPr>
          <w:p w:rsidR="00913B2D" w:rsidRPr="00646DDA" w:rsidRDefault="00913B2D" w:rsidP="00913B2D">
            <w:pPr>
              <w:spacing w:before="0" w:line="240" w:lineRule="auto"/>
              <w:jc w:val="center"/>
              <w:rPr>
                <w:rFonts w:eastAsia="Times New Roman"/>
                <w:b/>
                <w:bCs/>
                <w:color w:val="FFFFFF"/>
                <w:szCs w:val="18"/>
                <w:lang w:eastAsia="el-GR"/>
              </w:rPr>
            </w:pPr>
            <w:r w:rsidRPr="00646DDA">
              <w:rPr>
                <w:rFonts w:eastAsia="Times New Roman"/>
                <w:b/>
                <w:bCs/>
                <w:color w:val="FFFFFF"/>
                <w:szCs w:val="18"/>
                <w:lang w:eastAsia="el-GR"/>
              </w:rPr>
              <w:t>Προγραμματισμός ΕΠΑΝΕΚ (Επεν. Προτ. 1a &amp; 1b)</w:t>
            </w:r>
          </w:p>
        </w:tc>
      </w:tr>
      <w:tr w:rsidR="0003032C" w:rsidRPr="00646DDA" w:rsidTr="0003032C">
        <w:trPr>
          <w:trHeight w:val="915"/>
          <w:jc w:val="center"/>
        </w:trPr>
        <w:tc>
          <w:tcPr>
            <w:tcW w:w="450"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Κωδικός</w:t>
            </w:r>
          </w:p>
        </w:tc>
        <w:tc>
          <w:tcPr>
            <w:tcW w:w="1266"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 xml:space="preserve">Δείκτης </w:t>
            </w:r>
          </w:p>
        </w:tc>
        <w:tc>
          <w:tcPr>
            <w:tcW w:w="487"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Μονάδα Μέτρησης</w:t>
            </w:r>
          </w:p>
        </w:tc>
        <w:tc>
          <w:tcPr>
            <w:tcW w:w="440"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ΑΠ ΕΠΑΝΕΚ</w:t>
            </w:r>
          </w:p>
        </w:tc>
        <w:tc>
          <w:tcPr>
            <w:tcW w:w="444"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Επ.Προτ.</w:t>
            </w:r>
          </w:p>
        </w:tc>
        <w:tc>
          <w:tcPr>
            <w:tcW w:w="441"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ΣΥΝΟΛΟ</w:t>
            </w:r>
          </w:p>
        </w:tc>
        <w:tc>
          <w:tcPr>
            <w:tcW w:w="503"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 xml:space="preserve">ΕΠΑΝΕΚ-ΛΑΠ </w:t>
            </w:r>
          </w:p>
        </w:tc>
        <w:tc>
          <w:tcPr>
            <w:tcW w:w="503"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 xml:space="preserve">ΕΠΑΝΕΚ-ΠΜ </w:t>
            </w:r>
          </w:p>
        </w:tc>
        <w:tc>
          <w:tcPr>
            <w:tcW w:w="466" w:type="pct"/>
            <w:shd w:val="clear" w:color="000000" w:fill="EDEDED"/>
            <w:vAlign w:val="center"/>
            <w:hideMark/>
          </w:tcPr>
          <w:p w:rsidR="00913B2D" w:rsidRPr="00646DDA" w:rsidRDefault="00913B2D" w:rsidP="00913B2D">
            <w:pPr>
              <w:spacing w:before="0" w:line="240" w:lineRule="auto"/>
              <w:jc w:val="center"/>
              <w:rPr>
                <w:rFonts w:eastAsia="Times New Roman"/>
                <w:b/>
                <w:bCs/>
                <w:color w:val="000000"/>
                <w:szCs w:val="18"/>
                <w:lang w:eastAsia="el-GR"/>
              </w:rPr>
            </w:pPr>
            <w:r w:rsidRPr="00646DDA">
              <w:rPr>
                <w:rFonts w:eastAsia="Times New Roman"/>
                <w:b/>
                <w:bCs/>
                <w:color w:val="000000"/>
                <w:szCs w:val="18"/>
                <w:lang w:eastAsia="el-GR"/>
              </w:rPr>
              <w:t>ΕΠΑΝΕΚ-ΠΑΠ</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CO01</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Παραγωγικές Επενδύσεις: αριθμός επιχειρήσεων που λαμβάνουν στήριξη</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Επιχειρήσεις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708</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325</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122</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261</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CO02</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Παραγωγικές Επενδύσεις: αριθμός επιχειρήσεων που λαμβάνουν επιχορηγήσεις</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Επιχειρήσεις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650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306</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115</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229</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CO03</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Παραγωγικές Επενδύσεις: αριθμός επιχειρήσεων που λαμβάνουν επιχορηγήσεις πλην επιχορηγήσεων</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Επιχειρήσεις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115</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46</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17</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52</w:t>
            </w:r>
          </w:p>
        </w:tc>
      </w:tr>
      <w:tr w:rsidR="0003032C" w:rsidRPr="00646DDA" w:rsidTr="00646DDA">
        <w:trPr>
          <w:trHeight w:val="525"/>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CO05</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Παραγωγικές Επενδύσεις: Αριθμός νέων επιχειρήσεων που ενισχύονται</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Επιχειρήσεις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100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46</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15</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39</w:t>
            </w:r>
          </w:p>
        </w:tc>
      </w:tr>
      <w:tr w:rsidR="0003032C" w:rsidRPr="00646DDA" w:rsidTr="00646DDA">
        <w:trPr>
          <w:trHeight w:val="1035"/>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CO07</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Παραγωγικές Επενδύσεις: Ιδιωτικές Επενδύσεις που συνδυάζονται με δημόσια στήριξη των επιχειρήσεων (όχι επιχορηγήσεις)</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Ευρώ</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21.980.000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8.790.000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3.297.000</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9.893.000</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CO24</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Έρευνα, Καινοτομία: Αριθμός νέων ερευνητών σε οντότητες που ενισχύονται</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ΙΠΑ</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7.762</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3.772</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1.265</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2.725</w:t>
            </w:r>
          </w:p>
        </w:tc>
      </w:tr>
      <w:tr w:rsidR="0003032C" w:rsidRPr="00646DDA" w:rsidTr="00646DDA">
        <w:trPr>
          <w:trHeight w:val="1035"/>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CO25</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Έρευνα, Καινοτομία: Αριθμός ερευνητών που εργάζονται σε βελτιωμένες εγκαταστάσεις ερευνητικών υποδομών</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ΙΠΑ</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3/3Σ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1a</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2.165</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645</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517</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1.003</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lastRenderedPageBreak/>
              <w:t>CO26</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Έρευνα, Καινοτομία: Αριθμός επιχειρήσεων που συνεργάζονται με ερευνητικά ινστιτούτα</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Επιχειρήσεις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640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321</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121</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198</w:t>
            </w:r>
          </w:p>
        </w:tc>
      </w:tr>
      <w:tr w:rsidR="0003032C" w:rsidRPr="00646DDA" w:rsidTr="00646DDA">
        <w:trPr>
          <w:trHeight w:val="129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CO27</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 xml:space="preserve">Έρευνα, Καινοτομία: Ιδιωτικές επενδύσεις που συνδυάζονται με δημόσια </w:t>
            </w:r>
            <w:r w:rsidR="00A332A9" w:rsidRPr="00646DDA">
              <w:rPr>
                <w:rFonts w:eastAsia="Times New Roman"/>
                <w:color w:val="000000"/>
                <w:szCs w:val="18"/>
                <w:lang w:eastAsia="el-GR"/>
              </w:rPr>
              <w:t>στήριξη</w:t>
            </w:r>
            <w:r w:rsidRPr="00646DDA">
              <w:rPr>
                <w:rFonts w:eastAsia="Times New Roman"/>
                <w:color w:val="000000"/>
                <w:szCs w:val="18"/>
                <w:lang w:eastAsia="el-GR"/>
              </w:rPr>
              <w:t xml:space="preserve"> στον τομέα της καινοτομίας ή σε έργα έρευνας και ανάπτυξης</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Ευρώ</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135.000.000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77.190.000</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17.720.000</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40.090.000</w:t>
            </w:r>
          </w:p>
        </w:tc>
      </w:tr>
      <w:tr w:rsidR="0003032C" w:rsidRPr="00646DDA" w:rsidTr="00646DDA">
        <w:trPr>
          <w:trHeight w:val="78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Τ4204</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Αριθμός κοινών έργων Ε&amp;Κ με φορείς άλλων χωρών (με ή χωρίς συντονισμό με την Ε.Ε)</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Αριθμός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1/1Σ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1b</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292</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121</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66</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105</w:t>
            </w:r>
          </w:p>
        </w:tc>
      </w:tr>
      <w:tr w:rsidR="0003032C" w:rsidRPr="00646DDA" w:rsidTr="00646DDA">
        <w:trPr>
          <w:trHeight w:val="540"/>
          <w:jc w:val="center"/>
        </w:trPr>
        <w:tc>
          <w:tcPr>
            <w:tcW w:w="45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T4225/SO033</w:t>
            </w:r>
          </w:p>
        </w:tc>
        <w:tc>
          <w:tcPr>
            <w:tcW w:w="1266" w:type="pct"/>
            <w:shd w:val="clear" w:color="auto" w:fill="auto"/>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Ερευνητικές υποδομές που ενισχύονται</w:t>
            </w:r>
          </w:p>
        </w:tc>
        <w:tc>
          <w:tcPr>
            <w:tcW w:w="487"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Αριθμός</w:t>
            </w:r>
          </w:p>
        </w:tc>
        <w:tc>
          <w:tcPr>
            <w:tcW w:w="440"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3/3Σ</w:t>
            </w:r>
          </w:p>
        </w:tc>
        <w:tc>
          <w:tcPr>
            <w:tcW w:w="444"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1a</w:t>
            </w:r>
          </w:p>
        </w:tc>
        <w:tc>
          <w:tcPr>
            <w:tcW w:w="441" w:type="pct"/>
            <w:shd w:val="clear" w:color="auto" w:fill="auto"/>
            <w:noWrap/>
            <w:vAlign w:val="center"/>
            <w:hideMark/>
          </w:tcPr>
          <w:p w:rsidR="00913B2D" w:rsidRPr="00646DDA" w:rsidRDefault="00913B2D" w:rsidP="00646DDA">
            <w:pPr>
              <w:spacing w:before="0" w:line="240" w:lineRule="auto"/>
              <w:jc w:val="center"/>
              <w:rPr>
                <w:rFonts w:eastAsia="Times New Roman"/>
                <w:b/>
                <w:bCs/>
                <w:i/>
                <w:iCs/>
                <w:color w:val="000000"/>
                <w:szCs w:val="18"/>
                <w:lang w:eastAsia="el-GR"/>
              </w:rPr>
            </w:pPr>
            <w:r w:rsidRPr="00646DDA">
              <w:rPr>
                <w:rFonts w:eastAsia="Times New Roman"/>
                <w:b/>
                <w:bCs/>
                <w:i/>
                <w:iCs/>
                <w:color w:val="000000"/>
                <w:szCs w:val="18"/>
                <w:lang w:eastAsia="el-GR"/>
              </w:rPr>
              <w:t>28</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8</w:t>
            </w:r>
          </w:p>
        </w:tc>
        <w:tc>
          <w:tcPr>
            <w:tcW w:w="503"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6</w:t>
            </w:r>
          </w:p>
        </w:tc>
        <w:tc>
          <w:tcPr>
            <w:tcW w:w="466" w:type="pct"/>
            <w:shd w:val="clear" w:color="auto" w:fill="auto"/>
            <w:noWrap/>
            <w:vAlign w:val="center"/>
            <w:hideMark/>
          </w:tcPr>
          <w:p w:rsidR="00913B2D" w:rsidRPr="00646DDA" w:rsidRDefault="00913B2D" w:rsidP="00646DDA">
            <w:pPr>
              <w:spacing w:before="0" w:line="240" w:lineRule="auto"/>
              <w:jc w:val="center"/>
              <w:rPr>
                <w:rFonts w:eastAsia="Times New Roman"/>
                <w:color w:val="000000"/>
                <w:szCs w:val="18"/>
                <w:lang w:eastAsia="el-GR"/>
              </w:rPr>
            </w:pPr>
            <w:r w:rsidRPr="00646DDA">
              <w:rPr>
                <w:rFonts w:eastAsia="Times New Roman"/>
                <w:color w:val="000000"/>
                <w:szCs w:val="18"/>
                <w:lang w:eastAsia="el-GR"/>
              </w:rPr>
              <w:t>14</w:t>
            </w:r>
          </w:p>
        </w:tc>
      </w:tr>
    </w:tbl>
    <w:p w:rsidR="00D90118" w:rsidRPr="00A510E7" w:rsidRDefault="00D90118" w:rsidP="00D90118"/>
    <w:p w:rsidR="00D90118" w:rsidRPr="0003032C" w:rsidRDefault="00D90118" w:rsidP="00D90118">
      <w:pPr>
        <w:rPr>
          <w:sz w:val="16"/>
          <w:szCs w:val="14"/>
        </w:rPr>
      </w:pPr>
      <w:r w:rsidRPr="0003032C">
        <w:rPr>
          <w:sz w:val="16"/>
          <w:szCs w:val="14"/>
        </w:rPr>
        <w:t xml:space="preserve">Σημ. 1: ΛΑΠ: Λιγότερο Ανεπτυγμένες Περιφέρειες, ΠΜ: Περιφέρειες Μετάβασης, ΠΑΠ: Περισσότερο Ανεπτυγμένες Περιφέρειες </w:t>
      </w:r>
    </w:p>
    <w:p w:rsidR="00D90118" w:rsidRPr="0003032C" w:rsidRDefault="00D90118" w:rsidP="00D90118">
      <w:pPr>
        <w:rPr>
          <w:sz w:val="16"/>
          <w:szCs w:val="14"/>
        </w:rPr>
      </w:pPr>
      <w:r w:rsidRPr="0003032C">
        <w:rPr>
          <w:sz w:val="16"/>
          <w:szCs w:val="14"/>
        </w:rPr>
        <w:t>Σημ. 2: Οι τιμές στόχοι των δεικτών της Επενδυτικής Προτεραιότητας 1</w:t>
      </w:r>
      <w:r w:rsidRPr="0003032C">
        <w:rPr>
          <w:sz w:val="16"/>
          <w:szCs w:val="14"/>
          <w:lang w:val="en-US"/>
        </w:rPr>
        <w:t>b</w:t>
      </w:r>
      <w:r w:rsidRPr="0003032C">
        <w:rPr>
          <w:sz w:val="16"/>
          <w:szCs w:val="14"/>
        </w:rPr>
        <w:t xml:space="preserve"> έχουν προκύψει από την άθροιση  των αντίστοιχων τιμών σε επίπεδο Α.Π 1 και Α.Π 1Σ. Το ίδιο ισχύει και για την Επενδυτική Προτεραιότητα 1</w:t>
      </w:r>
      <w:r w:rsidRPr="0003032C">
        <w:rPr>
          <w:sz w:val="16"/>
          <w:szCs w:val="14"/>
          <w:lang w:val="en-US"/>
        </w:rPr>
        <w:t>a</w:t>
      </w:r>
      <w:r w:rsidRPr="0003032C">
        <w:rPr>
          <w:sz w:val="16"/>
          <w:szCs w:val="14"/>
        </w:rPr>
        <w:t xml:space="preserve"> για τους ΑΠ. 3 και 3Σ.</w:t>
      </w:r>
    </w:p>
    <w:p w:rsidR="00D90118" w:rsidRDefault="00D90118" w:rsidP="00D90118"/>
    <w:p w:rsidR="0003032C" w:rsidRDefault="0003032C" w:rsidP="00D90118">
      <w:pPr>
        <w:sectPr w:rsidR="0003032C" w:rsidSect="0003032C">
          <w:headerReference w:type="default" r:id="rId67"/>
          <w:footerReference w:type="default" r:id="rId68"/>
          <w:pgSz w:w="16838" w:h="11906" w:orient="landscape"/>
          <w:pgMar w:top="1800" w:right="1440" w:bottom="1800" w:left="1440" w:header="708" w:footer="708" w:gutter="0"/>
          <w:cols w:space="708"/>
          <w:docGrid w:linePitch="360"/>
        </w:sectPr>
      </w:pPr>
    </w:p>
    <w:p w:rsidR="00D90118" w:rsidRDefault="00D90118" w:rsidP="00D90118"/>
    <w:p w:rsidR="00D90118" w:rsidRPr="00987545" w:rsidRDefault="00D90118" w:rsidP="00D90118">
      <w:pPr>
        <w:rPr>
          <w:b/>
        </w:rPr>
      </w:pPr>
      <w:r w:rsidRPr="00987545">
        <w:rPr>
          <w:b/>
        </w:rPr>
        <w:t xml:space="preserve">Σε επίπεδο </w:t>
      </w:r>
      <w:r>
        <w:rPr>
          <w:b/>
        </w:rPr>
        <w:t>Προσκλήσεων</w:t>
      </w:r>
    </w:p>
    <w:p w:rsidR="00D90118" w:rsidRPr="00987545" w:rsidRDefault="00D90118" w:rsidP="00D90118">
      <w:r>
        <w:t xml:space="preserve">Οι τιμές στόχοι των δεικτών εκροών των Προσκλήσεων που έχουν εκδοθεί </w:t>
      </w:r>
      <w:r w:rsidRPr="00517E1B">
        <w:t>μέχρι τέλος του 201</w:t>
      </w:r>
      <w:r w:rsidR="00517E1B" w:rsidRPr="00517E1B">
        <w:t>7</w:t>
      </w:r>
      <w:r>
        <w:t xml:space="preserve"> στο πλαίσιο του Θεματικού Στόχου 1, έχουν ως εξής:</w:t>
      </w:r>
    </w:p>
    <w:p w:rsidR="00D90118" w:rsidRPr="0000404B" w:rsidRDefault="0003032C" w:rsidP="0003032C">
      <w:pPr>
        <w:pStyle w:val="Caption"/>
        <w:rPr>
          <w:szCs w:val="16"/>
        </w:rPr>
      </w:pPr>
      <w:r>
        <w:t xml:space="preserve">Πίνακας </w:t>
      </w:r>
      <w:r w:rsidR="00833098">
        <w:rPr>
          <w:noProof/>
        </w:rPr>
        <w:fldChar w:fldCharType="begin"/>
      </w:r>
      <w:r w:rsidR="00833098">
        <w:rPr>
          <w:noProof/>
        </w:rPr>
        <w:instrText xml:space="preserve"> STYLEREF 1 \s </w:instrText>
      </w:r>
      <w:r w:rsidR="00833098">
        <w:rPr>
          <w:noProof/>
        </w:rPr>
        <w:fldChar w:fldCharType="separate"/>
      </w:r>
      <w:r w:rsidR="00332E24">
        <w:rPr>
          <w:noProof/>
        </w:rPr>
        <w:t>5</w:t>
      </w:r>
      <w:r w:rsidR="00833098">
        <w:rPr>
          <w:noProof/>
        </w:rPr>
        <w:fldChar w:fldCharType="end"/>
      </w:r>
      <w:r w:rsidR="009C23C4">
        <w:noBreakHyphen/>
      </w:r>
      <w:r w:rsidR="00833098">
        <w:rPr>
          <w:noProof/>
        </w:rPr>
        <w:fldChar w:fldCharType="begin"/>
      </w:r>
      <w:r w:rsidR="00833098">
        <w:rPr>
          <w:noProof/>
        </w:rPr>
        <w:instrText xml:space="preserve"> SEQ Πίνακας \* ARABIC \s 1 </w:instrText>
      </w:r>
      <w:r w:rsidR="00833098">
        <w:rPr>
          <w:noProof/>
        </w:rPr>
        <w:fldChar w:fldCharType="separate"/>
      </w:r>
      <w:r w:rsidR="00332E24">
        <w:rPr>
          <w:noProof/>
        </w:rPr>
        <w:t>3</w:t>
      </w:r>
      <w:r w:rsidR="00833098">
        <w:rPr>
          <w:noProof/>
        </w:rPr>
        <w:fldChar w:fldCharType="end"/>
      </w:r>
      <w:r w:rsidR="0000404B" w:rsidRPr="0000404B">
        <w:rPr>
          <w:szCs w:val="16"/>
        </w:rPr>
        <w:t>: Τιμές δεκτών Προσκλήσεων Θ</w:t>
      </w:r>
      <w:r w:rsidR="0000404B">
        <w:rPr>
          <w:szCs w:val="16"/>
        </w:rPr>
        <w:t>Σ</w:t>
      </w:r>
      <w:r w:rsidR="0000404B" w:rsidRPr="0000404B">
        <w:rPr>
          <w:szCs w:val="16"/>
        </w:rPr>
        <w:t xml:space="preserve"> 1 ΕΠΑνΕΚ</w:t>
      </w:r>
    </w:p>
    <w:tbl>
      <w:tblPr>
        <w:tblStyle w:val="TableGrid"/>
        <w:tblW w:w="9214"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268"/>
        <w:gridCol w:w="1560"/>
        <w:gridCol w:w="1559"/>
        <w:gridCol w:w="992"/>
        <w:gridCol w:w="851"/>
        <w:gridCol w:w="1984"/>
      </w:tblGrid>
      <w:tr w:rsidR="00D90118" w:rsidTr="00804D5C">
        <w:trPr>
          <w:trHeight w:val="497"/>
          <w:tblHeader/>
        </w:trPr>
        <w:tc>
          <w:tcPr>
            <w:tcW w:w="2268" w:type="dxa"/>
            <w:vMerge w:val="restart"/>
            <w:shd w:val="clear" w:color="auto" w:fill="800000"/>
            <w:vAlign w:val="center"/>
          </w:tcPr>
          <w:p w:rsidR="00D90118" w:rsidRPr="0003032C" w:rsidRDefault="00D90118" w:rsidP="0003032C">
            <w:pPr>
              <w:jc w:val="center"/>
              <w:rPr>
                <w:b/>
              </w:rPr>
            </w:pPr>
            <w:r w:rsidRPr="0003032C">
              <w:rPr>
                <w:b/>
              </w:rPr>
              <w:t>Πρόσκληση/Δράση</w:t>
            </w:r>
          </w:p>
        </w:tc>
        <w:tc>
          <w:tcPr>
            <w:tcW w:w="1560" w:type="dxa"/>
            <w:vMerge w:val="restart"/>
            <w:shd w:val="clear" w:color="auto" w:fill="800000"/>
            <w:vAlign w:val="center"/>
          </w:tcPr>
          <w:p w:rsidR="00D90118" w:rsidRPr="0003032C" w:rsidRDefault="00D90118" w:rsidP="0003032C">
            <w:pPr>
              <w:jc w:val="center"/>
              <w:rPr>
                <w:b/>
              </w:rPr>
            </w:pPr>
            <w:r w:rsidRPr="0003032C">
              <w:rPr>
                <w:b/>
              </w:rPr>
              <w:t>Ομάδα Περιφερειών</w:t>
            </w:r>
          </w:p>
        </w:tc>
        <w:tc>
          <w:tcPr>
            <w:tcW w:w="5386" w:type="dxa"/>
            <w:gridSpan w:val="4"/>
            <w:shd w:val="clear" w:color="auto" w:fill="800000"/>
          </w:tcPr>
          <w:p w:rsidR="00D90118" w:rsidRPr="0003032C" w:rsidRDefault="00D90118" w:rsidP="0003032C">
            <w:pPr>
              <w:jc w:val="center"/>
              <w:rPr>
                <w:b/>
                <w:sz w:val="16"/>
                <w:szCs w:val="16"/>
              </w:rPr>
            </w:pPr>
            <w:r w:rsidRPr="0003032C">
              <w:rPr>
                <w:b/>
                <w:szCs w:val="16"/>
              </w:rPr>
              <w:t>Τιμές στόχοι  ανά Πρόσκληση Επενδ Προτ 1</w:t>
            </w:r>
            <w:r w:rsidRPr="0003032C">
              <w:rPr>
                <w:b/>
                <w:szCs w:val="16"/>
                <w:lang w:val="en-US"/>
              </w:rPr>
              <w:t>a</w:t>
            </w:r>
            <w:r w:rsidRPr="0003032C">
              <w:rPr>
                <w:b/>
                <w:szCs w:val="16"/>
              </w:rPr>
              <w:t xml:space="preserve"> και 1</w:t>
            </w:r>
            <w:r w:rsidRPr="0003032C">
              <w:rPr>
                <w:b/>
                <w:szCs w:val="16"/>
                <w:lang w:val="en-US"/>
              </w:rPr>
              <w:t>b</w:t>
            </w:r>
          </w:p>
        </w:tc>
      </w:tr>
      <w:tr w:rsidR="00D90118" w:rsidTr="0003032C">
        <w:trPr>
          <w:tblHeader/>
        </w:trPr>
        <w:tc>
          <w:tcPr>
            <w:tcW w:w="2268" w:type="dxa"/>
            <w:vMerge/>
            <w:shd w:val="clear" w:color="auto" w:fill="800000"/>
          </w:tcPr>
          <w:p w:rsidR="00D90118" w:rsidRPr="00A07EEE" w:rsidRDefault="00D90118" w:rsidP="00D21C6A"/>
        </w:tc>
        <w:tc>
          <w:tcPr>
            <w:tcW w:w="1560" w:type="dxa"/>
            <w:vMerge/>
            <w:shd w:val="clear" w:color="auto" w:fill="800000"/>
          </w:tcPr>
          <w:p w:rsidR="00D90118" w:rsidRPr="00A07EEE" w:rsidRDefault="00D90118" w:rsidP="00D21C6A"/>
        </w:tc>
        <w:tc>
          <w:tcPr>
            <w:tcW w:w="1559"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rPr>
              <w:t>05801</w:t>
            </w:r>
          </w:p>
        </w:tc>
        <w:tc>
          <w:tcPr>
            <w:tcW w:w="992" w:type="dxa"/>
            <w:shd w:val="clear" w:color="auto" w:fill="D9D9D9" w:themeFill="background1" w:themeFillShade="D9"/>
            <w:vAlign w:val="center"/>
          </w:tcPr>
          <w:p w:rsidR="00D90118" w:rsidRPr="00A07EEE" w:rsidRDefault="00D90118" w:rsidP="00D21C6A">
            <w:pPr>
              <w:jc w:val="center"/>
              <w:rPr>
                <w:b/>
                <w:sz w:val="16"/>
                <w:szCs w:val="16"/>
                <w:lang w:val="en-US"/>
              </w:rPr>
            </w:pPr>
            <w:r w:rsidRPr="00A07EEE">
              <w:rPr>
                <w:b/>
                <w:sz w:val="16"/>
                <w:szCs w:val="16"/>
                <w:lang w:val="en-US"/>
              </w:rPr>
              <w:t>CO24</w:t>
            </w:r>
          </w:p>
        </w:tc>
        <w:tc>
          <w:tcPr>
            <w:tcW w:w="851" w:type="dxa"/>
            <w:shd w:val="clear" w:color="auto" w:fill="D9D9D9" w:themeFill="background1" w:themeFillShade="D9"/>
            <w:vAlign w:val="center"/>
          </w:tcPr>
          <w:p w:rsidR="00D90118" w:rsidRPr="00A07EEE" w:rsidRDefault="00D90118" w:rsidP="00D21C6A">
            <w:pPr>
              <w:jc w:val="center"/>
              <w:rPr>
                <w:b/>
                <w:sz w:val="16"/>
                <w:szCs w:val="16"/>
              </w:rPr>
            </w:pPr>
            <w:r w:rsidRPr="00A07EEE">
              <w:rPr>
                <w:b/>
                <w:sz w:val="16"/>
                <w:szCs w:val="16"/>
                <w:lang w:val="en-US"/>
              </w:rPr>
              <w:t>CO25</w:t>
            </w:r>
          </w:p>
        </w:tc>
        <w:tc>
          <w:tcPr>
            <w:tcW w:w="1984" w:type="dxa"/>
            <w:shd w:val="clear" w:color="auto" w:fill="D9D9D9" w:themeFill="background1" w:themeFillShade="D9"/>
            <w:vAlign w:val="center"/>
          </w:tcPr>
          <w:p w:rsidR="00804D5C" w:rsidRDefault="00D90118" w:rsidP="002A0499">
            <w:pPr>
              <w:jc w:val="center"/>
              <w:rPr>
                <w:b/>
                <w:sz w:val="16"/>
                <w:szCs w:val="16"/>
                <w:lang w:val="en-US"/>
              </w:rPr>
            </w:pPr>
            <w:r w:rsidRPr="00A07EEE">
              <w:rPr>
                <w:b/>
                <w:sz w:val="16"/>
                <w:szCs w:val="16"/>
                <w:lang w:val="en-US"/>
              </w:rPr>
              <w:t>SO033/</w:t>
            </w:r>
          </w:p>
          <w:p w:rsidR="00D90118" w:rsidRPr="00A07EEE" w:rsidRDefault="00D90118" w:rsidP="002A0499">
            <w:pPr>
              <w:jc w:val="center"/>
              <w:rPr>
                <w:b/>
                <w:sz w:val="16"/>
                <w:szCs w:val="16"/>
                <w:lang w:val="en-US"/>
              </w:rPr>
            </w:pPr>
            <w:r w:rsidRPr="00A07EEE">
              <w:rPr>
                <w:b/>
                <w:sz w:val="16"/>
                <w:szCs w:val="16"/>
                <w:lang w:val="en-US"/>
              </w:rPr>
              <w:t>T4225</w:t>
            </w:r>
          </w:p>
        </w:tc>
      </w:tr>
      <w:tr w:rsidR="00D90118" w:rsidTr="0003032C">
        <w:tc>
          <w:tcPr>
            <w:tcW w:w="2268" w:type="dxa"/>
          </w:tcPr>
          <w:p w:rsidR="00D90118" w:rsidRPr="00673DC4" w:rsidRDefault="00D90118" w:rsidP="00D21C6A">
            <w:pPr>
              <w:rPr>
                <w:szCs w:val="18"/>
              </w:rPr>
            </w:pPr>
            <w:r w:rsidRPr="00673DC4">
              <w:rPr>
                <w:szCs w:val="18"/>
              </w:rPr>
              <w:t>Ενίσχυση Υποδομών Ε&amp;Κ-A Κύκλος</w:t>
            </w:r>
          </w:p>
        </w:tc>
        <w:tc>
          <w:tcPr>
            <w:tcW w:w="1560" w:type="dxa"/>
            <w:vAlign w:val="center"/>
          </w:tcPr>
          <w:p w:rsidR="00D90118" w:rsidRPr="00673DC4" w:rsidRDefault="00D90118" w:rsidP="00D21C6A">
            <w:pPr>
              <w:jc w:val="center"/>
              <w:rPr>
                <w:szCs w:val="18"/>
              </w:rPr>
            </w:pPr>
            <w:r w:rsidRPr="00673DC4">
              <w:rPr>
                <w:szCs w:val="18"/>
              </w:rPr>
              <w:t>Λ</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sidRPr="00673DC4">
              <w:rPr>
                <w:szCs w:val="18"/>
              </w:rPr>
              <w:t>40</w:t>
            </w:r>
          </w:p>
        </w:tc>
        <w:tc>
          <w:tcPr>
            <w:tcW w:w="992" w:type="dxa"/>
            <w:vAlign w:val="center"/>
          </w:tcPr>
          <w:p w:rsidR="00D90118" w:rsidRPr="00673DC4" w:rsidRDefault="00D90118" w:rsidP="00D21C6A">
            <w:pPr>
              <w:jc w:val="center"/>
              <w:rPr>
                <w:szCs w:val="18"/>
              </w:rPr>
            </w:pPr>
            <w:r>
              <w:rPr>
                <w:szCs w:val="18"/>
              </w:rPr>
              <w:t>32</w:t>
            </w:r>
          </w:p>
        </w:tc>
        <w:tc>
          <w:tcPr>
            <w:tcW w:w="851" w:type="dxa"/>
            <w:vAlign w:val="center"/>
          </w:tcPr>
          <w:p w:rsidR="00D90118" w:rsidRPr="00673DC4" w:rsidRDefault="00D90118" w:rsidP="00D21C6A">
            <w:pPr>
              <w:jc w:val="center"/>
              <w:rPr>
                <w:szCs w:val="18"/>
              </w:rPr>
            </w:pPr>
            <w:r>
              <w:rPr>
                <w:szCs w:val="18"/>
              </w:rPr>
              <w:t>38</w:t>
            </w:r>
          </w:p>
        </w:tc>
        <w:tc>
          <w:tcPr>
            <w:tcW w:w="1984" w:type="dxa"/>
            <w:vAlign w:val="center"/>
          </w:tcPr>
          <w:p w:rsidR="00D90118" w:rsidRPr="00673DC4" w:rsidRDefault="00D90118" w:rsidP="00D21C6A">
            <w:pPr>
              <w:jc w:val="center"/>
              <w:rPr>
                <w:szCs w:val="18"/>
              </w:rPr>
            </w:pPr>
            <w:r>
              <w:rPr>
                <w:szCs w:val="18"/>
              </w:rPr>
              <w:t>8</w:t>
            </w:r>
          </w:p>
        </w:tc>
      </w:tr>
      <w:tr w:rsidR="00D90118" w:rsidTr="0003032C">
        <w:tc>
          <w:tcPr>
            <w:tcW w:w="2268" w:type="dxa"/>
          </w:tcPr>
          <w:p w:rsidR="00D90118" w:rsidRPr="00673DC4" w:rsidRDefault="00D90118" w:rsidP="00D21C6A">
            <w:pPr>
              <w:rPr>
                <w:szCs w:val="18"/>
              </w:rPr>
            </w:pPr>
            <w:r w:rsidRPr="00673DC4">
              <w:rPr>
                <w:szCs w:val="18"/>
              </w:rPr>
              <w:t>Ενίσχυση Υποδομών Ε&amp;Κ-A Κύκλος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Μ</w:t>
            </w:r>
          </w:p>
        </w:tc>
        <w:tc>
          <w:tcPr>
            <w:tcW w:w="1559" w:type="dxa"/>
            <w:vAlign w:val="center"/>
          </w:tcPr>
          <w:p w:rsidR="00D90118" w:rsidRPr="00673DC4" w:rsidRDefault="00D90118" w:rsidP="00D21C6A">
            <w:pPr>
              <w:jc w:val="center"/>
              <w:rPr>
                <w:szCs w:val="18"/>
              </w:rPr>
            </w:pPr>
            <w:r w:rsidRPr="00673DC4">
              <w:rPr>
                <w:szCs w:val="18"/>
              </w:rPr>
              <w:t>45</w:t>
            </w:r>
          </w:p>
        </w:tc>
        <w:tc>
          <w:tcPr>
            <w:tcW w:w="992" w:type="dxa"/>
            <w:vAlign w:val="center"/>
          </w:tcPr>
          <w:p w:rsidR="00D90118" w:rsidRPr="00673DC4" w:rsidRDefault="00D90118" w:rsidP="00D21C6A">
            <w:pPr>
              <w:jc w:val="center"/>
              <w:rPr>
                <w:szCs w:val="18"/>
              </w:rPr>
            </w:pPr>
            <w:r>
              <w:rPr>
                <w:szCs w:val="18"/>
              </w:rPr>
              <w:t>35</w:t>
            </w:r>
          </w:p>
        </w:tc>
        <w:tc>
          <w:tcPr>
            <w:tcW w:w="851" w:type="dxa"/>
            <w:vAlign w:val="center"/>
          </w:tcPr>
          <w:p w:rsidR="00D90118" w:rsidRPr="00673DC4" w:rsidRDefault="00D90118" w:rsidP="00D21C6A">
            <w:pPr>
              <w:jc w:val="center"/>
              <w:rPr>
                <w:szCs w:val="18"/>
              </w:rPr>
            </w:pPr>
            <w:r>
              <w:rPr>
                <w:szCs w:val="18"/>
              </w:rPr>
              <w:t>35</w:t>
            </w:r>
          </w:p>
        </w:tc>
        <w:tc>
          <w:tcPr>
            <w:tcW w:w="1984" w:type="dxa"/>
            <w:vAlign w:val="center"/>
          </w:tcPr>
          <w:p w:rsidR="00D90118" w:rsidRPr="00673DC4" w:rsidRDefault="00D90118" w:rsidP="00D21C6A">
            <w:pPr>
              <w:jc w:val="center"/>
              <w:rPr>
                <w:szCs w:val="18"/>
              </w:rPr>
            </w:pPr>
            <w:r>
              <w:rPr>
                <w:szCs w:val="18"/>
              </w:rPr>
              <w:t>3</w:t>
            </w:r>
          </w:p>
        </w:tc>
      </w:tr>
      <w:tr w:rsidR="00D90118" w:rsidTr="0003032C">
        <w:tc>
          <w:tcPr>
            <w:tcW w:w="2268" w:type="dxa"/>
          </w:tcPr>
          <w:p w:rsidR="00D90118" w:rsidRPr="00673DC4" w:rsidRDefault="00D90118" w:rsidP="00D21C6A">
            <w:pPr>
              <w:rPr>
                <w:szCs w:val="18"/>
              </w:rPr>
            </w:pPr>
            <w:r w:rsidRPr="00673DC4">
              <w:rPr>
                <w:szCs w:val="18"/>
              </w:rPr>
              <w:t>Ενίσχυση Υποδομών Ε&amp;Κ-A Κύκλος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sidRPr="00673DC4">
              <w:rPr>
                <w:szCs w:val="18"/>
              </w:rPr>
              <w:t>90</w:t>
            </w:r>
          </w:p>
        </w:tc>
        <w:tc>
          <w:tcPr>
            <w:tcW w:w="992" w:type="dxa"/>
            <w:vAlign w:val="center"/>
          </w:tcPr>
          <w:p w:rsidR="00D90118" w:rsidRPr="00673DC4" w:rsidRDefault="00D90118" w:rsidP="00D21C6A">
            <w:pPr>
              <w:jc w:val="center"/>
              <w:rPr>
                <w:szCs w:val="18"/>
              </w:rPr>
            </w:pPr>
            <w:r>
              <w:rPr>
                <w:szCs w:val="18"/>
              </w:rPr>
              <w:t>71</w:t>
            </w:r>
          </w:p>
        </w:tc>
        <w:tc>
          <w:tcPr>
            <w:tcW w:w="851" w:type="dxa"/>
            <w:vAlign w:val="center"/>
          </w:tcPr>
          <w:p w:rsidR="00D90118" w:rsidRPr="00673DC4" w:rsidRDefault="00D90118" w:rsidP="00D21C6A">
            <w:pPr>
              <w:jc w:val="center"/>
              <w:rPr>
                <w:szCs w:val="18"/>
              </w:rPr>
            </w:pPr>
            <w:r>
              <w:rPr>
                <w:szCs w:val="18"/>
              </w:rPr>
              <w:t>84</w:t>
            </w:r>
          </w:p>
        </w:tc>
        <w:tc>
          <w:tcPr>
            <w:tcW w:w="1984" w:type="dxa"/>
            <w:vAlign w:val="center"/>
          </w:tcPr>
          <w:p w:rsidR="00D90118" w:rsidRPr="00673DC4" w:rsidRDefault="00D90118" w:rsidP="00D21C6A">
            <w:pPr>
              <w:jc w:val="center"/>
              <w:rPr>
                <w:szCs w:val="18"/>
              </w:rPr>
            </w:pPr>
            <w:r>
              <w:rPr>
                <w:szCs w:val="18"/>
              </w:rPr>
              <w:t>11</w:t>
            </w:r>
          </w:p>
        </w:tc>
      </w:tr>
      <w:tr w:rsidR="00D90118" w:rsidTr="0003032C">
        <w:tc>
          <w:tcPr>
            <w:tcW w:w="2268" w:type="dxa"/>
            <w:vAlign w:val="center"/>
          </w:tcPr>
          <w:p w:rsidR="00D90118" w:rsidRPr="00C045BE" w:rsidRDefault="00D90118" w:rsidP="00D21C6A">
            <w:pPr>
              <w:jc w:val="left"/>
              <w:rPr>
                <w:b/>
                <w:i/>
                <w:szCs w:val="18"/>
              </w:rPr>
            </w:pPr>
            <w:r w:rsidRPr="00C045BE">
              <w:rPr>
                <w:b/>
                <w:i/>
                <w:szCs w:val="18"/>
              </w:rPr>
              <w:t>Ενίσχυση Υποδομών Ε&amp;Κ-A Κύκλος</w:t>
            </w:r>
          </w:p>
        </w:tc>
        <w:tc>
          <w:tcPr>
            <w:tcW w:w="1560" w:type="dxa"/>
            <w:vAlign w:val="center"/>
          </w:tcPr>
          <w:p w:rsidR="00D90118" w:rsidRPr="00C045BE" w:rsidRDefault="00D90118" w:rsidP="00D21C6A">
            <w:pPr>
              <w:jc w:val="center"/>
              <w:rPr>
                <w:b/>
                <w:szCs w:val="18"/>
              </w:rPr>
            </w:pPr>
            <w:r w:rsidRPr="00C045BE">
              <w:rPr>
                <w:b/>
                <w:szCs w:val="18"/>
              </w:rPr>
              <w:t>Σύνολο</w:t>
            </w:r>
          </w:p>
        </w:tc>
        <w:tc>
          <w:tcPr>
            <w:tcW w:w="1559" w:type="dxa"/>
          </w:tcPr>
          <w:p w:rsidR="00D90118" w:rsidRPr="00C045BE" w:rsidRDefault="00D90118" w:rsidP="00D21C6A">
            <w:pPr>
              <w:jc w:val="center"/>
              <w:rPr>
                <w:b/>
              </w:rPr>
            </w:pPr>
            <w:r w:rsidRPr="00C045BE">
              <w:rPr>
                <w:b/>
              </w:rPr>
              <w:t>175</w:t>
            </w:r>
          </w:p>
        </w:tc>
        <w:tc>
          <w:tcPr>
            <w:tcW w:w="992" w:type="dxa"/>
          </w:tcPr>
          <w:p w:rsidR="00D90118" w:rsidRPr="00C045BE" w:rsidRDefault="00D90118" w:rsidP="00D21C6A">
            <w:pPr>
              <w:jc w:val="center"/>
              <w:rPr>
                <w:b/>
              </w:rPr>
            </w:pPr>
            <w:r w:rsidRPr="00C045BE">
              <w:rPr>
                <w:b/>
              </w:rPr>
              <w:t>138</w:t>
            </w:r>
          </w:p>
        </w:tc>
        <w:tc>
          <w:tcPr>
            <w:tcW w:w="851" w:type="dxa"/>
          </w:tcPr>
          <w:p w:rsidR="00D90118" w:rsidRPr="00C045BE" w:rsidRDefault="00D90118" w:rsidP="00D21C6A">
            <w:pPr>
              <w:jc w:val="center"/>
              <w:rPr>
                <w:b/>
              </w:rPr>
            </w:pPr>
            <w:r w:rsidRPr="00C045BE">
              <w:rPr>
                <w:b/>
              </w:rPr>
              <w:t>157</w:t>
            </w:r>
          </w:p>
        </w:tc>
        <w:tc>
          <w:tcPr>
            <w:tcW w:w="1984" w:type="dxa"/>
          </w:tcPr>
          <w:p w:rsidR="00D90118" w:rsidRPr="00C045BE" w:rsidRDefault="00D90118" w:rsidP="00D21C6A">
            <w:pPr>
              <w:jc w:val="center"/>
              <w:rPr>
                <w:b/>
              </w:rPr>
            </w:pPr>
            <w:r w:rsidRPr="00C045BE">
              <w:rPr>
                <w:b/>
              </w:rPr>
              <w:t>22</w:t>
            </w:r>
          </w:p>
        </w:tc>
      </w:tr>
      <w:tr w:rsidR="00D90118" w:rsidTr="0003032C">
        <w:tc>
          <w:tcPr>
            <w:tcW w:w="2268" w:type="dxa"/>
          </w:tcPr>
          <w:p w:rsidR="00D90118" w:rsidRDefault="00D90118" w:rsidP="00D21C6A">
            <w:r w:rsidRPr="00884ECB">
              <w:rPr>
                <w:i/>
                <w:szCs w:val="18"/>
              </w:rPr>
              <w:t>Ενίσχυση Υποδομών Ε&amp;Κ-Β Κύκλος</w:t>
            </w:r>
          </w:p>
        </w:tc>
        <w:tc>
          <w:tcPr>
            <w:tcW w:w="1560" w:type="dxa"/>
            <w:vAlign w:val="center"/>
          </w:tcPr>
          <w:p w:rsidR="00D90118" w:rsidRPr="00673DC4" w:rsidRDefault="00D90118" w:rsidP="00D21C6A">
            <w:pPr>
              <w:jc w:val="center"/>
              <w:rPr>
                <w:szCs w:val="18"/>
              </w:rPr>
            </w:pPr>
            <w:r w:rsidRPr="00673DC4">
              <w:rPr>
                <w:szCs w:val="18"/>
              </w:rPr>
              <w:t>Λ</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Pr>
                <w:szCs w:val="18"/>
              </w:rPr>
              <w:t>20</w:t>
            </w:r>
          </w:p>
        </w:tc>
        <w:tc>
          <w:tcPr>
            <w:tcW w:w="992" w:type="dxa"/>
            <w:vAlign w:val="center"/>
          </w:tcPr>
          <w:p w:rsidR="00D90118" w:rsidRPr="00673DC4" w:rsidRDefault="00D90118" w:rsidP="00D21C6A">
            <w:pPr>
              <w:jc w:val="center"/>
              <w:rPr>
                <w:szCs w:val="18"/>
              </w:rPr>
            </w:pPr>
            <w:r>
              <w:rPr>
                <w:szCs w:val="18"/>
              </w:rPr>
              <w:t>20</w:t>
            </w:r>
          </w:p>
        </w:tc>
        <w:tc>
          <w:tcPr>
            <w:tcW w:w="851" w:type="dxa"/>
            <w:vAlign w:val="center"/>
          </w:tcPr>
          <w:p w:rsidR="00D90118" w:rsidRPr="00673DC4" w:rsidRDefault="00D90118" w:rsidP="00D21C6A">
            <w:pPr>
              <w:jc w:val="center"/>
              <w:rPr>
                <w:szCs w:val="18"/>
              </w:rPr>
            </w:pPr>
            <w:r>
              <w:rPr>
                <w:szCs w:val="18"/>
              </w:rPr>
              <w:t>20</w:t>
            </w:r>
          </w:p>
        </w:tc>
        <w:tc>
          <w:tcPr>
            <w:tcW w:w="1984" w:type="dxa"/>
            <w:vAlign w:val="center"/>
          </w:tcPr>
          <w:p w:rsidR="00D90118" w:rsidRPr="00673DC4" w:rsidRDefault="00D90118" w:rsidP="00D21C6A">
            <w:pPr>
              <w:jc w:val="center"/>
              <w:rPr>
                <w:szCs w:val="18"/>
              </w:rPr>
            </w:pPr>
            <w:r>
              <w:rPr>
                <w:szCs w:val="18"/>
              </w:rPr>
              <w:t>8</w:t>
            </w:r>
          </w:p>
        </w:tc>
      </w:tr>
      <w:tr w:rsidR="00D90118" w:rsidTr="0003032C">
        <w:tc>
          <w:tcPr>
            <w:tcW w:w="2268" w:type="dxa"/>
          </w:tcPr>
          <w:p w:rsidR="00D90118" w:rsidRDefault="00D90118" w:rsidP="00D21C6A">
            <w:r w:rsidRPr="00884ECB">
              <w:rPr>
                <w:i/>
                <w:szCs w:val="18"/>
              </w:rPr>
              <w:t>Ενίσχυση Υποδομών Ε&amp;Κ-Β Κύκλος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Μ</w:t>
            </w:r>
          </w:p>
        </w:tc>
        <w:tc>
          <w:tcPr>
            <w:tcW w:w="1559" w:type="dxa"/>
            <w:vAlign w:val="center"/>
          </w:tcPr>
          <w:p w:rsidR="00D90118" w:rsidRPr="00673DC4" w:rsidRDefault="00D90118" w:rsidP="00D21C6A">
            <w:pPr>
              <w:jc w:val="center"/>
              <w:rPr>
                <w:szCs w:val="18"/>
              </w:rPr>
            </w:pPr>
            <w:r>
              <w:rPr>
                <w:szCs w:val="18"/>
              </w:rPr>
              <w:t>30</w:t>
            </w:r>
          </w:p>
        </w:tc>
        <w:tc>
          <w:tcPr>
            <w:tcW w:w="992" w:type="dxa"/>
            <w:vAlign w:val="center"/>
          </w:tcPr>
          <w:p w:rsidR="00D90118" w:rsidRPr="00673DC4" w:rsidRDefault="00D90118" w:rsidP="00D21C6A">
            <w:pPr>
              <w:jc w:val="center"/>
              <w:rPr>
                <w:szCs w:val="18"/>
              </w:rPr>
            </w:pPr>
            <w:r>
              <w:rPr>
                <w:szCs w:val="18"/>
              </w:rPr>
              <w:t>30</w:t>
            </w:r>
          </w:p>
        </w:tc>
        <w:tc>
          <w:tcPr>
            <w:tcW w:w="851" w:type="dxa"/>
            <w:vAlign w:val="center"/>
          </w:tcPr>
          <w:p w:rsidR="00D90118" w:rsidRPr="00673DC4" w:rsidRDefault="00D90118" w:rsidP="00D21C6A">
            <w:pPr>
              <w:jc w:val="center"/>
              <w:rPr>
                <w:szCs w:val="18"/>
              </w:rPr>
            </w:pPr>
            <w:r>
              <w:rPr>
                <w:szCs w:val="18"/>
              </w:rPr>
              <w:t>30</w:t>
            </w:r>
          </w:p>
        </w:tc>
        <w:tc>
          <w:tcPr>
            <w:tcW w:w="1984" w:type="dxa"/>
            <w:vAlign w:val="center"/>
          </w:tcPr>
          <w:p w:rsidR="00D90118" w:rsidRPr="00673DC4" w:rsidRDefault="00D90118" w:rsidP="00D21C6A">
            <w:pPr>
              <w:jc w:val="center"/>
              <w:rPr>
                <w:szCs w:val="18"/>
              </w:rPr>
            </w:pPr>
            <w:r>
              <w:rPr>
                <w:szCs w:val="18"/>
              </w:rPr>
              <w:t>3</w:t>
            </w:r>
          </w:p>
        </w:tc>
      </w:tr>
      <w:tr w:rsidR="00D90118" w:rsidTr="0003032C">
        <w:tc>
          <w:tcPr>
            <w:tcW w:w="2268" w:type="dxa"/>
          </w:tcPr>
          <w:p w:rsidR="00D90118" w:rsidRDefault="00D90118" w:rsidP="00D21C6A">
            <w:r w:rsidRPr="00884ECB">
              <w:rPr>
                <w:i/>
                <w:szCs w:val="18"/>
              </w:rPr>
              <w:t>Ενίσχυση Υποδομών Ε&amp;Κ-Β Κύκλος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Pr>
                <w:szCs w:val="18"/>
              </w:rPr>
              <w:t>30</w:t>
            </w:r>
          </w:p>
        </w:tc>
        <w:tc>
          <w:tcPr>
            <w:tcW w:w="992" w:type="dxa"/>
            <w:vAlign w:val="center"/>
          </w:tcPr>
          <w:p w:rsidR="00D90118" w:rsidRPr="00673DC4" w:rsidRDefault="00D90118" w:rsidP="00D21C6A">
            <w:pPr>
              <w:jc w:val="center"/>
              <w:rPr>
                <w:szCs w:val="18"/>
              </w:rPr>
            </w:pPr>
            <w:r>
              <w:rPr>
                <w:szCs w:val="18"/>
              </w:rPr>
              <w:t>40</w:t>
            </w:r>
          </w:p>
        </w:tc>
        <w:tc>
          <w:tcPr>
            <w:tcW w:w="851" w:type="dxa"/>
            <w:vAlign w:val="center"/>
          </w:tcPr>
          <w:p w:rsidR="00D90118" w:rsidRPr="00673DC4" w:rsidRDefault="00D90118" w:rsidP="00D21C6A">
            <w:pPr>
              <w:jc w:val="center"/>
              <w:rPr>
                <w:szCs w:val="18"/>
              </w:rPr>
            </w:pPr>
            <w:r>
              <w:rPr>
                <w:szCs w:val="18"/>
              </w:rPr>
              <w:t>40</w:t>
            </w:r>
          </w:p>
        </w:tc>
        <w:tc>
          <w:tcPr>
            <w:tcW w:w="1984" w:type="dxa"/>
            <w:vAlign w:val="center"/>
          </w:tcPr>
          <w:p w:rsidR="00D90118" w:rsidRPr="00673DC4" w:rsidRDefault="00D90118" w:rsidP="00D21C6A">
            <w:pPr>
              <w:jc w:val="center"/>
              <w:rPr>
                <w:szCs w:val="18"/>
              </w:rPr>
            </w:pPr>
            <w:r>
              <w:rPr>
                <w:szCs w:val="18"/>
              </w:rPr>
              <w:t>11</w:t>
            </w:r>
          </w:p>
        </w:tc>
      </w:tr>
      <w:tr w:rsidR="00D90118" w:rsidTr="0003032C">
        <w:tc>
          <w:tcPr>
            <w:tcW w:w="2268" w:type="dxa"/>
            <w:vAlign w:val="center"/>
          </w:tcPr>
          <w:p w:rsidR="00D90118" w:rsidRPr="00C045BE" w:rsidRDefault="00D90118" w:rsidP="00D21C6A">
            <w:pPr>
              <w:jc w:val="left"/>
              <w:rPr>
                <w:b/>
                <w:i/>
                <w:szCs w:val="18"/>
              </w:rPr>
            </w:pPr>
            <w:r w:rsidRPr="00C045BE">
              <w:rPr>
                <w:b/>
                <w:i/>
                <w:szCs w:val="18"/>
              </w:rPr>
              <w:t>Ενίσχυση Υποδομών Ε&amp;Κ-Β Κύκλος</w:t>
            </w:r>
          </w:p>
        </w:tc>
        <w:tc>
          <w:tcPr>
            <w:tcW w:w="1560" w:type="dxa"/>
            <w:vAlign w:val="center"/>
          </w:tcPr>
          <w:p w:rsidR="00D90118" w:rsidRPr="00C045BE" w:rsidRDefault="00D90118" w:rsidP="00D21C6A">
            <w:pPr>
              <w:jc w:val="center"/>
              <w:rPr>
                <w:b/>
                <w:szCs w:val="18"/>
              </w:rPr>
            </w:pPr>
            <w:r>
              <w:rPr>
                <w:b/>
                <w:szCs w:val="18"/>
              </w:rPr>
              <w:t>Σύνολο</w:t>
            </w:r>
          </w:p>
        </w:tc>
        <w:tc>
          <w:tcPr>
            <w:tcW w:w="1559" w:type="dxa"/>
          </w:tcPr>
          <w:p w:rsidR="00D90118" w:rsidRPr="00C045BE" w:rsidRDefault="00D90118" w:rsidP="00D21C6A">
            <w:pPr>
              <w:jc w:val="center"/>
              <w:rPr>
                <w:b/>
              </w:rPr>
            </w:pPr>
            <w:r w:rsidRPr="00C045BE">
              <w:rPr>
                <w:b/>
              </w:rPr>
              <w:t>80</w:t>
            </w:r>
          </w:p>
        </w:tc>
        <w:tc>
          <w:tcPr>
            <w:tcW w:w="992" w:type="dxa"/>
          </w:tcPr>
          <w:p w:rsidR="00D90118" w:rsidRPr="00C045BE" w:rsidRDefault="00D90118" w:rsidP="00D21C6A">
            <w:pPr>
              <w:jc w:val="center"/>
              <w:rPr>
                <w:b/>
              </w:rPr>
            </w:pPr>
            <w:r w:rsidRPr="00C045BE">
              <w:rPr>
                <w:b/>
              </w:rPr>
              <w:t>90</w:t>
            </w:r>
          </w:p>
        </w:tc>
        <w:tc>
          <w:tcPr>
            <w:tcW w:w="851" w:type="dxa"/>
          </w:tcPr>
          <w:p w:rsidR="00D90118" w:rsidRPr="00C045BE" w:rsidRDefault="00D90118" w:rsidP="00D21C6A">
            <w:pPr>
              <w:jc w:val="center"/>
              <w:rPr>
                <w:b/>
              </w:rPr>
            </w:pPr>
            <w:r w:rsidRPr="00C045BE">
              <w:rPr>
                <w:b/>
              </w:rPr>
              <w:t>90</w:t>
            </w:r>
          </w:p>
        </w:tc>
        <w:tc>
          <w:tcPr>
            <w:tcW w:w="1984" w:type="dxa"/>
          </w:tcPr>
          <w:p w:rsidR="00D90118" w:rsidRPr="00C045BE" w:rsidRDefault="00D90118" w:rsidP="00D21C6A">
            <w:pPr>
              <w:jc w:val="center"/>
              <w:rPr>
                <w:b/>
              </w:rPr>
            </w:pPr>
            <w:r w:rsidRPr="00C045BE">
              <w:rPr>
                <w:b/>
              </w:rPr>
              <w:t>22</w:t>
            </w:r>
          </w:p>
        </w:tc>
      </w:tr>
      <w:tr w:rsidR="00D90118" w:rsidTr="0003032C">
        <w:tc>
          <w:tcPr>
            <w:tcW w:w="2268" w:type="dxa"/>
          </w:tcPr>
          <w:p w:rsidR="00D90118" w:rsidRDefault="00D90118" w:rsidP="00D21C6A">
            <w:r w:rsidRPr="000403C7">
              <w:rPr>
                <w:i/>
                <w:szCs w:val="18"/>
              </w:rPr>
              <w:t>Υποδομές ΚΡΗΠΙΣ</w:t>
            </w:r>
          </w:p>
        </w:tc>
        <w:tc>
          <w:tcPr>
            <w:tcW w:w="1560" w:type="dxa"/>
            <w:vAlign w:val="center"/>
          </w:tcPr>
          <w:p w:rsidR="00D90118" w:rsidRPr="00673DC4" w:rsidRDefault="00D90118" w:rsidP="00D21C6A">
            <w:pPr>
              <w:jc w:val="center"/>
              <w:rPr>
                <w:szCs w:val="18"/>
              </w:rPr>
            </w:pPr>
            <w:r w:rsidRPr="00673DC4">
              <w:rPr>
                <w:szCs w:val="18"/>
              </w:rPr>
              <w:t>Λ</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Pr>
                <w:szCs w:val="18"/>
              </w:rPr>
              <w:t>40</w:t>
            </w:r>
          </w:p>
        </w:tc>
        <w:tc>
          <w:tcPr>
            <w:tcW w:w="992" w:type="dxa"/>
            <w:vAlign w:val="center"/>
          </w:tcPr>
          <w:p w:rsidR="00D90118" w:rsidRPr="00673DC4" w:rsidRDefault="00D90118" w:rsidP="00D21C6A">
            <w:pPr>
              <w:jc w:val="center"/>
              <w:rPr>
                <w:szCs w:val="18"/>
              </w:rPr>
            </w:pPr>
            <w:r>
              <w:rPr>
                <w:szCs w:val="18"/>
              </w:rPr>
              <w:t>97</w:t>
            </w:r>
          </w:p>
        </w:tc>
        <w:tc>
          <w:tcPr>
            <w:tcW w:w="851" w:type="dxa"/>
            <w:vAlign w:val="center"/>
          </w:tcPr>
          <w:p w:rsidR="00D90118" w:rsidRPr="00673DC4" w:rsidRDefault="00D90118" w:rsidP="00D21C6A">
            <w:pPr>
              <w:jc w:val="center"/>
              <w:rPr>
                <w:szCs w:val="18"/>
              </w:rPr>
            </w:pPr>
            <w:r>
              <w:rPr>
                <w:szCs w:val="18"/>
              </w:rPr>
              <w:t>114</w:t>
            </w:r>
          </w:p>
        </w:tc>
        <w:tc>
          <w:tcPr>
            <w:tcW w:w="1984" w:type="dxa"/>
            <w:shd w:val="clear" w:color="auto" w:fill="D9D9D9" w:themeFill="background1" w:themeFillShade="D9"/>
            <w:vAlign w:val="center"/>
          </w:tcPr>
          <w:p w:rsidR="00D90118" w:rsidRPr="00673DC4" w:rsidRDefault="00D90118" w:rsidP="00D21C6A">
            <w:pPr>
              <w:jc w:val="center"/>
              <w:rPr>
                <w:szCs w:val="18"/>
              </w:rPr>
            </w:pPr>
          </w:p>
        </w:tc>
      </w:tr>
      <w:tr w:rsidR="00D90118" w:rsidTr="0003032C">
        <w:tc>
          <w:tcPr>
            <w:tcW w:w="2268" w:type="dxa"/>
          </w:tcPr>
          <w:p w:rsidR="00D90118" w:rsidRDefault="00D90118" w:rsidP="00D21C6A">
            <w:r w:rsidRPr="000403C7">
              <w:rPr>
                <w:i/>
                <w:szCs w:val="18"/>
              </w:rPr>
              <w:t>Υποδομές ΚΡΗΠΙΣ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Μ</w:t>
            </w:r>
          </w:p>
        </w:tc>
        <w:tc>
          <w:tcPr>
            <w:tcW w:w="1559" w:type="dxa"/>
            <w:vAlign w:val="center"/>
          </w:tcPr>
          <w:p w:rsidR="00D90118" w:rsidRPr="00673DC4" w:rsidRDefault="00D90118" w:rsidP="00D21C6A">
            <w:pPr>
              <w:jc w:val="center"/>
              <w:rPr>
                <w:szCs w:val="18"/>
              </w:rPr>
            </w:pPr>
            <w:r>
              <w:rPr>
                <w:szCs w:val="18"/>
              </w:rPr>
              <w:t>25</w:t>
            </w:r>
          </w:p>
        </w:tc>
        <w:tc>
          <w:tcPr>
            <w:tcW w:w="992" w:type="dxa"/>
            <w:vAlign w:val="center"/>
          </w:tcPr>
          <w:p w:rsidR="00D90118" w:rsidRPr="00673DC4" w:rsidRDefault="00D90118" w:rsidP="00D21C6A">
            <w:pPr>
              <w:jc w:val="center"/>
              <w:rPr>
                <w:szCs w:val="18"/>
              </w:rPr>
            </w:pPr>
            <w:r>
              <w:rPr>
                <w:szCs w:val="18"/>
              </w:rPr>
              <w:t>60</w:t>
            </w:r>
          </w:p>
        </w:tc>
        <w:tc>
          <w:tcPr>
            <w:tcW w:w="851" w:type="dxa"/>
            <w:vAlign w:val="center"/>
          </w:tcPr>
          <w:p w:rsidR="00D90118" w:rsidRPr="00673DC4" w:rsidRDefault="00D90118" w:rsidP="00D21C6A">
            <w:pPr>
              <w:jc w:val="center"/>
              <w:rPr>
                <w:szCs w:val="18"/>
              </w:rPr>
            </w:pPr>
            <w:r>
              <w:rPr>
                <w:szCs w:val="18"/>
              </w:rPr>
              <w:t>72</w:t>
            </w:r>
          </w:p>
        </w:tc>
        <w:tc>
          <w:tcPr>
            <w:tcW w:w="1984" w:type="dxa"/>
            <w:shd w:val="clear" w:color="auto" w:fill="D9D9D9" w:themeFill="background1" w:themeFillShade="D9"/>
            <w:vAlign w:val="center"/>
          </w:tcPr>
          <w:p w:rsidR="00D90118" w:rsidRPr="00673DC4" w:rsidRDefault="00D90118" w:rsidP="00D21C6A">
            <w:pPr>
              <w:jc w:val="center"/>
              <w:rPr>
                <w:szCs w:val="18"/>
              </w:rPr>
            </w:pPr>
          </w:p>
        </w:tc>
      </w:tr>
      <w:tr w:rsidR="00D90118" w:rsidTr="0003032C">
        <w:tc>
          <w:tcPr>
            <w:tcW w:w="2268" w:type="dxa"/>
          </w:tcPr>
          <w:p w:rsidR="00D90118" w:rsidRDefault="00D90118" w:rsidP="00D21C6A">
            <w:r w:rsidRPr="000403C7">
              <w:rPr>
                <w:i/>
                <w:szCs w:val="18"/>
              </w:rPr>
              <w:t>Υποδομές ΚΡΗΠΙΣ</w:t>
            </w:r>
          </w:p>
        </w:tc>
        <w:tc>
          <w:tcPr>
            <w:tcW w:w="1560" w:type="dxa"/>
            <w:vAlign w:val="center"/>
          </w:tcPr>
          <w:p w:rsidR="00D90118" w:rsidRPr="00673DC4" w:rsidRDefault="00D90118" w:rsidP="00D21C6A">
            <w:pPr>
              <w:jc w:val="center"/>
              <w:rPr>
                <w:szCs w:val="18"/>
              </w:rPr>
            </w:pPr>
            <w:r w:rsidRPr="00673DC4">
              <w:rPr>
                <w:szCs w:val="18"/>
              </w:rPr>
              <w:t>Π</w:t>
            </w:r>
            <w:r>
              <w:rPr>
                <w:szCs w:val="18"/>
              </w:rPr>
              <w:t>.</w:t>
            </w:r>
            <w:r w:rsidRPr="00673DC4">
              <w:rPr>
                <w:szCs w:val="18"/>
              </w:rPr>
              <w:t>Α</w:t>
            </w:r>
            <w:r>
              <w:rPr>
                <w:szCs w:val="18"/>
              </w:rPr>
              <w:t>.</w:t>
            </w:r>
            <w:r w:rsidRPr="00673DC4">
              <w:rPr>
                <w:szCs w:val="18"/>
              </w:rPr>
              <w:t>Π</w:t>
            </w:r>
          </w:p>
        </w:tc>
        <w:tc>
          <w:tcPr>
            <w:tcW w:w="1559" w:type="dxa"/>
            <w:vAlign w:val="center"/>
          </w:tcPr>
          <w:p w:rsidR="00D90118" w:rsidRPr="00673DC4" w:rsidRDefault="00D90118" w:rsidP="00D21C6A">
            <w:pPr>
              <w:jc w:val="center"/>
              <w:rPr>
                <w:szCs w:val="18"/>
              </w:rPr>
            </w:pPr>
            <w:r>
              <w:rPr>
                <w:szCs w:val="18"/>
              </w:rPr>
              <w:t>72</w:t>
            </w:r>
          </w:p>
        </w:tc>
        <w:tc>
          <w:tcPr>
            <w:tcW w:w="992" w:type="dxa"/>
            <w:vAlign w:val="center"/>
          </w:tcPr>
          <w:p w:rsidR="00D90118" w:rsidRPr="00673DC4" w:rsidRDefault="00D90118" w:rsidP="00D21C6A">
            <w:pPr>
              <w:jc w:val="center"/>
              <w:rPr>
                <w:szCs w:val="18"/>
              </w:rPr>
            </w:pPr>
            <w:r>
              <w:rPr>
                <w:szCs w:val="18"/>
              </w:rPr>
              <w:t>173</w:t>
            </w:r>
          </w:p>
        </w:tc>
        <w:tc>
          <w:tcPr>
            <w:tcW w:w="851" w:type="dxa"/>
            <w:vAlign w:val="center"/>
          </w:tcPr>
          <w:p w:rsidR="00D90118" w:rsidRPr="00673DC4" w:rsidRDefault="00D90118" w:rsidP="00D21C6A">
            <w:pPr>
              <w:jc w:val="center"/>
              <w:rPr>
                <w:szCs w:val="18"/>
              </w:rPr>
            </w:pPr>
            <w:r>
              <w:rPr>
                <w:szCs w:val="18"/>
              </w:rPr>
              <w:t>207</w:t>
            </w:r>
          </w:p>
        </w:tc>
        <w:tc>
          <w:tcPr>
            <w:tcW w:w="1984" w:type="dxa"/>
            <w:shd w:val="clear" w:color="auto" w:fill="D9D9D9" w:themeFill="background1" w:themeFillShade="D9"/>
            <w:vAlign w:val="center"/>
          </w:tcPr>
          <w:p w:rsidR="00D90118" w:rsidRPr="00673DC4" w:rsidRDefault="00D90118" w:rsidP="00D21C6A">
            <w:pPr>
              <w:jc w:val="center"/>
              <w:rPr>
                <w:szCs w:val="18"/>
              </w:rPr>
            </w:pPr>
          </w:p>
        </w:tc>
      </w:tr>
      <w:tr w:rsidR="00D90118" w:rsidTr="0003032C">
        <w:tc>
          <w:tcPr>
            <w:tcW w:w="2268" w:type="dxa"/>
            <w:vAlign w:val="center"/>
          </w:tcPr>
          <w:p w:rsidR="00D90118" w:rsidRPr="001D061F" w:rsidRDefault="00D90118" w:rsidP="00D21C6A">
            <w:pPr>
              <w:jc w:val="left"/>
              <w:rPr>
                <w:b/>
                <w:i/>
                <w:szCs w:val="18"/>
              </w:rPr>
            </w:pPr>
            <w:r w:rsidRPr="001D061F">
              <w:rPr>
                <w:b/>
                <w:i/>
                <w:szCs w:val="18"/>
              </w:rPr>
              <w:t>Υποδομές ΚΡΗΠΙΣ</w:t>
            </w:r>
          </w:p>
        </w:tc>
        <w:tc>
          <w:tcPr>
            <w:tcW w:w="1560" w:type="dxa"/>
            <w:vAlign w:val="center"/>
          </w:tcPr>
          <w:p w:rsidR="00D90118" w:rsidRPr="00673DC4" w:rsidRDefault="00D90118" w:rsidP="00D21C6A">
            <w:pPr>
              <w:jc w:val="center"/>
              <w:rPr>
                <w:b/>
                <w:szCs w:val="18"/>
              </w:rPr>
            </w:pPr>
            <w:r>
              <w:rPr>
                <w:b/>
                <w:szCs w:val="18"/>
              </w:rPr>
              <w:t>Σύνολο</w:t>
            </w:r>
          </w:p>
        </w:tc>
        <w:tc>
          <w:tcPr>
            <w:tcW w:w="1559" w:type="dxa"/>
          </w:tcPr>
          <w:p w:rsidR="00D90118" w:rsidRPr="001D061F" w:rsidRDefault="00D90118" w:rsidP="00D21C6A">
            <w:pPr>
              <w:jc w:val="center"/>
              <w:rPr>
                <w:b/>
              </w:rPr>
            </w:pPr>
            <w:r w:rsidRPr="001D061F">
              <w:rPr>
                <w:b/>
              </w:rPr>
              <w:t>137</w:t>
            </w:r>
          </w:p>
        </w:tc>
        <w:tc>
          <w:tcPr>
            <w:tcW w:w="992" w:type="dxa"/>
          </w:tcPr>
          <w:p w:rsidR="00D90118" w:rsidRPr="001D061F" w:rsidRDefault="00D90118" w:rsidP="00D21C6A">
            <w:pPr>
              <w:jc w:val="center"/>
              <w:rPr>
                <w:b/>
              </w:rPr>
            </w:pPr>
            <w:r w:rsidRPr="001D061F">
              <w:rPr>
                <w:b/>
              </w:rPr>
              <w:t>330</w:t>
            </w:r>
          </w:p>
        </w:tc>
        <w:tc>
          <w:tcPr>
            <w:tcW w:w="851" w:type="dxa"/>
          </w:tcPr>
          <w:p w:rsidR="00D90118" w:rsidRPr="001D061F" w:rsidRDefault="00D90118" w:rsidP="00D21C6A">
            <w:pPr>
              <w:jc w:val="center"/>
              <w:rPr>
                <w:b/>
              </w:rPr>
            </w:pPr>
            <w:r w:rsidRPr="001D061F">
              <w:rPr>
                <w:b/>
              </w:rPr>
              <w:t>393</w:t>
            </w:r>
          </w:p>
        </w:tc>
        <w:tc>
          <w:tcPr>
            <w:tcW w:w="1984" w:type="dxa"/>
            <w:shd w:val="clear" w:color="auto" w:fill="D9D9D9" w:themeFill="background1" w:themeFillShade="D9"/>
            <w:vAlign w:val="center"/>
          </w:tcPr>
          <w:p w:rsidR="00D90118" w:rsidRPr="00673DC4" w:rsidRDefault="00D90118" w:rsidP="00D21C6A">
            <w:pPr>
              <w:jc w:val="center"/>
              <w:rPr>
                <w:szCs w:val="18"/>
              </w:rPr>
            </w:pPr>
          </w:p>
        </w:tc>
      </w:tr>
    </w:tbl>
    <w:p w:rsidR="00F513A2" w:rsidRDefault="00F513A2" w:rsidP="00D90118">
      <w:pPr>
        <w:rPr>
          <w:b/>
        </w:rPr>
      </w:pPr>
    </w:p>
    <w:p w:rsidR="00D90118" w:rsidRDefault="00D90118" w:rsidP="00D90118">
      <w:pPr>
        <w:rPr>
          <w:b/>
        </w:rPr>
      </w:pPr>
      <w:r>
        <w:rPr>
          <w:b/>
        </w:rPr>
        <w:t>Σε επίπεδο ενταγμένων έργων</w:t>
      </w:r>
    </w:p>
    <w:p w:rsidR="00D90118" w:rsidRPr="001D061F" w:rsidRDefault="00D90118" w:rsidP="00D90118">
      <w:r w:rsidRPr="001D061F">
        <w:t>Στον πίνακα</w:t>
      </w:r>
      <w:r>
        <w:t xml:space="preserve"> που ακολουθεί εμφανίζονται οι τιμές στόχοι των δεικτών των αθροισμένων ενταγμένων έργων, ανά Πρόσκληση και </w:t>
      </w:r>
      <w:r w:rsidR="00FA2E5D">
        <w:t>κατηγορία</w:t>
      </w:r>
      <w:r>
        <w:t xml:space="preserve"> Περιφέρειας</w:t>
      </w:r>
      <w:r w:rsidR="00FA2E5D">
        <w:t>.</w:t>
      </w:r>
    </w:p>
    <w:p w:rsidR="00D90118" w:rsidRPr="001D061F" w:rsidRDefault="00D90118" w:rsidP="00D90118"/>
    <w:p w:rsidR="00D90118" w:rsidRDefault="00D90118" w:rsidP="00D90118">
      <w:pPr>
        <w:sectPr w:rsidR="00D90118" w:rsidSect="003632D5">
          <w:headerReference w:type="default" r:id="rId69"/>
          <w:footerReference w:type="default" r:id="rId70"/>
          <w:pgSz w:w="11906" w:h="16838" w:code="9"/>
          <w:pgMar w:top="1440" w:right="1247" w:bottom="1440" w:left="1247" w:header="720" w:footer="720" w:gutter="0"/>
          <w:cols w:space="708"/>
          <w:docGrid w:linePitch="360"/>
        </w:sectPr>
      </w:pPr>
    </w:p>
    <w:p w:rsidR="00D90118" w:rsidRDefault="00D70C40" w:rsidP="00D70C40">
      <w:pPr>
        <w:pStyle w:val="Caption"/>
      </w:pPr>
      <w:r w:rsidRPr="00F47DBA">
        <w:lastRenderedPageBreak/>
        <w:t xml:space="preserve">Πίνακας </w:t>
      </w:r>
      <w:r w:rsidR="00833098" w:rsidRPr="00F47DBA">
        <w:rPr>
          <w:noProof/>
        </w:rPr>
        <w:fldChar w:fldCharType="begin"/>
      </w:r>
      <w:r w:rsidR="00833098" w:rsidRPr="00F47DBA">
        <w:rPr>
          <w:noProof/>
        </w:rPr>
        <w:instrText xml:space="preserve"> STYLEREF 1 \s </w:instrText>
      </w:r>
      <w:r w:rsidR="00833098" w:rsidRPr="00F47DBA">
        <w:rPr>
          <w:noProof/>
        </w:rPr>
        <w:fldChar w:fldCharType="separate"/>
      </w:r>
      <w:r w:rsidR="00332E24">
        <w:rPr>
          <w:noProof/>
        </w:rPr>
        <w:t>5</w:t>
      </w:r>
      <w:r w:rsidR="00833098" w:rsidRPr="00F47DBA">
        <w:rPr>
          <w:noProof/>
        </w:rPr>
        <w:fldChar w:fldCharType="end"/>
      </w:r>
      <w:r w:rsidR="009C23C4" w:rsidRPr="00F47DBA">
        <w:noBreakHyphen/>
      </w:r>
      <w:r w:rsidR="00833098" w:rsidRPr="00F47DBA">
        <w:rPr>
          <w:noProof/>
        </w:rPr>
        <w:fldChar w:fldCharType="begin"/>
      </w:r>
      <w:r w:rsidR="00833098" w:rsidRPr="00F47DBA">
        <w:rPr>
          <w:noProof/>
        </w:rPr>
        <w:instrText xml:space="preserve"> SEQ Πίνακας \* ARABIC \s 1 </w:instrText>
      </w:r>
      <w:r w:rsidR="00833098" w:rsidRPr="00F47DBA">
        <w:rPr>
          <w:noProof/>
        </w:rPr>
        <w:fldChar w:fldCharType="separate"/>
      </w:r>
      <w:r w:rsidR="00332E24">
        <w:rPr>
          <w:noProof/>
        </w:rPr>
        <w:t>4</w:t>
      </w:r>
      <w:r w:rsidR="00833098" w:rsidRPr="00F47DBA">
        <w:rPr>
          <w:noProof/>
        </w:rPr>
        <w:fldChar w:fldCharType="end"/>
      </w:r>
      <w:r w:rsidR="00A332A9" w:rsidRPr="00F47DBA">
        <w:t>: Τιμ</w:t>
      </w:r>
      <w:r w:rsidR="00303C13" w:rsidRPr="00F47DBA">
        <w:t>ές</w:t>
      </w:r>
      <w:r w:rsidR="00A332A9" w:rsidRPr="00F47DBA">
        <w:t xml:space="preserve"> Δεικτών Εκροών Ενταγμένων Έργων ΕΠΑνΕΚ</w:t>
      </w:r>
    </w:p>
    <w:p w:rsidR="00610A4C" w:rsidRDefault="009E543A" w:rsidP="00D90118">
      <w:r w:rsidRPr="009E543A">
        <w:rPr>
          <w:noProof/>
          <w:lang w:eastAsia="el-GR"/>
        </w:rPr>
        <w:drawing>
          <wp:inline distT="0" distB="0" distL="0" distR="0">
            <wp:extent cx="13293090" cy="7326725"/>
            <wp:effectExtent l="0" t="0" r="381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293090" cy="7326725"/>
                    </a:xfrm>
                    <a:prstGeom prst="rect">
                      <a:avLst/>
                    </a:prstGeom>
                    <a:noFill/>
                    <a:ln>
                      <a:noFill/>
                    </a:ln>
                  </pic:spPr>
                </pic:pic>
              </a:graphicData>
            </a:graphic>
          </wp:inline>
        </w:drawing>
      </w:r>
    </w:p>
    <w:p w:rsidR="00610A4C" w:rsidRDefault="00610A4C" w:rsidP="00D90118"/>
    <w:p w:rsidR="00610A4C" w:rsidRDefault="00610A4C" w:rsidP="00D90118"/>
    <w:p w:rsidR="00610A4C" w:rsidRDefault="00610A4C" w:rsidP="00D90118"/>
    <w:p w:rsidR="00610A4C" w:rsidRDefault="00610A4C" w:rsidP="00D90118"/>
    <w:p w:rsidR="00610A4C" w:rsidRDefault="00F47DBA" w:rsidP="00D90118">
      <w:r w:rsidRPr="00F47DBA">
        <w:rPr>
          <w:noProof/>
          <w:lang w:eastAsia="el-GR"/>
        </w:rPr>
        <w:drawing>
          <wp:inline distT="0" distB="0" distL="0" distR="0">
            <wp:extent cx="13293090" cy="5950646"/>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293090" cy="5950646"/>
                    </a:xfrm>
                    <a:prstGeom prst="rect">
                      <a:avLst/>
                    </a:prstGeom>
                    <a:noFill/>
                    <a:ln>
                      <a:noFill/>
                    </a:ln>
                  </pic:spPr>
                </pic:pic>
              </a:graphicData>
            </a:graphic>
          </wp:inline>
        </w:drawing>
      </w:r>
    </w:p>
    <w:p w:rsidR="00610A4C" w:rsidRDefault="00610A4C" w:rsidP="00D90118"/>
    <w:p w:rsidR="00610A4C" w:rsidRDefault="00610A4C" w:rsidP="00D90118"/>
    <w:p w:rsidR="00610A4C" w:rsidRDefault="00610A4C" w:rsidP="00D90118"/>
    <w:p w:rsidR="00610A4C" w:rsidRDefault="00610A4C" w:rsidP="00D90118"/>
    <w:p w:rsidR="00610A4C" w:rsidRDefault="00610A4C" w:rsidP="00D90118"/>
    <w:p w:rsidR="00D90118" w:rsidRDefault="00D90118" w:rsidP="00D90118">
      <w:pPr>
        <w:rPr>
          <w:sz w:val="16"/>
          <w:szCs w:val="16"/>
        </w:rPr>
      </w:pPr>
    </w:p>
    <w:p w:rsidR="00517E1B" w:rsidRDefault="00517E1B" w:rsidP="00D90118">
      <w:pPr>
        <w:rPr>
          <w:sz w:val="16"/>
          <w:szCs w:val="16"/>
        </w:rPr>
      </w:pPr>
    </w:p>
    <w:p w:rsidR="00517E1B" w:rsidRDefault="00517E1B" w:rsidP="00D90118"/>
    <w:p w:rsidR="00D90118" w:rsidRDefault="00D90118" w:rsidP="00D90118">
      <w:pPr>
        <w:sectPr w:rsidR="00D90118" w:rsidSect="00610A4C">
          <w:headerReference w:type="default" r:id="rId73"/>
          <w:footerReference w:type="default" r:id="rId74"/>
          <w:pgSz w:w="23814" w:h="16839" w:orient="landscape" w:code="8"/>
          <w:pgMar w:top="1800" w:right="1440" w:bottom="1800" w:left="1440" w:header="708" w:footer="708" w:gutter="0"/>
          <w:cols w:space="708"/>
          <w:docGrid w:linePitch="360"/>
        </w:sectPr>
      </w:pPr>
    </w:p>
    <w:p w:rsidR="00D90118" w:rsidRDefault="00D90118" w:rsidP="00D90118">
      <w:pPr>
        <w:pStyle w:val="Heading2"/>
      </w:pPr>
      <w:bookmarkStart w:id="70" w:name="_Toc6503381"/>
      <w:bookmarkStart w:id="71" w:name="_Toc22645130"/>
      <w:r>
        <w:lastRenderedPageBreak/>
        <w:t>Βαθμός κάλυψης δεικτών</w:t>
      </w:r>
      <w:bookmarkEnd w:id="70"/>
      <w:bookmarkEnd w:id="71"/>
    </w:p>
    <w:p w:rsidR="00D90118" w:rsidRDefault="00D90118" w:rsidP="00D90118">
      <w:r>
        <w:t>Δεδομένου ότι</w:t>
      </w:r>
      <w:r w:rsidR="005B3D3A">
        <w:t>:</w:t>
      </w:r>
    </w:p>
    <w:p w:rsidR="00D90118" w:rsidRDefault="00D90118" w:rsidP="00D90118">
      <w:r>
        <w:t>(α) Για καμία από τις παραπάνω Δράσεις δεν έχουν εισαχθεί ακόμα στο ΟΠΣ ΕΣΠΑ στοιχεία προόδου των τιμών των δεικτών, εφόσον τα αντίστοιχα έργα βρίσκονται ακόμα σε πρώιμη φάση,</w:t>
      </w:r>
    </w:p>
    <w:p w:rsidR="00D90118" w:rsidRDefault="00D90118" w:rsidP="00D90118">
      <w:r>
        <w:t>(β) Μόνο στις τρεις Προσκλήσεις Υποδομών με φορέα πρόσκλησης την ΕΥΔ ΕΠΑνΕΚ έχουν τεθεί ποσοτικοί στόχοι σε επίπεδο δεικτών, και έτσι δεν είναι δυνατό να προκύψουν συγκρίσιμα δεδομένα σε σχέση με τις τιμές στόχων των αντίστοιχων δεικτών του Προγράμματος (ΘΣ1),</w:t>
      </w:r>
    </w:p>
    <w:p w:rsidR="00D90118" w:rsidRDefault="005B3D3A" w:rsidP="00D90118">
      <w:r>
        <w:t>σ</w:t>
      </w:r>
      <w:r w:rsidR="00D90118">
        <w:t>υμπεράσματα για το βαθμό κάλυψης των τιμών στόχων μπορούν προς το παρόν να εξαχθούν μόνο μέσα από τη σύγκριση των τιμών στόχων δεικτών των ενταγμένων έργων, για το σύνολο των Προσκλήσεων ΕΤΑΚ που έχουν εκδοθεί  μέχρι σήμερα και των τιμών στόχων δεικτών σε επίπεδο Προγράμματος/ Ε.Σ 1.</w:t>
      </w:r>
    </w:p>
    <w:p w:rsidR="00D90118" w:rsidRDefault="00D90118" w:rsidP="00D90118">
      <w:r>
        <w:t>Οι τιμές αυτές (προγραμματισμός δεικτών σε επίπεδο Προγράμματος και προγραμματισμός δεικτών σε επίπεδο ενταγμένων έργων</w:t>
      </w:r>
      <w:r w:rsidR="00F513A2">
        <w:t>)</w:t>
      </w:r>
      <w:r>
        <w:t xml:space="preserve"> παρουσιάζονται στον πίνακα που ακολουθεί</w:t>
      </w:r>
      <w:r w:rsidR="00FA2E5D">
        <w:t>.</w:t>
      </w:r>
    </w:p>
    <w:p w:rsidR="00D90118" w:rsidRDefault="00D90118" w:rsidP="00D90118"/>
    <w:p w:rsidR="00D90118" w:rsidRDefault="00D90118" w:rsidP="00D90118"/>
    <w:p w:rsidR="00D90118" w:rsidRPr="000A3801" w:rsidRDefault="00D90118" w:rsidP="00D90118"/>
    <w:p w:rsidR="00D90118" w:rsidRPr="000A3801" w:rsidRDefault="00D90118" w:rsidP="00D90118"/>
    <w:p w:rsidR="00D90118" w:rsidRPr="000A3801" w:rsidRDefault="00D90118" w:rsidP="00D90118">
      <w:pPr>
        <w:sectPr w:rsidR="00D90118" w:rsidRPr="000A3801" w:rsidSect="005476F0">
          <w:headerReference w:type="default" r:id="rId75"/>
          <w:footerReference w:type="default" r:id="rId76"/>
          <w:pgSz w:w="11906" w:h="16838"/>
          <w:pgMar w:top="1440" w:right="1247" w:bottom="1440" w:left="1247" w:header="709" w:footer="709" w:gutter="0"/>
          <w:cols w:space="708"/>
          <w:docGrid w:linePitch="360"/>
        </w:sectPr>
      </w:pPr>
    </w:p>
    <w:p w:rsidR="00D90118" w:rsidRDefault="00804D5C" w:rsidP="00804D5C">
      <w:pPr>
        <w:pStyle w:val="Caption"/>
      </w:pPr>
      <w:r w:rsidRPr="004D56F7">
        <w:lastRenderedPageBreak/>
        <w:t xml:space="preserve">Πίνακας </w:t>
      </w:r>
      <w:r w:rsidR="00833098" w:rsidRPr="004D56F7">
        <w:rPr>
          <w:noProof/>
        </w:rPr>
        <w:fldChar w:fldCharType="begin"/>
      </w:r>
      <w:r w:rsidR="00833098" w:rsidRPr="004D56F7">
        <w:rPr>
          <w:noProof/>
        </w:rPr>
        <w:instrText xml:space="preserve"> STYLEREF 1 \s </w:instrText>
      </w:r>
      <w:r w:rsidR="00833098" w:rsidRPr="004D56F7">
        <w:rPr>
          <w:noProof/>
        </w:rPr>
        <w:fldChar w:fldCharType="separate"/>
      </w:r>
      <w:r w:rsidR="00332E24">
        <w:rPr>
          <w:noProof/>
        </w:rPr>
        <w:t>5</w:t>
      </w:r>
      <w:r w:rsidR="00833098" w:rsidRPr="004D56F7">
        <w:rPr>
          <w:noProof/>
        </w:rPr>
        <w:fldChar w:fldCharType="end"/>
      </w:r>
      <w:r w:rsidR="009C23C4" w:rsidRPr="004D56F7">
        <w:noBreakHyphen/>
      </w:r>
      <w:r w:rsidR="00833098" w:rsidRPr="004D56F7">
        <w:rPr>
          <w:noProof/>
        </w:rPr>
        <w:fldChar w:fldCharType="begin"/>
      </w:r>
      <w:r w:rsidR="00833098" w:rsidRPr="004D56F7">
        <w:rPr>
          <w:noProof/>
        </w:rPr>
        <w:instrText xml:space="preserve"> SEQ Πίνακας \* ARABIC \s 1 </w:instrText>
      </w:r>
      <w:r w:rsidR="00833098" w:rsidRPr="004D56F7">
        <w:rPr>
          <w:noProof/>
        </w:rPr>
        <w:fldChar w:fldCharType="separate"/>
      </w:r>
      <w:r w:rsidR="00332E24">
        <w:rPr>
          <w:noProof/>
        </w:rPr>
        <w:t>5</w:t>
      </w:r>
      <w:r w:rsidR="00833098" w:rsidRPr="004D56F7">
        <w:rPr>
          <w:noProof/>
        </w:rPr>
        <w:fldChar w:fldCharType="end"/>
      </w:r>
      <w:r w:rsidR="005B3D3A" w:rsidRPr="004D56F7">
        <w:t>:</w:t>
      </w:r>
      <w:r w:rsidRPr="004D56F7">
        <w:t xml:space="preserve"> </w:t>
      </w:r>
      <w:r w:rsidR="00D90118" w:rsidRPr="004D56F7">
        <w:t>Τιμές δεικτών εκροών σε επίπεδο Ε.Π. και σε επίπεδο εντάξεων</w:t>
      </w:r>
      <w:r w:rsidR="00D90118" w:rsidRPr="005B3D3A">
        <w:t xml:space="preserve"> </w:t>
      </w:r>
    </w:p>
    <w:tbl>
      <w:tblPr>
        <w:tblW w:w="19980" w:type="dxa"/>
        <w:tblInd w:w="113" w:type="dxa"/>
        <w:tblLook w:val="04A0" w:firstRow="1" w:lastRow="0" w:firstColumn="1" w:lastColumn="0" w:noHBand="0" w:noVBand="1"/>
      </w:tblPr>
      <w:tblGrid>
        <w:gridCol w:w="1436"/>
        <w:gridCol w:w="2428"/>
        <w:gridCol w:w="1358"/>
        <w:gridCol w:w="1000"/>
        <w:gridCol w:w="1000"/>
        <w:gridCol w:w="1338"/>
        <w:gridCol w:w="1220"/>
        <w:gridCol w:w="1220"/>
        <w:gridCol w:w="1300"/>
        <w:gridCol w:w="960"/>
        <w:gridCol w:w="960"/>
        <w:gridCol w:w="960"/>
        <w:gridCol w:w="960"/>
        <w:gridCol w:w="960"/>
        <w:gridCol w:w="960"/>
        <w:gridCol w:w="960"/>
        <w:gridCol w:w="960"/>
      </w:tblGrid>
      <w:tr w:rsidR="00F47DBA" w:rsidRPr="00F47DBA" w:rsidTr="00F47DBA">
        <w:trPr>
          <w:trHeight w:val="495"/>
        </w:trPr>
        <w:tc>
          <w:tcPr>
            <w:tcW w:w="7580" w:type="dxa"/>
            <w:gridSpan w:val="5"/>
            <w:tcBorders>
              <w:top w:val="single" w:sz="8" w:space="0" w:color="808080"/>
              <w:left w:val="single" w:sz="4" w:space="0" w:color="808080"/>
              <w:bottom w:val="single" w:sz="4" w:space="0" w:color="auto"/>
              <w:right w:val="nil"/>
            </w:tcBorders>
            <w:shd w:val="clear" w:color="FFFFFF" w:fill="800000"/>
            <w:vAlign w:val="center"/>
            <w:hideMark/>
          </w:tcPr>
          <w:p w:rsidR="00F47DBA" w:rsidRPr="00F47DBA" w:rsidRDefault="00F47DBA" w:rsidP="00F47DBA">
            <w:pPr>
              <w:spacing w:before="0" w:line="240" w:lineRule="auto"/>
              <w:jc w:val="center"/>
              <w:rPr>
                <w:rFonts w:ascii="Calibri" w:eastAsia="Times New Roman" w:hAnsi="Calibri"/>
                <w:b/>
                <w:bCs/>
                <w:color w:val="FFFFFF"/>
                <w:sz w:val="22"/>
                <w:lang w:eastAsia="el-GR"/>
              </w:rPr>
            </w:pPr>
            <w:r w:rsidRPr="00F47DBA">
              <w:rPr>
                <w:rFonts w:ascii="Calibri" w:eastAsia="Times New Roman" w:hAnsi="Calibri"/>
                <w:b/>
                <w:bCs/>
                <w:color w:val="FFFFFF"/>
                <w:sz w:val="22"/>
                <w:lang w:eastAsia="el-GR"/>
              </w:rPr>
              <w:t>ΔΙΚΤΕΣ ΕΚΡΟΩΝ</w:t>
            </w:r>
          </w:p>
        </w:tc>
        <w:tc>
          <w:tcPr>
            <w:tcW w:w="4720" w:type="dxa"/>
            <w:gridSpan w:val="4"/>
            <w:tcBorders>
              <w:top w:val="single" w:sz="8" w:space="0" w:color="808080"/>
              <w:left w:val="nil"/>
              <w:bottom w:val="single" w:sz="4" w:space="0" w:color="auto"/>
              <w:right w:val="single" w:sz="4" w:space="0" w:color="808080"/>
            </w:tcBorders>
            <w:shd w:val="clear" w:color="FFFFFF" w:fill="800000"/>
            <w:vAlign w:val="center"/>
            <w:hideMark/>
          </w:tcPr>
          <w:p w:rsidR="00F47DBA" w:rsidRPr="00F47DBA" w:rsidRDefault="00F47DBA" w:rsidP="00F47DBA">
            <w:pPr>
              <w:spacing w:before="0" w:line="240" w:lineRule="auto"/>
              <w:jc w:val="center"/>
              <w:rPr>
                <w:rFonts w:ascii="Calibri" w:eastAsia="Times New Roman" w:hAnsi="Calibri"/>
                <w:b/>
                <w:bCs/>
                <w:color w:val="FFFFFF"/>
                <w:sz w:val="22"/>
                <w:lang w:eastAsia="el-GR"/>
              </w:rPr>
            </w:pPr>
            <w:r w:rsidRPr="00F47DBA">
              <w:rPr>
                <w:rFonts w:ascii="Calibri" w:eastAsia="Times New Roman" w:hAnsi="Calibri"/>
                <w:b/>
                <w:bCs/>
                <w:color w:val="FFFFFF"/>
                <w:sz w:val="22"/>
                <w:lang w:eastAsia="el-GR"/>
              </w:rPr>
              <w:t>Προγραμματισμός ΕΠΑΝΕΚ (Επεν. Προτ. 1a &amp; 1b)</w:t>
            </w:r>
          </w:p>
        </w:tc>
        <w:tc>
          <w:tcPr>
            <w:tcW w:w="3840" w:type="dxa"/>
            <w:gridSpan w:val="4"/>
            <w:tcBorders>
              <w:top w:val="single" w:sz="8" w:space="0" w:color="808080"/>
              <w:left w:val="nil"/>
              <w:bottom w:val="single" w:sz="4" w:space="0" w:color="auto"/>
              <w:right w:val="single" w:sz="4" w:space="0" w:color="808080"/>
            </w:tcBorders>
            <w:shd w:val="clear" w:color="FFFFFF" w:fill="800000"/>
            <w:vAlign w:val="center"/>
            <w:hideMark/>
          </w:tcPr>
          <w:p w:rsidR="00F47DBA" w:rsidRPr="00F47DBA" w:rsidRDefault="00F47DBA" w:rsidP="00F47DBA">
            <w:pPr>
              <w:spacing w:before="0" w:line="240" w:lineRule="auto"/>
              <w:jc w:val="center"/>
              <w:rPr>
                <w:rFonts w:ascii="Calibri" w:eastAsia="Times New Roman" w:hAnsi="Calibri"/>
                <w:b/>
                <w:bCs/>
                <w:color w:val="FFFFFF"/>
                <w:sz w:val="22"/>
                <w:lang w:eastAsia="el-GR"/>
              </w:rPr>
            </w:pPr>
            <w:r w:rsidRPr="00F47DBA">
              <w:rPr>
                <w:rFonts w:ascii="Calibri" w:eastAsia="Times New Roman" w:hAnsi="Calibri"/>
                <w:b/>
                <w:bCs/>
                <w:color w:val="FFFFFF"/>
                <w:sz w:val="22"/>
                <w:lang w:eastAsia="el-GR"/>
              </w:rPr>
              <w:t>Προγραμματισμός ΕΝΤΑΞΕΙΣ</w:t>
            </w:r>
          </w:p>
        </w:tc>
        <w:tc>
          <w:tcPr>
            <w:tcW w:w="3840" w:type="dxa"/>
            <w:gridSpan w:val="4"/>
            <w:tcBorders>
              <w:top w:val="single" w:sz="8" w:space="0" w:color="808080"/>
              <w:left w:val="nil"/>
              <w:bottom w:val="single" w:sz="4" w:space="0" w:color="auto"/>
              <w:right w:val="single" w:sz="4" w:space="0" w:color="808080"/>
            </w:tcBorders>
            <w:shd w:val="clear" w:color="FFFFFF" w:fill="800000"/>
            <w:vAlign w:val="center"/>
            <w:hideMark/>
          </w:tcPr>
          <w:p w:rsidR="00F47DBA" w:rsidRPr="00F47DBA" w:rsidRDefault="00F47DBA" w:rsidP="00F47DBA">
            <w:pPr>
              <w:spacing w:before="0" w:line="240" w:lineRule="auto"/>
              <w:jc w:val="center"/>
              <w:rPr>
                <w:rFonts w:ascii="Calibri" w:eastAsia="Times New Roman" w:hAnsi="Calibri"/>
                <w:b/>
                <w:bCs/>
                <w:color w:val="FFFFFF"/>
                <w:sz w:val="22"/>
                <w:lang w:eastAsia="el-GR"/>
              </w:rPr>
            </w:pPr>
            <w:r w:rsidRPr="00F47DBA">
              <w:rPr>
                <w:rFonts w:ascii="Calibri" w:eastAsia="Times New Roman" w:hAnsi="Calibri"/>
                <w:b/>
                <w:bCs/>
                <w:color w:val="FFFFFF"/>
                <w:sz w:val="22"/>
                <w:lang w:eastAsia="el-GR"/>
              </w:rPr>
              <w:t>Συσχετισμός</w:t>
            </w:r>
          </w:p>
        </w:tc>
      </w:tr>
      <w:tr w:rsidR="00F47DBA" w:rsidRPr="00F47DBA" w:rsidTr="00F47DBA">
        <w:trPr>
          <w:trHeight w:val="1125"/>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Κωδικός</w:t>
            </w:r>
          </w:p>
        </w:tc>
        <w:tc>
          <w:tcPr>
            <w:tcW w:w="2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 xml:space="preserve">Δείκτης </w:t>
            </w:r>
          </w:p>
        </w:tc>
        <w:tc>
          <w:tcPr>
            <w:tcW w:w="122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Μονάδα Μέτρησης</w:t>
            </w:r>
          </w:p>
        </w:tc>
        <w:tc>
          <w:tcPr>
            <w:tcW w:w="100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ΑΠ ΕΠΑΝΕΚ</w:t>
            </w:r>
          </w:p>
        </w:tc>
        <w:tc>
          <w:tcPr>
            <w:tcW w:w="1000" w:type="dxa"/>
            <w:tcBorders>
              <w:top w:val="nil"/>
              <w:left w:val="nil"/>
              <w:bottom w:val="single" w:sz="4" w:space="0" w:color="auto"/>
              <w:right w:val="single" w:sz="8"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Επ.Προτ.</w:t>
            </w:r>
          </w:p>
        </w:tc>
        <w:tc>
          <w:tcPr>
            <w:tcW w:w="130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ΣΥΝΟΛΟ</w:t>
            </w:r>
          </w:p>
        </w:tc>
        <w:tc>
          <w:tcPr>
            <w:tcW w:w="10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 xml:space="preserve">ΕΠΑΝΕΚ-ΛΑΠ </w:t>
            </w:r>
          </w:p>
        </w:tc>
        <w:tc>
          <w:tcPr>
            <w:tcW w:w="10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ΕΠΑΝΕΚ-Π.ΜET</w:t>
            </w:r>
          </w:p>
        </w:tc>
        <w:tc>
          <w:tcPr>
            <w:tcW w:w="1300" w:type="dxa"/>
            <w:tcBorders>
              <w:top w:val="nil"/>
              <w:left w:val="nil"/>
              <w:bottom w:val="single" w:sz="4" w:space="0" w:color="auto"/>
              <w:right w:val="single" w:sz="8"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ΕΠΑΝΕΚ-ΠΑΠ</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ΣΥΝΟΛΟ</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 xml:space="preserve">ΕΠΑΝΕΚ-ΛΑΠ </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ΕΠΑΝΕΚ-Π.ΜET</w:t>
            </w:r>
          </w:p>
        </w:tc>
        <w:tc>
          <w:tcPr>
            <w:tcW w:w="960" w:type="dxa"/>
            <w:tcBorders>
              <w:top w:val="nil"/>
              <w:left w:val="nil"/>
              <w:bottom w:val="single" w:sz="4" w:space="0" w:color="auto"/>
              <w:right w:val="single" w:sz="8"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ΕΠΑΝΕΚ-ΠΑΠ</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ΣΥΝΟΛΟ</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 xml:space="preserve">ΕΠΑΝΕΚ-ΛΑΠ </w:t>
            </w:r>
          </w:p>
        </w:tc>
        <w:tc>
          <w:tcPr>
            <w:tcW w:w="960" w:type="dxa"/>
            <w:tcBorders>
              <w:top w:val="nil"/>
              <w:left w:val="nil"/>
              <w:bottom w:val="single" w:sz="4" w:space="0" w:color="auto"/>
              <w:right w:val="single" w:sz="4"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ΕΠΑΝΕΚ-Π.ΜET</w:t>
            </w:r>
          </w:p>
        </w:tc>
        <w:tc>
          <w:tcPr>
            <w:tcW w:w="960" w:type="dxa"/>
            <w:tcBorders>
              <w:top w:val="nil"/>
              <w:left w:val="nil"/>
              <w:bottom w:val="single" w:sz="4" w:space="0" w:color="auto"/>
              <w:right w:val="single" w:sz="8" w:space="0" w:color="auto"/>
            </w:tcBorders>
            <w:shd w:val="clear" w:color="auto" w:fill="auto"/>
            <w:vAlign w:val="center"/>
            <w:hideMark/>
          </w:tcPr>
          <w:p w:rsidR="00F47DBA" w:rsidRPr="00F47DBA" w:rsidRDefault="00F47DBA" w:rsidP="00F47DBA">
            <w:pPr>
              <w:spacing w:before="0" w:line="240" w:lineRule="auto"/>
              <w:jc w:val="center"/>
              <w:rPr>
                <w:rFonts w:ascii="Calibri" w:eastAsia="Times New Roman" w:hAnsi="Calibri"/>
                <w:b/>
                <w:bCs/>
                <w:color w:val="000000"/>
                <w:sz w:val="16"/>
                <w:szCs w:val="16"/>
                <w:lang w:eastAsia="el-GR"/>
              </w:rPr>
            </w:pPr>
            <w:r w:rsidRPr="00F47DBA">
              <w:rPr>
                <w:rFonts w:ascii="Calibri" w:eastAsia="Times New Roman" w:hAnsi="Calibri"/>
                <w:b/>
                <w:bCs/>
                <w:color w:val="000000"/>
                <w:sz w:val="16"/>
                <w:szCs w:val="16"/>
                <w:lang w:eastAsia="el-GR"/>
              </w:rPr>
              <w:t>ΕΠΑΝΕΚ-ΠΑΠ</w:t>
            </w:r>
          </w:p>
        </w:tc>
      </w:tr>
      <w:tr w:rsidR="00F47DBA" w:rsidRPr="00F47DBA" w:rsidTr="00F47DBA">
        <w:trPr>
          <w:trHeight w:val="465"/>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CO01</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Παραγωγικές Επενδύσεις: αριθμός επιχειρήσεων που λαμβάνουν στήριξη</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Επιχειρήσεις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708</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325</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122</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261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11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5</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r>
      <w:tr w:rsidR="00F47DBA" w:rsidRPr="00F47DBA" w:rsidTr="00F47DBA">
        <w:trPr>
          <w:trHeight w:val="69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CO02</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Παραγωγικές Επενδύσεις: αριθμός επιχειρήσεων που λαμβάνουν επιχορηγήσεις</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Επιχειρήσεις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650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306</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115</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229</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11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5</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r>
      <w:tr w:rsidR="00F47DBA" w:rsidRPr="00F47DBA" w:rsidTr="00F47DBA">
        <w:trPr>
          <w:trHeight w:val="69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CO03</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Παραγωγικές Επενδύσεις: αριθμός επιχειρήσεων που λαμβάνουν επιχορηγήσεις πλην επιχορηγήσεων</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Επιχειρήσεις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115</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46</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17</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52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0</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r>
      <w:tr w:rsidR="00F47DBA" w:rsidRPr="00F47DBA" w:rsidTr="00F47DBA">
        <w:trPr>
          <w:trHeight w:val="465"/>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CO05</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 xml:space="preserve">Παραγωγικές Επενδύσεις: Αριθμός νέων επιχειρήσεων που ενισχύονται </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Επιχειρήσεις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100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46</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15</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39</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0%</w:t>
            </w:r>
          </w:p>
        </w:tc>
      </w:tr>
      <w:tr w:rsidR="00F47DBA" w:rsidRPr="00F47DBA" w:rsidTr="00F47DBA">
        <w:trPr>
          <w:trHeight w:val="915"/>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CO07</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Παραγωγικές Επενδύσεις: Ιδιωτικές Επενδύσεις που συνδυάζονται με δημόσια στήριξη των επιχειρήσεων (όχι επιχορηγήσεις)</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Ευρώ</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21.980.000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8.790.000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3.297.000</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9.893.000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0</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r>
      <w:tr w:rsidR="00F47DBA" w:rsidRPr="00F47DBA" w:rsidTr="00F47DBA">
        <w:trPr>
          <w:trHeight w:val="465"/>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CO24</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Έρευνα, Καινοτομία: Αριθμός νέων ερευνητών σε οντότητες που ενισχύονται</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ΙΠΑ</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7.762</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3.772</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1.265</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2.725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2187,85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625,47</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405,51</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1156,87</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28%</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17%</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32%</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42%</w:t>
            </w:r>
          </w:p>
        </w:tc>
      </w:tr>
      <w:tr w:rsidR="00F47DBA" w:rsidRPr="00F47DBA" w:rsidTr="00F47DBA">
        <w:trPr>
          <w:trHeight w:val="69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CO25</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Έρευνα, Καινοτομία: Αριθμός ερευνητών που εργάζονται σε βελτιωμένες εγκαταστάσεις ερευνητικών υποδομών</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ΙΠΑ</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3/3Σ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1a</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2.165</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645</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517</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1.003</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2708,7</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750,67</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453,08</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1504,95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125%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116%</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88%</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150%</w:t>
            </w:r>
          </w:p>
        </w:tc>
      </w:tr>
      <w:tr w:rsidR="00F47DBA" w:rsidRPr="00F47DBA" w:rsidTr="00F47DBA">
        <w:trPr>
          <w:trHeight w:val="69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CO26</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Έρευνα, Καινοτομία: Αριθμός επιχειρήσεων που συνεργάζονται με ερευνητικά ινστιτούτα</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Επιχειρήσεις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640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321</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121</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198</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11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5</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2%</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w:t>
            </w:r>
          </w:p>
        </w:tc>
      </w:tr>
      <w:tr w:rsidR="00F47DBA" w:rsidRPr="00F47DBA" w:rsidTr="00F47DBA">
        <w:trPr>
          <w:trHeight w:val="114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CO27</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Έρευνα, Καινοτομία: Ιδιωτικές επενδύσεις που συνδυάζονται με δημόσια στηριξη στον τομέα της καινοτομίας ή σε έργα έρευνας και ανάπτυξης</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Ευρώ</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135.000.000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77.190.000</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17.720.000</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40.090.000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0</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4"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c>
          <w:tcPr>
            <w:tcW w:w="960" w:type="dxa"/>
            <w:tcBorders>
              <w:top w:val="nil"/>
              <w:left w:val="nil"/>
              <w:bottom w:val="single" w:sz="4" w:space="0" w:color="auto"/>
              <w:right w:val="single" w:sz="8" w:space="0" w:color="auto"/>
            </w:tcBorders>
            <w:shd w:val="clear" w:color="000000" w:fill="D9D9D9"/>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 </w:t>
            </w:r>
          </w:p>
        </w:tc>
      </w:tr>
      <w:tr w:rsidR="00F47DBA" w:rsidRPr="00F47DBA" w:rsidTr="00F47DBA">
        <w:trPr>
          <w:trHeight w:val="690"/>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Τ4204</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Αριθμός κοινών έργων Ε&amp;Κ με φορείς άλλων χωρών (με ή χωρίς συντονισμό με την Ε.Ε)</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Αριθμός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1/1Σ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1b</w:t>
            </w:r>
          </w:p>
        </w:tc>
        <w:tc>
          <w:tcPr>
            <w:tcW w:w="13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292</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121</w:t>
            </w:r>
          </w:p>
        </w:tc>
        <w:tc>
          <w:tcPr>
            <w:tcW w:w="10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66</w:t>
            </w:r>
          </w:p>
        </w:tc>
        <w:tc>
          <w:tcPr>
            <w:tcW w:w="13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105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32,00</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11,39</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8,11</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12,5</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11%</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9%</w:t>
            </w:r>
          </w:p>
        </w:tc>
        <w:tc>
          <w:tcPr>
            <w:tcW w:w="96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12%</w:t>
            </w:r>
          </w:p>
        </w:tc>
        <w:tc>
          <w:tcPr>
            <w:tcW w:w="96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12%</w:t>
            </w:r>
          </w:p>
        </w:tc>
      </w:tr>
      <w:tr w:rsidR="00F47DBA" w:rsidRPr="00F47DBA" w:rsidTr="00F47DBA">
        <w:trPr>
          <w:trHeight w:val="315"/>
        </w:trPr>
        <w:tc>
          <w:tcPr>
            <w:tcW w:w="1400" w:type="dxa"/>
            <w:tcBorders>
              <w:top w:val="nil"/>
              <w:left w:val="single" w:sz="4" w:space="0" w:color="auto"/>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T4225/SO033</w:t>
            </w:r>
          </w:p>
        </w:tc>
        <w:tc>
          <w:tcPr>
            <w:tcW w:w="2960" w:type="dxa"/>
            <w:tcBorders>
              <w:top w:val="nil"/>
              <w:left w:val="nil"/>
              <w:bottom w:val="single" w:sz="4" w:space="0" w:color="auto"/>
              <w:right w:val="single" w:sz="4" w:space="0" w:color="auto"/>
            </w:tcBorders>
            <w:shd w:val="clear" w:color="auto" w:fill="auto"/>
            <w:vAlign w:val="bottom"/>
            <w:hideMark/>
          </w:tcPr>
          <w:p w:rsidR="00F47DBA" w:rsidRPr="00F47DBA" w:rsidRDefault="00F47DBA" w:rsidP="00F47DBA">
            <w:pPr>
              <w:spacing w:before="0" w:line="240" w:lineRule="auto"/>
              <w:jc w:val="left"/>
              <w:rPr>
                <w:rFonts w:ascii="Calibri" w:eastAsia="Times New Roman" w:hAnsi="Calibri"/>
                <w:color w:val="000000"/>
                <w:sz w:val="16"/>
                <w:szCs w:val="16"/>
                <w:lang w:eastAsia="el-GR"/>
              </w:rPr>
            </w:pPr>
            <w:r w:rsidRPr="00F47DBA">
              <w:rPr>
                <w:rFonts w:ascii="Calibri" w:eastAsia="Times New Roman" w:hAnsi="Calibri"/>
                <w:color w:val="000000"/>
                <w:sz w:val="16"/>
                <w:szCs w:val="16"/>
                <w:lang w:eastAsia="el-GR"/>
              </w:rPr>
              <w:t>Ερευνητικές υποδομές που ενισχύονται</w:t>
            </w:r>
          </w:p>
        </w:tc>
        <w:tc>
          <w:tcPr>
            <w:tcW w:w="122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left"/>
              <w:rPr>
                <w:rFonts w:ascii="Calibri" w:eastAsia="Times New Roman" w:hAnsi="Calibri"/>
                <w:color w:val="000000"/>
                <w:sz w:val="22"/>
                <w:lang w:eastAsia="el-GR"/>
              </w:rPr>
            </w:pPr>
            <w:r w:rsidRPr="00F47DBA">
              <w:rPr>
                <w:rFonts w:ascii="Calibri" w:eastAsia="Times New Roman" w:hAnsi="Calibri"/>
                <w:color w:val="000000"/>
                <w:sz w:val="22"/>
                <w:lang w:eastAsia="el-GR"/>
              </w:rPr>
              <w:t>Αριθμός</w:t>
            </w:r>
          </w:p>
        </w:tc>
        <w:tc>
          <w:tcPr>
            <w:tcW w:w="1000" w:type="dxa"/>
            <w:tcBorders>
              <w:top w:val="nil"/>
              <w:left w:val="nil"/>
              <w:bottom w:val="single" w:sz="4"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3/3Σ</w:t>
            </w:r>
          </w:p>
        </w:tc>
        <w:tc>
          <w:tcPr>
            <w:tcW w:w="1000" w:type="dxa"/>
            <w:tcBorders>
              <w:top w:val="nil"/>
              <w:left w:val="nil"/>
              <w:bottom w:val="single" w:sz="4"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1a</w:t>
            </w:r>
          </w:p>
        </w:tc>
        <w:tc>
          <w:tcPr>
            <w:tcW w:w="130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b/>
                <w:bCs/>
                <w:i/>
                <w:iCs/>
                <w:color w:val="000000"/>
                <w:sz w:val="22"/>
                <w:lang w:eastAsia="el-GR"/>
              </w:rPr>
            </w:pPr>
            <w:r w:rsidRPr="00F47DBA">
              <w:rPr>
                <w:rFonts w:ascii="Calibri" w:eastAsia="Times New Roman" w:hAnsi="Calibri"/>
                <w:b/>
                <w:bCs/>
                <w:i/>
                <w:iCs/>
                <w:color w:val="000000"/>
                <w:sz w:val="22"/>
                <w:lang w:eastAsia="el-GR"/>
              </w:rPr>
              <w:t>28</w:t>
            </w:r>
          </w:p>
        </w:tc>
        <w:tc>
          <w:tcPr>
            <w:tcW w:w="10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8</w:t>
            </w:r>
          </w:p>
        </w:tc>
        <w:tc>
          <w:tcPr>
            <w:tcW w:w="10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6</w:t>
            </w:r>
          </w:p>
        </w:tc>
        <w:tc>
          <w:tcPr>
            <w:tcW w:w="1300" w:type="dxa"/>
            <w:tcBorders>
              <w:top w:val="nil"/>
              <w:left w:val="nil"/>
              <w:bottom w:val="single" w:sz="8" w:space="0" w:color="auto"/>
              <w:right w:val="single" w:sz="8" w:space="0" w:color="auto"/>
            </w:tcBorders>
            <w:shd w:val="clear" w:color="auto" w:fill="auto"/>
            <w:noWrap/>
            <w:vAlign w:val="bottom"/>
            <w:hideMark/>
          </w:tcPr>
          <w:p w:rsidR="00F47DBA" w:rsidRPr="00F47DBA" w:rsidRDefault="00F47DBA" w:rsidP="00F47DBA">
            <w:pPr>
              <w:spacing w:before="0" w:line="240" w:lineRule="auto"/>
              <w:jc w:val="center"/>
              <w:rPr>
                <w:rFonts w:ascii="Calibri" w:eastAsia="Times New Roman" w:hAnsi="Calibri"/>
                <w:color w:val="000000"/>
                <w:sz w:val="22"/>
                <w:lang w:eastAsia="el-GR"/>
              </w:rPr>
            </w:pPr>
            <w:r w:rsidRPr="00F47DBA">
              <w:rPr>
                <w:rFonts w:ascii="Calibri" w:eastAsia="Times New Roman" w:hAnsi="Calibri"/>
                <w:color w:val="000000"/>
                <w:sz w:val="22"/>
                <w:lang w:eastAsia="el-GR"/>
              </w:rPr>
              <w:t>14</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i/>
                <w:iCs/>
                <w:color w:val="000000"/>
                <w:sz w:val="22"/>
                <w:lang w:eastAsia="el-GR"/>
              </w:rPr>
            </w:pPr>
            <w:r w:rsidRPr="00F47DBA">
              <w:rPr>
                <w:rFonts w:ascii="Calibri" w:eastAsia="Times New Roman" w:hAnsi="Calibri"/>
                <w:i/>
                <w:iCs/>
                <w:color w:val="000000"/>
                <w:sz w:val="22"/>
                <w:lang w:eastAsia="el-GR"/>
              </w:rPr>
              <w:t>19,9</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5,81</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2,39</w:t>
            </w:r>
          </w:p>
        </w:tc>
        <w:tc>
          <w:tcPr>
            <w:tcW w:w="960" w:type="dxa"/>
            <w:tcBorders>
              <w:top w:val="nil"/>
              <w:left w:val="nil"/>
              <w:bottom w:val="single" w:sz="8"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11,7</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b/>
                <w:bCs/>
                <w:color w:val="000000"/>
                <w:sz w:val="22"/>
                <w:lang w:eastAsia="el-GR"/>
              </w:rPr>
            </w:pPr>
            <w:r w:rsidRPr="00F47DBA">
              <w:rPr>
                <w:rFonts w:ascii="Calibri" w:eastAsia="Times New Roman" w:hAnsi="Calibri"/>
                <w:b/>
                <w:bCs/>
                <w:color w:val="000000"/>
                <w:sz w:val="22"/>
                <w:lang w:eastAsia="el-GR"/>
              </w:rPr>
              <w:t>71%</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73%</w:t>
            </w:r>
          </w:p>
        </w:tc>
        <w:tc>
          <w:tcPr>
            <w:tcW w:w="960" w:type="dxa"/>
            <w:tcBorders>
              <w:top w:val="nil"/>
              <w:left w:val="nil"/>
              <w:bottom w:val="single" w:sz="8" w:space="0" w:color="auto"/>
              <w:right w:val="single" w:sz="4"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40%</w:t>
            </w:r>
          </w:p>
        </w:tc>
        <w:tc>
          <w:tcPr>
            <w:tcW w:w="960" w:type="dxa"/>
            <w:tcBorders>
              <w:top w:val="nil"/>
              <w:left w:val="nil"/>
              <w:bottom w:val="single" w:sz="8" w:space="0" w:color="auto"/>
              <w:right w:val="single" w:sz="8" w:space="0" w:color="auto"/>
            </w:tcBorders>
            <w:shd w:val="clear" w:color="auto" w:fill="auto"/>
            <w:noWrap/>
            <w:vAlign w:val="bottom"/>
            <w:hideMark/>
          </w:tcPr>
          <w:p w:rsidR="00F47DBA" w:rsidRPr="00F47DBA" w:rsidRDefault="00F47DBA" w:rsidP="00F47DBA">
            <w:pPr>
              <w:spacing w:before="0" w:line="240" w:lineRule="auto"/>
              <w:jc w:val="right"/>
              <w:rPr>
                <w:rFonts w:ascii="Calibri" w:eastAsia="Times New Roman" w:hAnsi="Calibri"/>
                <w:color w:val="000000"/>
                <w:sz w:val="22"/>
                <w:lang w:eastAsia="el-GR"/>
              </w:rPr>
            </w:pPr>
            <w:r w:rsidRPr="00F47DBA">
              <w:rPr>
                <w:rFonts w:ascii="Calibri" w:eastAsia="Times New Roman" w:hAnsi="Calibri"/>
                <w:color w:val="000000"/>
                <w:sz w:val="22"/>
                <w:lang w:eastAsia="el-GR"/>
              </w:rPr>
              <w:t>84%</w:t>
            </w:r>
          </w:p>
        </w:tc>
      </w:tr>
    </w:tbl>
    <w:p w:rsidR="00D90118" w:rsidRDefault="00D90118" w:rsidP="00E75022">
      <w:r w:rsidRPr="0078181C">
        <w:rPr>
          <w:sz w:val="16"/>
          <w:szCs w:val="16"/>
        </w:rPr>
        <w:t>Πηγή στοιχείων εντάξεων έργων: ΓΓΕΤ και ΕΥΔΕ ΕΤΑΚ</w:t>
      </w:r>
    </w:p>
    <w:p w:rsidR="00D90118" w:rsidRPr="00C92C0A" w:rsidRDefault="00D90118" w:rsidP="00D90118">
      <w:pPr>
        <w:sectPr w:rsidR="00D90118" w:rsidRPr="00C92C0A" w:rsidSect="00E75022">
          <w:headerReference w:type="default" r:id="rId77"/>
          <w:footerReference w:type="default" r:id="rId78"/>
          <w:pgSz w:w="23814" w:h="16839" w:orient="landscape" w:code="8"/>
          <w:pgMar w:top="1800" w:right="1440" w:bottom="1800" w:left="1440" w:header="708" w:footer="708" w:gutter="0"/>
          <w:cols w:space="708"/>
          <w:docGrid w:linePitch="360"/>
        </w:sectPr>
      </w:pPr>
    </w:p>
    <w:p w:rsidR="00D90118" w:rsidRDefault="00D90118" w:rsidP="00D90118">
      <w:r>
        <w:lastRenderedPageBreak/>
        <w:t>Στον παραπάνω πίνακα εμπεριέχονται οι τιμές στόχων δεικτών εκροής που περιλαμβάνονται στις Επενδυτικές Προτεραιότητες 1</w:t>
      </w:r>
      <w:r w:rsidRPr="003B1358">
        <w:t>a</w:t>
      </w:r>
      <w:r w:rsidRPr="00214B5C">
        <w:t xml:space="preserve"> </w:t>
      </w:r>
      <w:r>
        <w:t>και 1</w:t>
      </w:r>
      <w:r w:rsidRPr="003B1358">
        <w:t>b</w:t>
      </w:r>
      <w:r>
        <w:t xml:space="preserve"> του ΕΠΑνΕΚ οι οποίες συγκρίνονται με τις αντίστοιχες τιμές στόχου των δεικτών που έχουν προκύψει αθροιστικά από τα ενταγμένα έργα των Προσκλήσεων των φορέων ΓΓΕΤ, ΕΥΔΕ ΕΤΑΚ και ΕΥΔ ΕΠΑνΕΚ που έχουν εκδοθεί μέχρι το τέλος του 201</w:t>
      </w:r>
      <w:r w:rsidR="00FA2E5D">
        <w:t>7</w:t>
      </w:r>
      <w:r>
        <w:t>.</w:t>
      </w:r>
    </w:p>
    <w:p w:rsidR="00D90118" w:rsidRDefault="00D90118" w:rsidP="00D90118">
      <w:r>
        <w:t xml:space="preserve">Βάσει των στοιχείων αυτών, </w:t>
      </w:r>
      <w:r w:rsidR="00966C90">
        <w:t>διαπιστώνονται τα εξής</w:t>
      </w:r>
      <w:r>
        <w:t>:</w:t>
      </w:r>
    </w:p>
    <w:p w:rsidR="00D90118" w:rsidRDefault="00D90118" w:rsidP="001B2DD1">
      <w:pPr>
        <w:pStyle w:val="ListParagraph"/>
        <w:numPr>
          <w:ilvl w:val="0"/>
          <w:numId w:val="19"/>
        </w:numPr>
      </w:pPr>
      <w:r>
        <w:t xml:space="preserve">Η τιμή στόχος του δείκτη </w:t>
      </w:r>
      <w:r w:rsidRPr="00370AF1">
        <w:rPr>
          <w:b/>
          <w:lang w:val="en-US"/>
        </w:rPr>
        <w:t>CO</w:t>
      </w:r>
      <w:r w:rsidRPr="00370AF1">
        <w:rPr>
          <w:b/>
        </w:rPr>
        <w:t xml:space="preserve">01 </w:t>
      </w:r>
      <w:r>
        <w:t xml:space="preserve">παρουσιάζει κάλυψη σε επίπεδο ενταγμένων έργων της τάξης του </w:t>
      </w:r>
      <w:r w:rsidR="00966C90">
        <w:t>2%.</w:t>
      </w:r>
    </w:p>
    <w:p w:rsidR="00D90118" w:rsidRDefault="00966C90" w:rsidP="001B2DD1">
      <w:pPr>
        <w:pStyle w:val="ListParagraph"/>
        <w:numPr>
          <w:ilvl w:val="0"/>
          <w:numId w:val="19"/>
        </w:numPr>
      </w:pPr>
      <w:r>
        <w:t>Ομοίως η</w:t>
      </w:r>
      <w:r w:rsidR="00D90118">
        <w:t xml:space="preserve"> τιμή στόχος του δείκτη </w:t>
      </w:r>
      <w:r w:rsidR="00D90118" w:rsidRPr="00AD1927">
        <w:rPr>
          <w:b/>
          <w:lang w:val="en-US"/>
        </w:rPr>
        <w:t>CO</w:t>
      </w:r>
      <w:r w:rsidR="00D90118" w:rsidRPr="00AD1927">
        <w:rPr>
          <w:b/>
        </w:rPr>
        <w:t>02</w:t>
      </w:r>
      <w:r w:rsidR="00D90118" w:rsidRPr="00AD1927">
        <w:t xml:space="preserve"> </w:t>
      </w:r>
      <w:r w:rsidR="00D90118">
        <w:t xml:space="preserve">παρουσιάζει κάλυψη </w:t>
      </w:r>
      <w:r>
        <w:t>2</w:t>
      </w:r>
      <w:r w:rsidR="00D90118">
        <w:t xml:space="preserve">%, με το αντίστοιχο ποσοστό για τη κατηγορία των </w:t>
      </w:r>
      <w:r>
        <w:t xml:space="preserve">Περιφερειών </w:t>
      </w:r>
      <w:r w:rsidR="00FA2E5D">
        <w:t>σε μ</w:t>
      </w:r>
      <w:r>
        <w:t>ετάβαση</w:t>
      </w:r>
      <w:r w:rsidR="00D90118">
        <w:t xml:space="preserve"> να φτάνει το </w:t>
      </w:r>
      <w:r>
        <w:t>4</w:t>
      </w:r>
      <w:r w:rsidR="00D90118">
        <w:t>%.</w:t>
      </w:r>
    </w:p>
    <w:p w:rsidR="00D90118" w:rsidRDefault="00D90118" w:rsidP="001B2DD1">
      <w:pPr>
        <w:pStyle w:val="ListParagraph"/>
        <w:numPr>
          <w:ilvl w:val="0"/>
          <w:numId w:val="19"/>
        </w:numPr>
      </w:pPr>
      <w:r>
        <w:t xml:space="preserve">Όπως έχει αναφερθεί παραπάνω, ο δείκτης </w:t>
      </w:r>
      <w:r w:rsidRPr="00AD1927">
        <w:rPr>
          <w:b/>
          <w:lang w:val="en-US"/>
        </w:rPr>
        <w:t>CO</w:t>
      </w:r>
      <w:r>
        <w:rPr>
          <w:b/>
        </w:rPr>
        <w:t xml:space="preserve">03 </w:t>
      </w:r>
      <w:r>
        <w:t xml:space="preserve">δεν </w:t>
      </w:r>
      <w:r w:rsidR="00977C09">
        <w:t xml:space="preserve">είχε </w:t>
      </w:r>
      <w:r>
        <w:t>περιληφθεί σε Πρόσκληση ΕΠΑνΕΚ στο πλαίσιο του Θ.Σ 1.</w:t>
      </w:r>
    </w:p>
    <w:p w:rsidR="00977C09" w:rsidRDefault="00977C09" w:rsidP="001B2DD1">
      <w:pPr>
        <w:pStyle w:val="ListParagraph"/>
        <w:numPr>
          <w:ilvl w:val="0"/>
          <w:numId w:val="19"/>
        </w:numPr>
      </w:pPr>
      <w:r>
        <w:t xml:space="preserve">Στην περίοδο αναφοράς, δεν υπάρχουν ακόμα εντάξεις που να περιλαμβάνουν τον </w:t>
      </w:r>
      <w:r w:rsidR="00D90118" w:rsidRPr="00617D53">
        <w:t xml:space="preserve">δείκτη </w:t>
      </w:r>
      <w:r w:rsidR="00D90118" w:rsidRPr="00977C09">
        <w:rPr>
          <w:b/>
          <w:lang w:val="en-US"/>
        </w:rPr>
        <w:t>CO</w:t>
      </w:r>
      <w:r w:rsidR="00D90118" w:rsidRPr="00977C09">
        <w:rPr>
          <w:b/>
        </w:rPr>
        <w:t xml:space="preserve">05 </w:t>
      </w:r>
    </w:p>
    <w:p w:rsidR="00D90118" w:rsidRDefault="00977C09" w:rsidP="001B2DD1">
      <w:pPr>
        <w:pStyle w:val="ListParagraph"/>
        <w:numPr>
          <w:ilvl w:val="0"/>
          <w:numId w:val="19"/>
        </w:numPr>
      </w:pPr>
      <w:r>
        <w:t>Στην περίοδο αναφοράς, ο</w:t>
      </w:r>
      <w:r w:rsidR="00D90118">
        <w:t xml:space="preserve"> δείκτης </w:t>
      </w:r>
      <w:r w:rsidR="00D90118" w:rsidRPr="00977C09">
        <w:rPr>
          <w:b/>
        </w:rPr>
        <w:t xml:space="preserve">CO07 </w:t>
      </w:r>
      <w:r w:rsidR="00D90118" w:rsidRPr="00617D53">
        <w:t xml:space="preserve">δεν </w:t>
      </w:r>
      <w:r>
        <w:t>είχε</w:t>
      </w:r>
      <w:r w:rsidR="00D90118" w:rsidRPr="00617D53">
        <w:t xml:space="preserve"> περιληφθεί σε Πρόσκληση ΕΠΑνΕΚ στο πλαίσιο του Θ.Σ 1.</w:t>
      </w:r>
    </w:p>
    <w:p w:rsidR="00D90118" w:rsidRDefault="00D90118" w:rsidP="001B2DD1">
      <w:pPr>
        <w:pStyle w:val="ListParagraph"/>
        <w:numPr>
          <w:ilvl w:val="0"/>
          <w:numId w:val="19"/>
        </w:numPr>
      </w:pPr>
      <w:r w:rsidRPr="00617D53">
        <w:t xml:space="preserve">Η τιμή στόχος του δείκτη </w:t>
      </w:r>
      <w:r w:rsidRPr="00602235">
        <w:rPr>
          <w:b/>
          <w:lang w:val="en-US"/>
        </w:rPr>
        <w:t>CO</w:t>
      </w:r>
      <w:r w:rsidRPr="00602235">
        <w:rPr>
          <w:b/>
        </w:rPr>
        <w:t xml:space="preserve">24 </w:t>
      </w:r>
      <w:r>
        <w:t xml:space="preserve">παρουσιάζει κάλυψη της τάξης του </w:t>
      </w:r>
      <w:r w:rsidR="00977C09">
        <w:t>28</w:t>
      </w:r>
      <w:r>
        <w:t xml:space="preserve">%, ενώ στη κατηγορία των </w:t>
      </w:r>
      <w:r w:rsidR="00FA2E5D">
        <w:t>π</w:t>
      </w:r>
      <w:r>
        <w:t xml:space="preserve">ερισσότερο </w:t>
      </w:r>
      <w:r w:rsidR="00FA2E5D">
        <w:t>α</w:t>
      </w:r>
      <w:r>
        <w:t xml:space="preserve">ναπτυγμένων Περιφερειών η κάλυψη φτάνει σχεδόν το </w:t>
      </w:r>
      <w:r w:rsidR="00977C09">
        <w:t>42</w:t>
      </w:r>
      <w:r>
        <w:t>%.</w:t>
      </w:r>
      <w:r w:rsidRPr="00602235">
        <w:t xml:space="preserve"> </w:t>
      </w:r>
    </w:p>
    <w:p w:rsidR="00D90118" w:rsidRDefault="00D90118" w:rsidP="001B2DD1">
      <w:pPr>
        <w:pStyle w:val="ListParagraph"/>
        <w:numPr>
          <w:ilvl w:val="0"/>
          <w:numId w:val="19"/>
        </w:numPr>
      </w:pPr>
      <w:r w:rsidRPr="00617D53">
        <w:t xml:space="preserve">Η τιμή στόχος του δείκτη </w:t>
      </w:r>
      <w:r w:rsidRPr="00370AF1">
        <w:rPr>
          <w:b/>
          <w:lang w:val="en-US"/>
        </w:rPr>
        <w:t>CO</w:t>
      </w:r>
      <w:r>
        <w:rPr>
          <w:b/>
        </w:rPr>
        <w:t xml:space="preserve">25 </w:t>
      </w:r>
      <w:r>
        <w:t xml:space="preserve">παρουσιάζει </w:t>
      </w:r>
      <w:r w:rsidR="00977C09">
        <w:t xml:space="preserve">ήδη </w:t>
      </w:r>
      <w:r>
        <w:t xml:space="preserve">κάλυψη της τάξης του </w:t>
      </w:r>
      <w:r w:rsidR="00977C09">
        <w:t>125</w:t>
      </w:r>
      <w:r>
        <w:t>%</w:t>
      </w:r>
      <w:r w:rsidR="00696C7A">
        <w:t xml:space="preserve"> (έχει υπερκαλυφθεί ο σχετικός ποσοτικός στόχος του Προγράμματος)</w:t>
      </w:r>
      <w:r>
        <w:t xml:space="preserve">, ενώ στη κατηγορία των </w:t>
      </w:r>
      <w:r w:rsidR="00FA2E5D">
        <w:t>π</w:t>
      </w:r>
      <w:r>
        <w:t xml:space="preserve">ερισσότερο </w:t>
      </w:r>
      <w:r w:rsidR="00FA2E5D">
        <w:t>α</w:t>
      </w:r>
      <w:r>
        <w:t>ναπτυγμένων Περιφερειών</w:t>
      </w:r>
      <w:r w:rsidR="00D82C62">
        <w:t xml:space="preserve"> </w:t>
      </w:r>
      <w:r>
        <w:t>η κάλυψη φτάνει το 1</w:t>
      </w:r>
      <w:r w:rsidR="00977C09">
        <w:t>50</w:t>
      </w:r>
      <w:r>
        <w:t>%.</w:t>
      </w:r>
    </w:p>
    <w:p w:rsidR="00D90118" w:rsidRDefault="00D90118" w:rsidP="001B2DD1">
      <w:pPr>
        <w:pStyle w:val="ListParagraph"/>
        <w:numPr>
          <w:ilvl w:val="0"/>
          <w:numId w:val="19"/>
        </w:numPr>
      </w:pPr>
      <w:r w:rsidRPr="00617D53">
        <w:t xml:space="preserve">Η τιμή στόχος του δείκτη </w:t>
      </w:r>
      <w:r w:rsidRPr="00370AF1">
        <w:rPr>
          <w:b/>
          <w:lang w:val="en-US"/>
        </w:rPr>
        <w:t>CO</w:t>
      </w:r>
      <w:r>
        <w:rPr>
          <w:b/>
        </w:rPr>
        <w:t xml:space="preserve">26 </w:t>
      </w:r>
      <w:r>
        <w:t>παρουσιάζει κάλυψη της τάξης</w:t>
      </w:r>
      <w:r w:rsidR="00977C09">
        <w:t xml:space="preserve"> μόλις του 2</w:t>
      </w:r>
      <w:r>
        <w:t xml:space="preserve">%, ενώ στη κατηγορία των Περιφερειών </w:t>
      </w:r>
      <w:r w:rsidR="00FA2E5D">
        <w:t>σε μ</w:t>
      </w:r>
      <w:r w:rsidR="00977C09">
        <w:t>ετάβαση</w:t>
      </w:r>
      <w:r w:rsidR="00FA2E5D">
        <w:t>,</w:t>
      </w:r>
      <w:r w:rsidR="00977C09">
        <w:t xml:space="preserve"> η κάλυψη φτάνει το 2</w:t>
      </w:r>
      <w:r>
        <w:t>%.</w:t>
      </w:r>
    </w:p>
    <w:p w:rsidR="00D90118" w:rsidRDefault="00977C09" w:rsidP="001B2DD1">
      <w:pPr>
        <w:pStyle w:val="ListParagraph"/>
        <w:numPr>
          <w:ilvl w:val="0"/>
          <w:numId w:val="19"/>
        </w:numPr>
      </w:pPr>
      <w:r w:rsidRPr="00977C09">
        <w:t>Στην περίοδο αναφοράς</w:t>
      </w:r>
      <w:r>
        <w:t>, ο</w:t>
      </w:r>
      <w:r w:rsidRPr="00977C09">
        <w:t xml:space="preserve"> </w:t>
      </w:r>
      <w:r w:rsidR="00D90118">
        <w:t xml:space="preserve">δείκτης </w:t>
      </w:r>
      <w:r w:rsidR="00D90118" w:rsidRPr="00617D53">
        <w:rPr>
          <w:b/>
        </w:rPr>
        <w:t>CO</w:t>
      </w:r>
      <w:r w:rsidR="00D90118">
        <w:rPr>
          <w:b/>
        </w:rPr>
        <w:t>2</w:t>
      </w:r>
      <w:r w:rsidR="00D90118" w:rsidRPr="00617D53">
        <w:rPr>
          <w:b/>
        </w:rPr>
        <w:t xml:space="preserve">7 </w:t>
      </w:r>
      <w:r w:rsidR="00D90118" w:rsidRPr="00617D53">
        <w:t xml:space="preserve">δεν </w:t>
      </w:r>
      <w:r>
        <w:t>είχε</w:t>
      </w:r>
      <w:r w:rsidR="00D90118" w:rsidRPr="00617D53">
        <w:t xml:space="preserve"> περιληφθεί σε Πρόσκληση ΕΠΑνΕΚ στο πλαίσιο του Θ.Σ 1.</w:t>
      </w:r>
    </w:p>
    <w:p w:rsidR="00D90118" w:rsidRDefault="00977C09" w:rsidP="001B2DD1">
      <w:pPr>
        <w:pStyle w:val="ListParagraph"/>
        <w:numPr>
          <w:ilvl w:val="0"/>
          <w:numId w:val="19"/>
        </w:numPr>
      </w:pPr>
      <w:r>
        <w:t>Ο</w:t>
      </w:r>
      <w:r w:rsidR="00D90118">
        <w:t xml:space="preserve"> δείκτης </w:t>
      </w:r>
      <w:r w:rsidR="00D90118" w:rsidRPr="000D714E">
        <w:rPr>
          <w:b/>
        </w:rPr>
        <w:t>Τ4204</w:t>
      </w:r>
      <w:r w:rsidR="00D90118">
        <w:t xml:space="preserve"> παρουσιάζει τιμή σε επίπεδο εντάξεων έργων που καλύπτει το </w:t>
      </w:r>
      <w:r w:rsidR="00696C7A">
        <w:t>11</w:t>
      </w:r>
      <w:r w:rsidR="00D90118">
        <w:t xml:space="preserve">% της τιμής του ίδιου δείκτη σε επίπεδο Προγράμματος.  </w:t>
      </w:r>
    </w:p>
    <w:p w:rsidR="00D90118" w:rsidRPr="00B321AF" w:rsidRDefault="00D90118" w:rsidP="001B2DD1">
      <w:pPr>
        <w:pStyle w:val="ListParagraph"/>
        <w:numPr>
          <w:ilvl w:val="0"/>
          <w:numId w:val="19"/>
        </w:numPr>
      </w:pPr>
      <w:r>
        <w:t>Τέλος, η</w:t>
      </w:r>
      <w:r w:rsidRPr="00B321AF">
        <w:t xml:space="preserve"> τιμή στόχος του δείκτη </w:t>
      </w:r>
      <w:r>
        <w:t xml:space="preserve">Τ4225/ </w:t>
      </w:r>
      <w:r>
        <w:rPr>
          <w:lang w:val="en-US"/>
        </w:rPr>
        <w:t>SO</w:t>
      </w:r>
      <w:r w:rsidRPr="00B321AF">
        <w:t xml:space="preserve">033 παρουσιάζει κάλυψη της τάξης του </w:t>
      </w:r>
      <w:r w:rsidR="00696C7A">
        <w:t>71</w:t>
      </w:r>
      <w:r w:rsidRPr="00B321AF">
        <w:t xml:space="preserve">%, ενώ στη κατηγορία των </w:t>
      </w:r>
      <w:r w:rsidR="00FA2E5D">
        <w:t>π</w:t>
      </w:r>
      <w:r w:rsidRPr="00B321AF">
        <w:t xml:space="preserve">ερισσότερο </w:t>
      </w:r>
      <w:r w:rsidR="00FA2E5D">
        <w:t>α</w:t>
      </w:r>
      <w:r w:rsidRPr="00B321AF">
        <w:t xml:space="preserve">ναπτυγμένων Περιφερειών η κάλυψη φτάνει το </w:t>
      </w:r>
      <w:r w:rsidR="00696C7A">
        <w:t>84%, δηλαδή πολύ κοντά στην εκπλήρωση του ποσοτικού στόχου του δείκτη σε επίπεδο Προγράμματος.</w:t>
      </w:r>
    </w:p>
    <w:p w:rsidR="00D90118" w:rsidRDefault="00D90118" w:rsidP="00D90118">
      <w:pPr>
        <w:pStyle w:val="Heading1"/>
      </w:pPr>
      <w:bookmarkStart w:id="72" w:name="_Toc6503382"/>
      <w:bookmarkStart w:id="73" w:name="_Toc22645131"/>
      <w:r>
        <w:t>Δείκτες αποτελέσματος Στρατηγικής</w:t>
      </w:r>
      <w:bookmarkEnd w:id="72"/>
      <w:bookmarkEnd w:id="73"/>
    </w:p>
    <w:p w:rsidR="00D90118" w:rsidRPr="002C47EF" w:rsidRDefault="00D90118" w:rsidP="00D90118">
      <w:r>
        <w:t>Η πρόοδος των τιμών επίτευξης των δεικτών αποτελέσματος της Στρατηγικής εμφανίζεται στον ακόλουθο πίνακα</w:t>
      </w:r>
      <w:r w:rsidR="00FA2E5D">
        <w:t>.</w:t>
      </w:r>
    </w:p>
    <w:p w:rsidR="00D90118" w:rsidRPr="005B3D3A" w:rsidRDefault="00804D5C" w:rsidP="00804D5C">
      <w:pPr>
        <w:pStyle w:val="Caption"/>
        <w:rPr>
          <w:szCs w:val="16"/>
        </w:rPr>
      </w:pPr>
      <w:r>
        <w:t xml:space="preserve">Πίνακας </w:t>
      </w:r>
      <w:r w:rsidR="00F864D4">
        <w:rPr>
          <w:noProof/>
        </w:rPr>
        <w:t>6</w:t>
      </w:r>
      <w:r w:rsidR="009C23C4">
        <w:noBreakHyphen/>
      </w:r>
      <w:r w:rsidR="00F864D4">
        <w:rPr>
          <w:noProof/>
        </w:rPr>
        <w:t>6</w:t>
      </w:r>
      <w:r>
        <w:t xml:space="preserve"> </w:t>
      </w:r>
      <w:r w:rsidR="005B3D3A" w:rsidRPr="005B3D3A">
        <w:rPr>
          <w:szCs w:val="16"/>
        </w:rPr>
        <w:t>:</w:t>
      </w:r>
      <w:r>
        <w:rPr>
          <w:szCs w:val="16"/>
        </w:rPr>
        <w:t xml:space="preserve"> </w:t>
      </w:r>
      <w:r w:rsidR="00D90118" w:rsidRPr="005B3D3A">
        <w:rPr>
          <w:szCs w:val="16"/>
        </w:rPr>
        <w:t xml:space="preserve">Πρόοδος τιμών δεικτών αποτελέσματος </w:t>
      </w:r>
      <w:r w:rsidR="00D90118" w:rsidRPr="005B3D3A">
        <w:rPr>
          <w:szCs w:val="16"/>
          <w:lang w:val="en-US"/>
        </w:rPr>
        <w:t>RIS</w:t>
      </w:r>
      <w:r w:rsidR="00D90118" w:rsidRPr="005B3D3A">
        <w:rPr>
          <w:szCs w:val="16"/>
        </w:rPr>
        <w:t>3 2014-201</w:t>
      </w:r>
      <w:r w:rsidR="00FA2E5D">
        <w:rPr>
          <w:szCs w:val="16"/>
        </w:rPr>
        <w:t>7</w:t>
      </w:r>
    </w:p>
    <w:tbl>
      <w:tblPr>
        <w:tblStyle w:val="TableGrid"/>
        <w:tblW w:w="8820"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779"/>
        <w:gridCol w:w="1397"/>
        <w:gridCol w:w="1161"/>
        <w:gridCol w:w="1161"/>
        <w:gridCol w:w="1161"/>
        <w:gridCol w:w="1161"/>
      </w:tblGrid>
      <w:tr w:rsidR="00EF277A" w:rsidRPr="006F6E22" w:rsidTr="00EF277A">
        <w:trPr>
          <w:tblHeader/>
          <w:jc w:val="center"/>
        </w:trPr>
        <w:tc>
          <w:tcPr>
            <w:tcW w:w="2779" w:type="dxa"/>
            <w:shd w:val="clear" w:color="auto" w:fill="800000"/>
            <w:vAlign w:val="center"/>
            <w:hideMark/>
          </w:tcPr>
          <w:p w:rsidR="00EF277A" w:rsidRPr="006F6E22" w:rsidRDefault="00EF277A" w:rsidP="005476F0">
            <w:pPr>
              <w:spacing w:before="100" w:beforeAutospacing="1" w:after="100" w:afterAutospacing="1" w:line="240" w:lineRule="auto"/>
              <w:jc w:val="center"/>
              <w:rPr>
                <w:rFonts w:eastAsiaTheme="minorHAnsi"/>
                <w:color w:val="FFFFFF" w:themeColor="background1"/>
                <w:sz w:val="16"/>
                <w:szCs w:val="16"/>
              </w:rPr>
            </w:pPr>
            <w:r w:rsidRPr="006F6E22">
              <w:rPr>
                <w:b/>
                <w:bCs/>
                <w:color w:val="FFFFFF" w:themeColor="background1"/>
                <w:sz w:val="16"/>
                <w:szCs w:val="16"/>
              </w:rPr>
              <w:t>Ονομασία δείκτη</w:t>
            </w:r>
          </w:p>
        </w:tc>
        <w:tc>
          <w:tcPr>
            <w:tcW w:w="1397" w:type="dxa"/>
            <w:shd w:val="clear" w:color="auto" w:fill="800000"/>
            <w:vAlign w:val="center"/>
            <w:hideMark/>
          </w:tcPr>
          <w:p w:rsidR="00EF277A" w:rsidRPr="006F6E22" w:rsidRDefault="00EF277A" w:rsidP="00D21C6A">
            <w:pPr>
              <w:spacing w:before="100" w:beforeAutospacing="1" w:after="100" w:afterAutospacing="1" w:line="240" w:lineRule="auto"/>
              <w:jc w:val="center"/>
              <w:rPr>
                <w:color w:val="FFFFFF" w:themeColor="background1"/>
                <w:sz w:val="16"/>
                <w:szCs w:val="16"/>
              </w:rPr>
            </w:pPr>
            <w:r w:rsidRPr="006F6E22">
              <w:rPr>
                <w:b/>
                <w:bCs/>
                <w:color w:val="FFFFFF" w:themeColor="background1"/>
                <w:sz w:val="16"/>
                <w:szCs w:val="16"/>
              </w:rPr>
              <w:t>Μονάδα μέτρησης δείκτη</w:t>
            </w:r>
          </w:p>
        </w:tc>
        <w:tc>
          <w:tcPr>
            <w:tcW w:w="1161" w:type="dxa"/>
            <w:shd w:val="clear" w:color="auto" w:fill="800000"/>
            <w:vAlign w:val="center"/>
            <w:hideMark/>
          </w:tcPr>
          <w:p w:rsidR="00EF277A" w:rsidRPr="006F6E22" w:rsidRDefault="00EF277A" w:rsidP="00D21C6A">
            <w:pPr>
              <w:spacing w:before="100" w:beforeAutospacing="1" w:after="100" w:afterAutospacing="1" w:line="240" w:lineRule="auto"/>
              <w:jc w:val="center"/>
              <w:rPr>
                <w:color w:val="FFFFFF" w:themeColor="background1"/>
                <w:sz w:val="16"/>
                <w:szCs w:val="16"/>
              </w:rPr>
            </w:pPr>
            <w:r w:rsidRPr="006F6E22">
              <w:rPr>
                <w:b/>
                <w:bCs/>
                <w:color w:val="FFFFFF" w:themeColor="background1"/>
                <w:sz w:val="16"/>
                <w:szCs w:val="16"/>
              </w:rPr>
              <w:t>2014</w:t>
            </w:r>
          </w:p>
        </w:tc>
        <w:tc>
          <w:tcPr>
            <w:tcW w:w="1161" w:type="dxa"/>
            <w:shd w:val="clear" w:color="auto" w:fill="800000"/>
            <w:vAlign w:val="center"/>
            <w:hideMark/>
          </w:tcPr>
          <w:p w:rsidR="00EF277A" w:rsidRPr="006F6E22" w:rsidRDefault="00EF277A" w:rsidP="00D21C6A">
            <w:pPr>
              <w:spacing w:before="100" w:beforeAutospacing="1" w:after="100" w:afterAutospacing="1" w:line="240" w:lineRule="auto"/>
              <w:jc w:val="center"/>
              <w:rPr>
                <w:color w:val="FFFFFF" w:themeColor="background1"/>
                <w:sz w:val="16"/>
                <w:szCs w:val="16"/>
              </w:rPr>
            </w:pPr>
            <w:r w:rsidRPr="006F6E22">
              <w:rPr>
                <w:b/>
                <w:bCs/>
                <w:color w:val="FFFFFF" w:themeColor="background1"/>
                <w:sz w:val="16"/>
                <w:szCs w:val="16"/>
              </w:rPr>
              <w:t>2015</w:t>
            </w:r>
          </w:p>
        </w:tc>
        <w:tc>
          <w:tcPr>
            <w:tcW w:w="1161" w:type="dxa"/>
            <w:shd w:val="clear" w:color="auto" w:fill="800000"/>
            <w:vAlign w:val="center"/>
            <w:hideMark/>
          </w:tcPr>
          <w:p w:rsidR="00EF277A" w:rsidRPr="006F6E22" w:rsidRDefault="00EF277A" w:rsidP="00D21C6A">
            <w:pPr>
              <w:spacing w:before="100" w:beforeAutospacing="1" w:after="100" w:afterAutospacing="1" w:line="240" w:lineRule="auto"/>
              <w:jc w:val="center"/>
              <w:rPr>
                <w:color w:val="FFFFFF" w:themeColor="background1"/>
                <w:sz w:val="16"/>
                <w:szCs w:val="16"/>
              </w:rPr>
            </w:pPr>
            <w:r w:rsidRPr="006F6E22">
              <w:rPr>
                <w:b/>
                <w:bCs/>
                <w:color w:val="FFFFFF" w:themeColor="background1"/>
                <w:sz w:val="16"/>
                <w:szCs w:val="16"/>
              </w:rPr>
              <w:t>2016</w:t>
            </w:r>
          </w:p>
        </w:tc>
        <w:tc>
          <w:tcPr>
            <w:tcW w:w="1161" w:type="dxa"/>
            <w:shd w:val="clear" w:color="auto" w:fill="800000"/>
            <w:vAlign w:val="center"/>
            <w:hideMark/>
          </w:tcPr>
          <w:p w:rsidR="00EF277A" w:rsidRPr="006F6E22" w:rsidRDefault="00EF277A" w:rsidP="00D21C6A">
            <w:pPr>
              <w:spacing w:before="100" w:beforeAutospacing="1" w:after="100" w:afterAutospacing="1" w:line="240" w:lineRule="auto"/>
              <w:jc w:val="center"/>
              <w:rPr>
                <w:color w:val="FFFFFF" w:themeColor="background1"/>
                <w:sz w:val="16"/>
                <w:szCs w:val="16"/>
              </w:rPr>
            </w:pPr>
            <w:r w:rsidRPr="006F6E22">
              <w:rPr>
                <w:b/>
                <w:bCs/>
                <w:color w:val="FFFFFF" w:themeColor="background1"/>
                <w:sz w:val="16"/>
                <w:szCs w:val="16"/>
              </w:rPr>
              <w:t>2017</w:t>
            </w:r>
          </w:p>
        </w:tc>
      </w:tr>
      <w:tr w:rsidR="00EF277A" w:rsidRPr="007F5988" w:rsidTr="00EF277A">
        <w:trPr>
          <w:trHeight w:val="1366"/>
          <w:jc w:val="center"/>
        </w:trPr>
        <w:tc>
          <w:tcPr>
            <w:tcW w:w="2779" w:type="dxa"/>
            <w:vAlign w:val="center"/>
            <w:hideMark/>
          </w:tcPr>
          <w:p w:rsidR="00EF277A" w:rsidRPr="006F6E22" w:rsidRDefault="00EF277A" w:rsidP="00D21C6A">
            <w:pPr>
              <w:spacing w:before="100" w:beforeAutospacing="1" w:after="100" w:afterAutospacing="1" w:line="240" w:lineRule="auto"/>
              <w:rPr>
                <w:rFonts w:eastAsia="Times New Roman"/>
                <w:sz w:val="16"/>
                <w:szCs w:val="16"/>
              </w:rPr>
            </w:pPr>
            <w:r w:rsidRPr="006F6E22">
              <w:rPr>
                <w:rFonts w:eastAsia="Times New Roman"/>
                <w:sz w:val="16"/>
                <w:szCs w:val="16"/>
              </w:rPr>
              <w:t>Δαπάνες για καινοτομικές δραστηριότητες των επιχειρήσεων με καινοτομία προϊόντος ή/και διαδικασία (ως ποσοστό του ΑΕΠ) (</w:t>
            </w:r>
            <w:r>
              <w:rPr>
                <w:rFonts w:eastAsia="Times New Roman"/>
                <w:sz w:val="16"/>
                <w:szCs w:val="16"/>
              </w:rPr>
              <w:t>1</w:t>
            </w:r>
            <w:r w:rsidRPr="006F6E22">
              <w:rPr>
                <w:rFonts w:eastAsia="Times New Roman"/>
                <w:sz w:val="16"/>
                <w:szCs w:val="16"/>
              </w:rPr>
              <w:t xml:space="preserve">) </w:t>
            </w:r>
          </w:p>
        </w:tc>
        <w:tc>
          <w:tcPr>
            <w:tcW w:w="1397"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sz w:val="16"/>
                <w:szCs w:val="16"/>
              </w:rPr>
              <w:t>Ποσοστό</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lang w:val="en-US"/>
              </w:rPr>
            </w:pPr>
            <w:r w:rsidRPr="006F6E22">
              <w:rPr>
                <w:rFonts w:eastAsia="Times New Roman"/>
                <w:b/>
                <w:bCs/>
                <w:sz w:val="16"/>
                <w:szCs w:val="16"/>
                <w:lang w:val="en-US"/>
              </w:rPr>
              <w:t>0,90%</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1</w:t>
            </w:r>
            <w:r w:rsidRPr="006F6E22">
              <w:rPr>
                <w:rFonts w:eastAsia="Times New Roman"/>
                <w:b/>
                <w:bCs/>
                <w:sz w:val="16"/>
                <w:szCs w:val="16"/>
                <w:lang w:val="en-US"/>
              </w:rPr>
              <w:t>,18</w:t>
            </w:r>
            <w:r w:rsidRPr="006F6E22">
              <w:rPr>
                <w:rFonts w:eastAsia="Times New Roman"/>
                <w:b/>
                <w:bCs/>
                <w:sz w:val="16"/>
                <w:szCs w:val="16"/>
              </w:rPr>
              <w:t>%</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w:t>
            </w:r>
          </w:p>
        </w:tc>
      </w:tr>
      <w:tr w:rsidR="00EF277A" w:rsidRPr="007F5988" w:rsidTr="00EF277A">
        <w:trPr>
          <w:trHeight w:val="240"/>
          <w:jc w:val="center"/>
        </w:trPr>
        <w:tc>
          <w:tcPr>
            <w:tcW w:w="2779" w:type="dxa"/>
            <w:vAlign w:val="center"/>
            <w:hideMark/>
          </w:tcPr>
          <w:p w:rsidR="00EF277A" w:rsidRPr="006F6E22" w:rsidRDefault="00EF277A" w:rsidP="00D21C6A">
            <w:pPr>
              <w:spacing w:before="100" w:beforeAutospacing="1" w:after="100" w:afterAutospacing="1" w:line="240" w:lineRule="auto"/>
              <w:rPr>
                <w:rFonts w:eastAsia="Times New Roman"/>
                <w:sz w:val="16"/>
                <w:szCs w:val="16"/>
              </w:rPr>
            </w:pPr>
            <w:r w:rsidRPr="005B3D3A">
              <w:rPr>
                <w:rFonts w:eastAsia="Times New Roman"/>
                <w:sz w:val="16"/>
                <w:szCs w:val="16"/>
              </w:rPr>
              <w:t>Ένταση Δαπανών Έρευνας &amp; Ανάπτυξης</w:t>
            </w:r>
          </w:p>
        </w:tc>
        <w:tc>
          <w:tcPr>
            <w:tcW w:w="1397"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sz w:val="16"/>
                <w:szCs w:val="16"/>
              </w:rPr>
              <w:t>Ποσοστό</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b/>
                <w:bCs/>
                <w:sz w:val="16"/>
                <w:szCs w:val="16"/>
              </w:rPr>
              <w:t>0,83%</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b/>
                <w:bCs/>
                <w:sz w:val="16"/>
                <w:szCs w:val="16"/>
              </w:rPr>
              <w:t>0,97%</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b/>
                <w:bCs/>
                <w:sz w:val="16"/>
                <w:szCs w:val="16"/>
              </w:rPr>
              <w:t>1,01%</w:t>
            </w:r>
          </w:p>
        </w:tc>
        <w:tc>
          <w:tcPr>
            <w:tcW w:w="1161" w:type="dxa"/>
            <w:vAlign w:val="center"/>
          </w:tcPr>
          <w:p w:rsidR="00EF277A" w:rsidRPr="006F6E22" w:rsidRDefault="00EF277A" w:rsidP="00344CF9">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1,13%</w:t>
            </w:r>
            <w:r>
              <w:rPr>
                <w:rFonts w:eastAsia="Times New Roman"/>
                <w:b/>
                <w:bCs/>
                <w:sz w:val="16"/>
                <w:szCs w:val="16"/>
              </w:rPr>
              <w:t xml:space="preserve"> </w:t>
            </w:r>
            <w:r w:rsidRPr="006F6E22">
              <w:rPr>
                <w:rFonts w:eastAsia="Times New Roman"/>
                <w:sz w:val="16"/>
                <w:szCs w:val="16"/>
              </w:rPr>
              <w:t>(</w:t>
            </w:r>
            <w:r>
              <w:rPr>
                <w:rFonts w:eastAsia="Times New Roman"/>
                <w:sz w:val="16"/>
                <w:szCs w:val="16"/>
              </w:rPr>
              <w:t>2</w:t>
            </w:r>
            <w:r w:rsidRPr="006F6E22">
              <w:rPr>
                <w:rFonts w:eastAsia="Times New Roman"/>
                <w:sz w:val="16"/>
                <w:szCs w:val="16"/>
              </w:rPr>
              <w:t>)</w:t>
            </w:r>
          </w:p>
        </w:tc>
      </w:tr>
      <w:tr w:rsidR="00EF277A" w:rsidRPr="007F5988" w:rsidTr="00EF277A">
        <w:trPr>
          <w:trHeight w:val="240"/>
          <w:jc w:val="center"/>
        </w:trPr>
        <w:tc>
          <w:tcPr>
            <w:tcW w:w="2779" w:type="dxa"/>
            <w:vAlign w:val="center"/>
            <w:hideMark/>
          </w:tcPr>
          <w:p w:rsidR="00EF277A" w:rsidRPr="006F6E22" w:rsidRDefault="00EF277A" w:rsidP="00D21C6A">
            <w:pPr>
              <w:spacing w:before="100" w:beforeAutospacing="1" w:after="100" w:afterAutospacing="1" w:line="240" w:lineRule="auto"/>
              <w:rPr>
                <w:rFonts w:eastAsia="Times New Roman"/>
                <w:sz w:val="16"/>
                <w:szCs w:val="16"/>
              </w:rPr>
            </w:pPr>
            <w:r w:rsidRPr="006F6E22">
              <w:rPr>
                <w:rFonts w:eastAsia="Times New Roman"/>
                <w:sz w:val="16"/>
                <w:szCs w:val="16"/>
              </w:rPr>
              <w:t>Επιστημονικές δ</w:t>
            </w:r>
            <w:r>
              <w:rPr>
                <w:rFonts w:eastAsia="Times New Roman"/>
                <w:sz w:val="16"/>
                <w:szCs w:val="16"/>
              </w:rPr>
              <w:t>ημοσιεύσεις σε διεθνή περιοδικά</w:t>
            </w:r>
          </w:p>
        </w:tc>
        <w:tc>
          <w:tcPr>
            <w:tcW w:w="1397" w:type="dxa"/>
            <w:vAlign w:val="center"/>
            <w:hideMark/>
          </w:tcPr>
          <w:p w:rsidR="00EF277A" w:rsidRPr="006F6E22" w:rsidRDefault="00EF277A" w:rsidP="00D21C6A">
            <w:pPr>
              <w:spacing w:before="100" w:beforeAutospacing="1" w:after="100" w:afterAutospacing="1" w:line="240" w:lineRule="auto"/>
              <w:jc w:val="center"/>
              <w:rPr>
                <w:rFonts w:eastAsia="Times New Roman"/>
                <w:sz w:val="16"/>
                <w:szCs w:val="16"/>
              </w:rPr>
            </w:pPr>
            <w:r w:rsidRPr="006F6E22">
              <w:rPr>
                <w:rFonts w:eastAsia="Times New Roman"/>
                <w:sz w:val="16"/>
                <w:szCs w:val="16"/>
              </w:rPr>
              <w:t>Δημοσιεύσεις</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10.897</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10.814</w:t>
            </w:r>
          </w:p>
        </w:tc>
        <w:tc>
          <w:tcPr>
            <w:tcW w:w="1161" w:type="dxa"/>
            <w:vAlign w:val="center"/>
            <w:hideMark/>
          </w:tcPr>
          <w:p w:rsidR="00EF277A" w:rsidRPr="006F6E22" w:rsidRDefault="00EF277A" w:rsidP="00D21C6A">
            <w:pPr>
              <w:spacing w:before="100" w:beforeAutospacing="1" w:after="100" w:afterAutospacing="1" w:line="240" w:lineRule="auto"/>
              <w:jc w:val="center"/>
              <w:rPr>
                <w:rFonts w:eastAsia="Times New Roman"/>
                <w:b/>
                <w:bCs/>
                <w:sz w:val="16"/>
                <w:szCs w:val="16"/>
              </w:rPr>
            </w:pPr>
            <w:r w:rsidRPr="006F6E22">
              <w:rPr>
                <w:rFonts w:eastAsia="Times New Roman"/>
                <w:b/>
                <w:bCs/>
                <w:sz w:val="16"/>
                <w:szCs w:val="16"/>
              </w:rPr>
              <w:t>10.989</w:t>
            </w:r>
          </w:p>
        </w:tc>
        <w:tc>
          <w:tcPr>
            <w:tcW w:w="1161" w:type="dxa"/>
            <w:vAlign w:val="center"/>
            <w:hideMark/>
          </w:tcPr>
          <w:p w:rsidR="00EF277A" w:rsidRPr="006F6E22" w:rsidRDefault="00EF277A" w:rsidP="00344CF9">
            <w:pPr>
              <w:spacing w:before="100" w:beforeAutospacing="1" w:after="100" w:afterAutospacing="1" w:line="240" w:lineRule="auto"/>
              <w:jc w:val="center"/>
              <w:rPr>
                <w:rFonts w:eastAsia="Times New Roman"/>
                <w:bCs/>
                <w:sz w:val="16"/>
                <w:szCs w:val="16"/>
              </w:rPr>
            </w:pPr>
            <w:r>
              <w:rPr>
                <w:rFonts w:eastAsia="Times New Roman"/>
                <w:bCs/>
                <w:sz w:val="16"/>
                <w:szCs w:val="16"/>
              </w:rPr>
              <w:t>(3)</w:t>
            </w:r>
          </w:p>
        </w:tc>
      </w:tr>
      <w:tr w:rsidR="00EF277A" w:rsidRPr="007F5988" w:rsidTr="00EF277A">
        <w:trPr>
          <w:trHeight w:val="240"/>
          <w:jc w:val="center"/>
        </w:trPr>
        <w:tc>
          <w:tcPr>
            <w:tcW w:w="2779" w:type="dxa"/>
            <w:vAlign w:val="center"/>
          </w:tcPr>
          <w:p w:rsidR="00EF277A" w:rsidRPr="002B37CC" w:rsidRDefault="00EF277A" w:rsidP="00EF277A">
            <w:pPr>
              <w:spacing w:before="100" w:beforeAutospacing="1" w:after="100" w:afterAutospacing="1" w:line="240" w:lineRule="auto"/>
              <w:rPr>
                <w:rFonts w:eastAsia="Times New Roman"/>
                <w:sz w:val="16"/>
                <w:szCs w:val="16"/>
              </w:rPr>
            </w:pPr>
            <w:r w:rsidRPr="002B37CC">
              <w:rPr>
                <w:rFonts w:eastAsia="Times New Roman"/>
                <w:sz w:val="16"/>
                <w:szCs w:val="16"/>
              </w:rPr>
              <w:t>Ακαθάριστη Προστιθέμενη Αξία (ΑΠΑ) σε κλάδους υψηλής προστιθέμενης αξίας (</w:t>
            </w:r>
            <w:r>
              <w:rPr>
                <w:rFonts w:eastAsia="Times New Roman"/>
                <w:sz w:val="16"/>
                <w:szCs w:val="16"/>
              </w:rPr>
              <w:t>4</w:t>
            </w:r>
            <w:r w:rsidRPr="002B37CC">
              <w:rPr>
                <w:rFonts w:eastAsia="Times New Roman"/>
                <w:sz w:val="16"/>
                <w:szCs w:val="16"/>
              </w:rPr>
              <w:t>)</w:t>
            </w:r>
          </w:p>
        </w:tc>
        <w:tc>
          <w:tcPr>
            <w:tcW w:w="1397" w:type="dxa"/>
            <w:vAlign w:val="center"/>
          </w:tcPr>
          <w:p w:rsidR="00EF277A" w:rsidRPr="002B37CC" w:rsidRDefault="00EF277A" w:rsidP="00D21C6A">
            <w:pPr>
              <w:spacing w:before="100" w:beforeAutospacing="1" w:after="100" w:afterAutospacing="1" w:line="240" w:lineRule="auto"/>
              <w:jc w:val="center"/>
              <w:rPr>
                <w:rFonts w:eastAsia="Times New Roman"/>
                <w:sz w:val="16"/>
                <w:szCs w:val="16"/>
              </w:rPr>
            </w:pPr>
            <w:r w:rsidRPr="002B37CC">
              <w:rPr>
                <w:rFonts w:eastAsia="Times New Roman"/>
                <w:sz w:val="16"/>
                <w:szCs w:val="16"/>
              </w:rPr>
              <w:t>εκατ. € - τρέχουσες τιμές</w:t>
            </w:r>
          </w:p>
        </w:tc>
        <w:tc>
          <w:tcPr>
            <w:tcW w:w="1161" w:type="dxa"/>
            <w:vAlign w:val="center"/>
          </w:tcPr>
          <w:p w:rsidR="00EF277A" w:rsidRPr="002B37CC" w:rsidRDefault="00EF277A" w:rsidP="00D21C6A">
            <w:pPr>
              <w:rPr>
                <w:b/>
                <w:sz w:val="16"/>
                <w:szCs w:val="16"/>
              </w:rPr>
            </w:pPr>
            <w:r>
              <w:rPr>
                <w:b/>
                <w:sz w:val="16"/>
                <w:szCs w:val="16"/>
              </w:rPr>
              <w:t xml:space="preserve">128.758 </w:t>
            </w:r>
          </w:p>
        </w:tc>
        <w:tc>
          <w:tcPr>
            <w:tcW w:w="1161" w:type="dxa"/>
            <w:vAlign w:val="center"/>
          </w:tcPr>
          <w:p w:rsidR="00EF277A" w:rsidRPr="002B37CC" w:rsidRDefault="00EF277A" w:rsidP="00D21C6A">
            <w:pPr>
              <w:rPr>
                <w:b/>
                <w:sz w:val="16"/>
                <w:szCs w:val="16"/>
              </w:rPr>
            </w:pPr>
            <w:r w:rsidRPr="002B37CC">
              <w:rPr>
                <w:b/>
                <w:sz w:val="16"/>
                <w:szCs w:val="16"/>
              </w:rPr>
              <w:t>126.605</w:t>
            </w:r>
            <w:r>
              <w:rPr>
                <w:b/>
                <w:sz w:val="16"/>
                <w:szCs w:val="16"/>
              </w:rPr>
              <w:t xml:space="preserve"> </w:t>
            </w:r>
          </w:p>
        </w:tc>
        <w:tc>
          <w:tcPr>
            <w:tcW w:w="1161" w:type="dxa"/>
            <w:vAlign w:val="center"/>
          </w:tcPr>
          <w:p w:rsidR="00EF277A" w:rsidRPr="002B37CC" w:rsidRDefault="00EF277A" w:rsidP="00D21C6A">
            <w:pPr>
              <w:rPr>
                <w:b/>
                <w:sz w:val="16"/>
                <w:szCs w:val="16"/>
              </w:rPr>
            </w:pPr>
            <w:r w:rsidRPr="002B37CC">
              <w:rPr>
                <w:b/>
                <w:sz w:val="16"/>
                <w:szCs w:val="16"/>
              </w:rPr>
              <w:t>123.412</w:t>
            </w:r>
            <w:r>
              <w:rPr>
                <w:b/>
                <w:sz w:val="16"/>
                <w:szCs w:val="16"/>
              </w:rPr>
              <w:t xml:space="preserve"> </w:t>
            </w:r>
          </w:p>
        </w:tc>
        <w:tc>
          <w:tcPr>
            <w:tcW w:w="1161" w:type="dxa"/>
            <w:vAlign w:val="center"/>
          </w:tcPr>
          <w:p w:rsidR="00EF277A" w:rsidRPr="002B37CC" w:rsidRDefault="00EF277A" w:rsidP="00D21C6A">
            <w:pPr>
              <w:rPr>
                <w:b/>
                <w:sz w:val="16"/>
                <w:szCs w:val="16"/>
              </w:rPr>
            </w:pPr>
            <w:r w:rsidRPr="002B37CC">
              <w:rPr>
                <w:b/>
                <w:sz w:val="16"/>
                <w:szCs w:val="16"/>
              </w:rPr>
              <w:t>125.681</w:t>
            </w:r>
          </w:p>
        </w:tc>
      </w:tr>
    </w:tbl>
    <w:p w:rsidR="00D90118" w:rsidRDefault="00D90118" w:rsidP="001B2DD1">
      <w:pPr>
        <w:pStyle w:val="ListParagraph"/>
        <w:numPr>
          <w:ilvl w:val="0"/>
          <w:numId w:val="20"/>
        </w:numPr>
      </w:pPr>
      <w:r>
        <w:rPr>
          <w:lang w:val="en-US"/>
        </w:rPr>
        <w:lastRenderedPageBreak/>
        <w:t>O</w:t>
      </w:r>
      <w:r w:rsidRPr="006F6E22">
        <w:t xml:space="preserve"> </w:t>
      </w:r>
      <w:r>
        <w:t>δείκτη</w:t>
      </w:r>
      <w:r w:rsidR="00344CF9">
        <w:t>ς είναι διαθέσιμος τα ζυγά έτη, Πηγή: Εθνικό Κέντρο Τεκμηρίωσης (ΕΚΤ)</w:t>
      </w:r>
    </w:p>
    <w:p w:rsidR="00D90118" w:rsidRDefault="00D90118" w:rsidP="001B2DD1">
      <w:pPr>
        <w:pStyle w:val="ListParagraph"/>
        <w:numPr>
          <w:ilvl w:val="0"/>
          <w:numId w:val="20"/>
        </w:numPr>
      </w:pPr>
      <w:r>
        <w:t>Προκαταρκτικά στοιχεία</w:t>
      </w:r>
      <w:r w:rsidR="00344CF9">
        <w:t>, Π</w:t>
      </w:r>
      <w:r w:rsidR="00EF277A">
        <w:t>ηγή ΕΚΤ</w:t>
      </w:r>
    </w:p>
    <w:p w:rsidR="00D90118" w:rsidRPr="00EF277A" w:rsidRDefault="00D90118" w:rsidP="001B2DD1">
      <w:pPr>
        <w:pStyle w:val="ListParagraph"/>
        <w:numPr>
          <w:ilvl w:val="0"/>
          <w:numId w:val="20"/>
        </w:numPr>
        <w:rPr>
          <w:rFonts w:eastAsiaTheme="minorHAnsi" w:cstheme="minorBidi"/>
        </w:rPr>
      </w:pPr>
      <w:r w:rsidRPr="006F6E22">
        <w:rPr>
          <w:lang w:eastAsia="el-GR"/>
        </w:rPr>
        <w:t>Προγραμματισμένη ημερομηνία δημοσίευσης 2020</w:t>
      </w:r>
      <w:r>
        <w:rPr>
          <w:lang w:eastAsia="el-GR"/>
        </w:rPr>
        <w:t xml:space="preserve"> – Πηγή ΕΚΤ</w:t>
      </w:r>
    </w:p>
    <w:p w:rsidR="00D90118" w:rsidRPr="00EF277A" w:rsidRDefault="00D90118" w:rsidP="001B2DD1">
      <w:pPr>
        <w:pStyle w:val="ListParagraph"/>
        <w:numPr>
          <w:ilvl w:val="0"/>
          <w:numId w:val="20"/>
        </w:numPr>
        <w:rPr>
          <w:rFonts w:eastAsiaTheme="minorHAnsi" w:cstheme="minorBidi"/>
        </w:rPr>
      </w:pPr>
      <w:r w:rsidRPr="00EF277A">
        <w:rPr>
          <w:lang w:eastAsia="el-GR"/>
        </w:rPr>
        <w:t>Για τον υπολογισμό επιλέχθηκαν οι ακόλουθοι κλάδοι οι οποίοι παρουσίαζαν μέση ετήσια ΑΠΑ για το διάστημα 1995-2017 μεγαλύτερη των 2 δισ. ευρώ. – Πηγή ΕΛΣΤΑΤ</w:t>
      </w:r>
    </w:p>
    <w:p w:rsidR="00D90118" w:rsidRPr="001D5E21" w:rsidRDefault="00D90118" w:rsidP="001B2DD1">
      <w:pPr>
        <w:pStyle w:val="ListParagraph"/>
      </w:pPr>
    </w:p>
    <w:tbl>
      <w:tblPr>
        <w:tblW w:w="7000" w:type="dxa"/>
        <w:jc w:val="center"/>
        <w:tblLook w:val="04A0" w:firstRow="1" w:lastRow="0" w:firstColumn="1" w:lastColumn="0" w:noHBand="0" w:noVBand="1"/>
      </w:tblPr>
      <w:tblGrid>
        <w:gridCol w:w="1160"/>
        <w:gridCol w:w="5840"/>
      </w:tblGrid>
      <w:tr w:rsidR="00D90118" w:rsidRPr="001D5E21" w:rsidTr="005476F0">
        <w:trPr>
          <w:trHeight w:val="419"/>
          <w:jc w:val="center"/>
        </w:trPr>
        <w:tc>
          <w:tcPr>
            <w:tcW w:w="1160" w:type="dxa"/>
            <w:tcBorders>
              <w:top w:val="single" w:sz="4" w:space="0" w:color="auto"/>
              <w:left w:val="nil"/>
              <w:bottom w:val="single" w:sz="4" w:space="0" w:color="auto"/>
              <w:right w:val="single" w:sz="4" w:space="0" w:color="auto"/>
            </w:tcBorders>
            <w:shd w:val="clear" w:color="000000" w:fill="FFFFFF"/>
            <w:vAlign w:val="center"/>
            <w:hideMark/>
          </w:tcPr>
          <w:p w:rsidR="00D90118" w:rsidRPr="001D5E21" w:rsidRDefault="00D90118" w:rsidP="00D21C6A">
            <w:pPr>
              <w:spacing w:before="0" w:line="240" w:lineRule="auto"/>
              <w:jc w:val="center"/>
              <w:rPr>
                <w:rFonts w:eastAsia="Times New Roman"/>
                <w:b/>
                <w:sz w:val="14"/>
                <w:szCs w:val="14"/>
                <w:lang w:eastAsia="el-GR"/>
              </w:rPr>
            </w:pPr>
            <w:r w:rsidRPr="001D5E21">
              <w:rPr>
                <w:rFonts w:eastAsia="Times New Roman"/>
                <w:b/>
                <w:sz w:val="14"/>
                <w:szCs w:val="14"/>
                <w:lang w:eastAsia="el-GR"/>
              </w:rPr>
              <w:t>Κωδ. NACE Rev.2</w:t>
            </w:r>
          </w:p>
        </w:tc>
        <w:tc>
          <w:tcPr>
            <w:tcW w:w="5840" w:type="dxa"/>
            <w:tcBorders>
              <w:top w:val="single" w:sz="4" w:space="0" w:color="auto"/>
              <w:left w:val="nil"/>
              <w:bottom w:val="single" w:sz="4" w:space="0" w:color="auto"/>
              <w:right w:val="nil"/>
            </w:tcBorders>
            <w:shd w:val="clear" w:color="000000" w:fill="FFFFFF"/>
            <w:noWrap/>
            <w:vAlign w:val="center"/>
            <w:hideMark/>
          </w:tcPr>
          <w:p w:rsidR="00D90118" w:rsidRPr="001D5E21" w:rsidRDefault="00D90118" w:rsidP="00D21C6A">
            <w:pPr>
              <w:spacing w:before="0" w:line="240" w:lineRule="auto"/>
              <w:jc w:val="left"/>
              <w:rPr>
                <w:rFonts w:eastAsia="Times New Roman"/>
                <w:b/>
                <w:bCs/>
                <w:sz w:val="14"/>
                <w:szCs w:val="14"/>
                <w:lang w:eastAsia="el-GR"/>
              </w:rPr>
            </w:pPr>
            <w:r w:rsidRPr="001D5E21">
              <w:rPr>
                <w:rFonts w:eastAsia="Times New Roman"/>
                <w:b/>
                <w:bCs/>
                <w:sz w:val="14"/>
                <w:szCs w:val="14"/>
                <w:lang w:eastAsia="el-GR"/>
              </w:rPr>
              <w:t>Κλάδος</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01</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Φυτική και ζωική παραγωγή, θήρα και συναφείς δραστηριότητες</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10-12</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Βιομηχανία τροφίμων, ποτών και καπνού</w:t>
            </w:r>
          </w:p>
        </w:tc>
      </w:tr>
      <w:tr w:rsidR="00D90118" w:rsidRPr="001D5E21" w:rsidTr="005476F0">
        <w:trPr>
          <w:trHeight w:val="510"/>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35</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Παροχή ηλεκτρικού ρεύματος, φυσικού αερίου, ατμού και κλιματισμού</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41-43</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 xml:space="preserve">Κατασκευές </w:t>
            </w:r>
          </w:p>
        </w:tc>
      </w:tr>
      <w:tr w:rsidR="00D90118" w:rsidRPr="001D5E21" w:rsidTr="005476F0">
        <w:trPr>
          <w:trHeight w:val="510"/>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45</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Χονδρικό και λιανικό εμπόριο και επισκευή μηχανοκίνητων οχημάτων και μοτοσυκλετών</w:t>
            </w:r>
          </w:p>
        </w:tc>
      </w:tr>
      <w:tr w:rsidR="00D90118" w:rsidRPr="001D5E21" w:rsidTr="005476F0">
        <w:trPr>
          <w:trHeight w:val="510"/>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46</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Χονδρικό εμπόριο, εκτός από το εμπόριο μηχανοκίνητων οχημάτων και μοτοσυκλετών</w:t>
            </w:r>
          </w:p>
        </w:tc>
      </w:tr>
      <w:tr w:rsidR="00D90118" w:rsidRPr="001D5E21" w:rsidTr="005476F0">
        <w:trPr>
          <w:trHeight w:val="349"/>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47</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Λιανικό εμπόριο, εκτός από το εμπόριο μηχανοκίνητων οχημάτων και μοτοσυκλετών</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49</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Χερσαίες μεταφορές και μεταφορές μέσω αγωγών</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50</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Πλωτές μεταφορές</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55-56</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Καταλύματα και δραστηριότητες υπηρεσιών εστίασης</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61</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Τηλεπικοινωνίες</w:t>
            </w:r>
          </w:p>
        </w:tc>
      </w:tr>
      <w:tr w:rsidR="00D90118" w:rsidRPr="001D5E21" w:rsidTr="005476F0">
        <w:trPr>
          <w:trHeight w:val="510"/>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64</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Δραστηριότητες χρηματοπιστωτικών υπηρεσιών, με εξαίρεση τις ασφαλιστικές εταιρείες και τα συνταξιοδοτικά ταμεία</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68</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Διαχείριση ακίνητης περιουσίας</w:t>
            </w:r>
          </w:p>
        </w:tc>
      </w:tr>
      <w:tr w:rsidR="00D90118" w:rsidRPr="001D5E21" w:rsidTr="005476F0">
        <w:trPr>
          <w:trHeight w:val="510"/>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69-70</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Νομικές και λογιστικές δραστηριότητες-Δραστηριότητες κεντρικών γραφείων· δραστηριότητες παροχής συμβουλών διαχείρισης</w:t>
            </w:r>
          </w:p>
        </w:tc>
      </w:tr>
      <w:tr w:rsidR="00D90118" w:rsidRPr="001D5E21" w:rsidTr="005476F0">
        <w:trPr>
          <w:trHeight w:val="432"/>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80-82</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Λοιπές διοικητικές και υποστηρικτικές δραστηριότητες</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84</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Δημόσια διοίκηση και άμυνα· υποχρεωτική κοινωνική ασφάλιση</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85</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Εκπαίδευση</w:t>
            </w:r>
          </w:p>
        </w:tc>
      </w:tr>
      <w:tr w:rsidR="00D90118" w:rsidRPr="001D5E21" w:rsidTr="005476F0">
        <w:trPr>
          <w:trHeight w:val="255"/>
          <w:jc w:val="center"/>
        </w:trPr>
        <w:tc>
          <w:tcPr>
            <w:tcW w:w="1160" w:type="dxa"/>
            <w:tcBorders>
              <w:top w:val="nil"/>
              <w:left w:val="nil"/>
              <w:bottom w:val="single" w:sz="4" w:space="0" w:color="auto"/>
              <w:right w:val="single" w:sz="4" w:space="0" w:color="auto"/>
            </w:tcBorders>
            <w:shd w:val="clear" w:color="000000" w:fill="FFFFFF"/>
            <w:noWrap/>
            <w:vAlign w:val="center"/>
            <w:hideMark/>
          </w:tcPr>
          <w:p w:rsidR="00D90118" w:rsidRPr="001D5E21" w:rsidRDefault="00D90118" w:rsidP="00D21C6A">
            <w:pPr>
              <w:spacing w:before="0" w:line="240" w:lineRule="auto"/>
              <w:jc w:val="center"/>
              <w:rPr>
                <w:rFonts w:eastAsia="Times New Roman"/>
                <w:sz w:val="14"/>
                <w:szCs w:val="14"/>
                <w:lang w:eastAsia="el-GR"/>
              </w:rPr>
            </w:pPr>
            <w:r w:rsidRPr="001D5E21">
              <w:rPr>
                <w:rFonts w:eastAsia="Times New Roman"/>
                <w:sz w:val="14"/>
                <w:szCs w:val="14"/>
                <w:lang w:eastAsia="el-GR"/>
              </w:rPr>
              <w:t>86</w:t>
            </w:r>
          </w:p>
        </w:tc>
        <w:tc>
          <w:tcPr>
            <w:tcW w:w="5840" w:type="dxa"/>
            <w:tcBorders>
              <w:top w:val="nil"/>
              <w:left w:val="nil"/>
              <w:bottom w:val="single" w:sz="4" w:space="0" w:color="auto"/>
              <w:right w:val="nil"/>
            </w:tcBorders>
            <w:shd w:val="clear" w:color="000000" w:fill="FFFFFF"/>
            <w:vAlign w:val="center"/>
            <w:hideMark/>
          </w:tcPr>
          <w:p w:rsidR="00D90118" w:rsidRPr="001D5E21" w:rsidRDefault="00D90118" w:rsidP="00D21C6A">
            <w:pPr>
              <w:spacing w:before="0" w:line="240" w:lineRule="auto"/>
              <w:jc w:val="left"/>
              <w:rPr>
                <w:rFonts w:eastAsia="Times New Roman"/>
                <w:sz w:val="14"/>
                <w:szCs w:val="14"/>
                <w:lang w:eastAsia="el-GR"/>
              </w:rPr>
            </w:pPr>
            <w:r w:rsidRPr="001D5E21">
              <w:rPr>
                <w:rFonts w:eastAsia="Times New Roman"/>
                <w:sz w:val="14"/>
                <w:szCs w:val="14"/>
                <w:lang w:eastAsia="el-GR"/>
              </w:rPr>
              <w:t>Δραστηριότητες ανθρώπινης υγείας</w:t>
            </w:r>
          </w:p>
        </w:tc>
      </w:tr>
    </w:tbl>
    <w:p w:rsidR="00D90118" w:rsidRDefault="00D90118" w:rsidP="00D90118">
      <w:pPr>
        <w:rPr>
          <w:sz w:val="16"/>
          <w:szCs w:val="16"/>
        </w:rPr>
      </w:pPr>
    </w:p>
    <w:p w:rsidR="00EF277A" w:rsidRPr="007F5988" w:rsidRDefault="00EF277A" w:rsidP="00D90118">
      <w:pPr>
        <w:rPr>
          <w:sz w:val="16"/>
          <w:szCs w:val="16"/>
        </w:rPr>
      </w:pPr>
    </w:p>
    <w:tbl>
      <w:tblPr>
        <w:tblStyle w:val="TableGrid"/>
        <w:tblW w:w="7792" w:type="dxa"/>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1696"/>
        <w:gridCol w:w="1560"/>
        <w:gridCol w:w="1134"/>
        <w:gridCol w:w="1134"/>
        <w:gridCol w:w="1134"/>
        <w:gridCol w:w="1134"/>
      </w:tblGrid>
      <w:tr w:rsidR="00EF277A" w:rsidRPr="00D3671F" w:rsidTr="00EF277A">
        <w:trPr>
          <w:jc w:val="center"/>
        </w:trPr>
        <w:tc>
          <w:tcPr>
            <w:tcW w:w="1696" w:type="dxa"/>
            <w:shd w:val="clear" w:color="auto" w:fill="800000"/>
            <w:vAlign w:val="center"/>
            <w:hideMark/>
          </w:tcPr>
          <w:p w:rsidR="00EF277A" w:rsidRPr="00D3671F" w:rsidRDefault="00EF277A" w:rsidP="00D21C6A">
            <w:pPr>
              <w:spacing w:before="100" w:beforeAutospacing="1" w:after="100" w:afterAutospacing="1" w:line="240" w:lineRule="auto"/>
              <w:jc w:val="center"/>
              <w:rPr>
                <w:color w:val="FFFFFF" w:themeColor="background1"/>
                <w:sz w:val="16"/>
                <w:szCs w:val="16"/>
              </w:rPr>
            </w:pPr>
            <w:r w:rsidRPr="00D3671F">
              <w:rPr>
                <w:b/>
                <w:bCs/>
                <w:color w:val="FFFFFF" w:themeColor="background1"/>
                <w:sz w:val="16"/>
                <w:szCs w:val="16"/>
              </w:rPr>
              <w:t>Ονομασία δείκτη</w:t>
            </w:r>
          </w:p>
        </w:tc>
        <w:tc>
          <w:tcPr>
            <w:tcW w:w="1560" w:type="dxa"/>
            <w:shd w:val="clear" w:color="auto" w:fill="800000"/>
            <w:vAlign w:val="center"/>
            <w:hideMark/>
          </w:tcPr>
          <w:p w:rsidR="00EF277A" w:rsidRPr="00D3671F" w:rsidRDefault="00EF277A" w:rsidP="00D21C6A">
            <w:pPr>
              <w:spacing w:before="100" w:beforeAutospacing="1" w:after="100" w:afterAutospacing="1" w:line="240" w:lineRule="auto"/>
              <w:jc w:val="center"/>
              <w:rPr>
                <w:color w:val="FFFFFF" w:themeColor="background1"/>
                <w:sz w:val="16"/>
                <w:szCs w:val="16"/>
              </w:rPr>
            </w:pPr>
            <w:r w:rsidRPr="00D3671F">
              <w:rPr>
                <w:b/>
                <w:bCs/>
                <w:color w:val="FFFFFF" w:themeColor="background1"/>
                <w:sz w:val="16"/>
                <w:szCs w:val="16"/>
              </w:rPr>
              <w:t>Μονάδα μέτρησης δείκτη</w:t>
            </w:r>
          </w:p>
        </w:tc>
        <w:tc>
          <w:tcPr>
            <w:tcW w:w="1134" w:type="dxa"/>
            <w:shd w:val="clear" w:color="auto" w:fill="800000"/>
            <w:vAlign w:val="center"/>
            <w:hideMark/>
          </w:tcPr>
          <w:p w:rsidR="00EF277A" w:rsidRPr="00D3671F" w:rsidRDefault="00EF277A" w:rsidP="00D21C6A">
            <w:pPr>
              <w:spacing w:before="100" w:beforeAutospacing="1" w:after="100" w:afterAutospacing="1" w:line="240" w:lineRule="auto"/>
              <w:jc w:val="center"/>
              <w:rPr>
                <w:b/>
                <w:bCs/>
                <w:color w:val="FFFFFF" w:themeColor="background1"/>
                <w:sz w:val="16"/>
                <w:szCs w:val="16"/>
              </w:rPr>
            </w:pPr>
            <w:r w:rsidRPr="00D3671F">
              <w:rPr>
                <w:b/>
                <w:bCs/>
                <w:color w:val="FFFFFF" w:themeColor="background1"/>
                <w:sz w:val="16"/>
                <w:szCs w:val="16"/>
              </w:rPr>
              <w:t>2010-2014</w:t>
            </w:r>
          </w:p>
        </w:tc>
        <w:tc>
          <w:tcPr>
            <w:tcW w:w="1134" w:type="dxa"/>
            <w:shd w:val="clear" w:color="auto" w:fill="800000"/>
            <w:vAlign w:val="center"/>
            <w:hideMark/>
          </w:tcPr>
          <w:p w:rsidR="00EF277A" w:rsidRPr="00D3671F" w:rsidRDefault="00EF277A" w:rsidP="00D21C6A">
            <w:pPr>
              <w:spacing w:before="100" w:beforeAutospacing="1" w:after="100" w:afterAutospacing="1" w:line="240" w:lineRule="auto"/>
              <w:jc w:val="center"/>
              <w:rPr>
                <w:b/>
                <w:bCs/>
                <w:color w:val="FFFFFF" w:themeColor="background1"/>
                <w:sz w:val="16"/>
                <w:szCs w:val="16"/>
              </w:rPr>
            </w:pPr>
            <w:r w:rsidRPr="00D3671F">
              <w:rPr>
                <w:b/>
                <w:bCs/>
                <w:color w:val="FFFFFF" w:themeColor="background1"/>
                <w:sz w:val="16"/>
                <w:szCs w:val="16"/>
              </w:rPr>
              <w:t>2011-2015</w:t>
            </w:r>
          </w:p>
        </w:tc>
        <w:tc>
          <w:tcPr>
            <w:tcW w:w="1134" w:type="dxa"/>
            <w:shd w:val="clear" w:color="auto" w:fill="800000"/>
            <w:vAlign w:val="center"/>
            <w:hideMark/>
          </w:tcPr>
          <w:p w:rsidR="00EF277A" w:rsidRPr="00D3671F" w:rsidRDefault="00EF277A" w:rsidP="00D21C6A">
            <w:pPr>
              <w:spacing w:before="100" w:beforeAutospacing="1" w:after="100" w:afterAutospacing="1" w:line="240" w:lineRule="auto"/>
              <w:jc w:val="center"/>
              <w:rPr>
                <w:b/>
                <w:bCs/>
                <w:color w:val="FFFFFF" w:themeColor="background1"/>
                <w:sz w:val="16"/>
                <w:szCs w:val="16"/>
              </w:rPr>
            </w:pPr>
            <w:r w:rsidRPr="00D3671F">
              <w:rPr>
                <w:b/>
                <w:bCs/>
                <w:color w:val="FFFFFF" w:themeColor="background1"/>
                <w:sz w:val="16"/>
                <w:szCs w:val="16"/>
              </w:rPr>
              <w:t>2012-2016</w:t>
            </w:r>
          </w:p>
        </w:tc>
        <w:tc>
          <w:tcPr>
            <w:tcW w:w="1134" w:type="dxa"/>
            <w:shd w:val="clear" w:color="auto" w:fill="800000"/>
            <w:vAlign w:val="center"/>
            <w:hideMark/>
          </w:tcPr>
          <w:p w:rsidR="00EF277A" w:rsidRPr="00D3671F" w:rsidRDefault="00EF277A" w:rsidP="00D21C6A">
            <w:pPr>
              <w:spacing w:before="100" w:beforeAutospacing="1" w:after="100" w:afterAutospacing="1" w:line="240" w:lineRule="auto"/>
              <w:jc w:val="center"/>
              <w:rPr>
                <w:b/>
                <w:bCs/>
                <w:color w:val="FFFFFF" w:themeColor="background1"/>
                <w:sz w:val="16"/>
                <w:szCs w:val="16"/>
              </w:rPr>
            </w:pPr>
            <w:r w:rsidRPr="00D3671F">
              <w:rPr>
                <w:b/>
                <w:bCs/>
                <w:color w:val="FFFFFF" w:themeColor="background1"/>
                <w:sz w:val="16"/>
                <w:szCs w:val="16"/>
              </w:rPr>
              <w:t>2013-2017</w:t>
            </w:r>
          </w:p>
        </w:tc>
      </w:tr>
      <w:tr w:rsidR="00EF277A" w:rsidRPr="007F5988" w:rsidTr="00EF277A">
        <w:trPr>
          <w:trHeight w:val="720"/>
          <w:jc w:val="center"/>
        </w:trPr>
        <w:tc>
          <w:tcPr>
            <w:tcW w:w="1696" w:type="dxa"/>
            <w:vAlign w:val="center"/>
            <w:hideMark/>
          </w:tcPr>
          <w:p w:rsidR="00EF277A" w:rsidRPr="007F5988" w:rsidRDefault="00EF277A" w:rsidP="00D21C6A">
            <w:pPr>
              <w:spacing w:before="100" w:beforeAutospacing="1" w:after="100" w:afterAutospacing="1" w:line="240" w:lineRule="auto"/>
              <w:rPr>
                <w:rFonts w:eastAsia="Times New Roman"/>
                <w:sz w:val="16"/>
                <w:szCs w:val="16"/>
              </w:rPr>
            </w:pPr>
            <w:r w:rsidRPr="007F5988">
              <w:rPr>
                <w:rFonts w:eastAsia="Times New Roman"/>
                <w:color w:val="000000"/>
                <w:sz w:val="16"/>
                <w:szCs w:val="16"/>
              </w:rPr>
              <w:t>Μέσος όρος αναφορών ανά δημοσίευση Ελλήν</w:t>
            </w:r>
            <w:r>
              <w:rPr>
                <w:rFonts w:eastAsia="Times New Roman"/>
                <w:color w:val="000000"/>
                <w:sz w:val="16"/>
                <w:szCs w:val="16"/>
              </w:rPr>
              <w:t xml:space="preserve">ων ερευνητών (Δείκτης απήχησης) </w:t>
            </w:r>
            <w:r w:rsidRPr="00562C79">
              <w:rPr>
                <w:rFonts w:eastAsia="Times New Roman"/>
                <w:color w:val="000000"/>
                <w:sz w:val="16"/>
                <w:szCs w:val="16"/>
              </w:rPr>
              <w:t>(1)</w:t>
            </w:r>
          </w:p>
        </w:tc>
        <w:tc>
          <w:tcPr>
            <w:tcW w:w="1560" w:type="dxa"/>
            <w:vAlign w:val="center"/>
            <w:hideMark/>
          </w:tcPr>
          <w:p w:rsidR="00EF277A" w:rsidRPr="007F5988" w:rsidRDefault="00EF277A" w:rsidP="00D21C6A">
            <w:pPr>
              <w:spacing w:before="100" w:beforeAutospacing="1" w:after="100" w:afterAutospacing="1" w:line="240" w:lineRule="auto"/>
              <w:jc w:val="center"/>
              <w:rPr>
                <w:rFonts w:eastAsia="Times New Roman"/>
                <w:sz w:val="16"/>
                <w:szCs w:val="16"/>
              </w:rPr>
            </w:pPr>
            <w:r w:rsidRPr="00D3671F">
              <w:rPr>
                <w:rFonts w:eastAsia="Times New Roman"/>
                <w:sz w:val="16"/>
                <w:szCs w:val="16"/>
              </w:rPr>
              <w:t>Αναφορές ανά δημοσίευση</w:t>
            </w:r>
          </w:p>
        </w:tc>
        <w:tc>
          <w:tcPr>
            <w:tcW w:w="1134" w:type="dxa"/>
            <w:vAlign w:val="center"/>
            <w:hideMark/>
          </w:tcPr>
          <w:p w:rsidR="00EF277A" w:rsidRPr="007F5988" w:rsidRDefault="00EF277A" w:rsidP="00D21C6A">
            <w:pPr>
              <w:spacing w:before="100" w:beforeAutospacing="1" w:after="100" w:afterAutospacing="1" w:line="240" w:lineRule="auto"/>
              <w:jc w:val="center"/>
              <w:rPr>
                <w:rFonts w:eastAsia="Times New Roman"/>
                <w:b/>
                <w:sz w:val="16"/>
                <w:szCs w:val="16"/>
              </w:rPr>
            </w:pPr>
            <w:r w:rsidRPr="007F5988">
              <w:rPr>
                <w:b/>
                <w:sz w:val="16"/>
                <w:szCs w:val="16"/>
              </w:rPr>
              <w:t>6,20</w:t>
            </w:r>
          </w:p>
        </w:tc>
        <w:tc>
          <w:tcPr>
            <w:tcW w:w="1134" w:type="dxa"/>
            <w:vAlign w:val="center"/>
            <w:hideMark/>
          </w:tcPr>
          <w:p w:rsidR="00EF277A" w:rsidRPr="007F5988" w:rsidRDefault="00EF277A" w:rsidP="00D21C6A">
            <w:pPr>
              <w:spacing w:before="100" w:beforeAutospacing="1" w:after="100" w:afterAutospacing="1" w:line="240" w:lineRule="auto"/>
              <w:jc w:val="center"/>
              <w:rPr>
                <w:rFonts w:eastAsia="Times New Roman"/>
                <w:b/>
                <w:sz w:val="16"/>
                <w:szCs w:val="16"/>
              </w:rPr>
            </w:pPr>
            <w:r w:rsidRPr="007F5988">
              <w:rPr>
                <w:b/>
                <w:sz w:val="16"/>
                <w:szCs w:val="16"/>
              </w:rPr>
              <w:t>6,54</w:t>
            </w:r>
          </w:p>
        </w:tc>
        <w:tc>
          <w:tcPr>
            <w:tcW w:w="1134" w:type="dxa"/>
            <w:vAlign w:val="center"/>
            <w:hideMark/>
          </w:tcPr>
          <w:p w:rsidR="00EF277A" w:rsidRPr="007F5988" w:rsidRDefault="00EF277A" w:rsidP="00D21C6A">
            <w:pPr>
              <w:spacing w:before="100" w:beforeAutospacing="1" w:after="100" w:afterAutospacing="1" w:line="240" w:lineRule="auto"/>
              <w:jc w:val="center"/>
              <w:rPr>
                <w:rFonts w:eastAsia="Times New Roman"/>
                <w:b/>
                <w:sz w:val="16"/>
                <w:szCs w:val="16"/>
              </w:rPr>
            </w:pPr>
            <w:r w:rsidRPr="007F5988">
              <w:rPr>
                <w:b/>
                <w:sz w:val="16"/>
                <w:szCs w:val="16"/>
              </w:rPr>
              <w:t>7,13</w:t>
            </w:r>
          </w:p>
        </w:tc>
        <w:tc>
          <w:tcPr>
            <w:tcW w:w="1134" w:type="dxa"/>
            <w:vAlign w:val="center"/>
            <w:hideMark/>
          </w:tcPr>
          <w:p w:rsidR="00EF277A" w:rsidRPr="00AC6B9C" w:rsidRDefault="00EF277A" w:rsidP="00D21C6A">
            <w:pPr>
              <w:spacing w:before="100" w:beforeAutospacing="1" w:after="100" w:afterAutospacing="1" w:line="240" w:lineRule="auto"/>
              <w:jc w:val="center"/>
              <w:rPr>
                <w:rFonts w:eastAsia="Times New Roman"/>
                <w:bCs/>
                <w:color w:val="000000"/>
                <w:sz w:val="16"/>
                <w:szCs w:val="16"/>
              </w:rPr>
            </w:pPr>
            <w:r w:rsidRPr="00AC6B9C">
              <w:rPr>
                <w:rFonts w:eastAsia="Times New Roman"/>
                <w:bCs/>
                <w:color w:val="000000"/>
                <w:sz w:val="16"/>
                <w:szCs w:val="16"/>
              </w:rPr>
              <w:t>(2)</w:t>
            </w:r>
          </w:p>
        </w:tc>
      </w:tr>
    </w:tbl>
    <w:p w:rsidR="00D90118" w:rsidRPr="00562C79" w:rsidRDefault="00D90118" w:rsidP="001B2DD1">
      <w:pPr>
        <w:pStyle w:val="ListParagraph"/>
        <w:numPr>
          <w:ilvl w:val="0"/>
          <w:numId w:val="21"/>
        </w:numPr>
      </w:pPr>
      <w:r w:rsidRPr="00562C79">
        <w:t>Υπολογίζεται ως ο λόγος του αριθμού των αναφορών που καταγράφονται σε ορισμένη χρονική περίοδο (πενταετία) προς το συνολικό αριθμό των δημοσιεύσεων της ίδιας χρονικής περιόδου (την ίδια πενταετία). Ο δείκτης υπολογίζεται ανά διαστήματα κυλιόμενων πενταετιών (2010-2014, 2011-2015, 2012-2016 κ.ο.κ).  Πηγή ΕΚΤ.</w:t>
      </w:r>
    </w:p>
    <w:p w:rsidR="00D90118" w:rsidRPr="00562C79" w:rsidRDefault="00D90118" w:rsidP="001B2DD1">
      <w:pPr>
        <w:pStyle w:val="ListParagraph"/>
        <w:numPr>
          <w:ilvl w:val="0"/>
          <w:numId w:val="21"/>
        </w:numPr>
      </w:pPr>
      <w:r w:rsidRPr="00562C79">
        <w:t>Προγραμματισμένη ημερομηνία δημοσίευσης 2020</w:t>
      </w:r>
    </w:p>
    <w:p w:rsidR="00D90118" w:rsidRPr="00E52D4D" w:rsidRDefault="00D90118" w:rsidP="00D90118">
      <w:pPr>
        <w:rPr>
          <w:szCs w:val="18"/>
        </w:rPr>
      </w:pPr>
      <w:r w:rsidRPr="00E52D4D">
        <w:rPr>
          <w:szCs w:val="18"/>
        </w:rPr>
        <w:t>Συμπερασματικά</w:t>
      </w:r>
      <w:r>
        <w:rPr>
          <w:szCs w:val="18"/>
        </w:rPr>
        <w:t xml:space="preserve"> σε σχέση με τα παραπάνω στοιχεία</w:t>
      </w:r>
      <w:r w:rsidRPr="00E52D4D">
        <w:rPr>
          <w:szCs w:val="18"/>
        </w:rPr>
        <w:t>:</w:t>
      </w:r>
    </w:p>
    <w:p w:rsidR="00D90118" w:rsidRPr="00E52D4D" w:rsidRDefault="00D90118" w:rsidP="001B2DD1">
      <w:pPr>
        <w:pStyle w:val="ListParagraph"/>
        <w:numPr>
          <w:ilvl w:val="0"/>
          <w:numId w:val="19"/>
        </w:numPr>
      </w:pPr>
      <w:r w:rsidRPr="00E52D4D">
        <w:t>Οι Δαπάνες για καινοτομικές δραστηριότητες των επιχειρήσεων με καινοτομία προϊόντος ή/και διαδικασία (ως ποσοστό του ΑΕΠ) αυξήθηκαν από το 2014 στο 2016 κατά 0,28 %.</w:t>
      </w:r>
    </w:p>
    <w:p w:rsidR="00D90118" w:rsidRPr="00E52D4D" w:rsidRDefault="00D90118" w:rsidP="001B2DD1">
      <w:pPr>
        <w:pStyle w:val="ListParagraph"/>
        <w:numPr>
          <w:ilvl w:val="0"/>
          <w:numId w:val="19"/>
        </w:numPr>
      </w:pPr>
      <w:r w:rsidRPr="00E52D4D">
        <w:lastRenderedPageBreak/>
        <w:t xml:space="preserve">Η Ένταση Δαπανών Έρευνας &amp; Ανάπτυξης αυξήθηκε από το 2014 στο 2017 κατά </w:t>
      </w:r>
      <w:r>
        <w:t>0,3%.</w:t>
      </w:r>
    </w:p>
    <w:p w:rsidR="00D90118" w:rsidRPr="00F513A2" w:rsidRDefault="00D90118" w:rsidP="001B2DD1">
      <w:pPr>
        <w:pStyle w:val="ListParagraph"/>
        <w:numPr>
          <w:ilvl w:val="0"/>
          <w:numId w:val="19"/>
        </w:numPr>
      </w:pPr>
      <w:r w:rsidRPr="00F513A2">
        <w:t>Ο αριθμός των Επιστημονικών δημοσιεύσεων σε διεθνή περιοδικά το διάστημα 2014-2016 δεν παρουσίασε σημαντικές διακυμάνσεις.</w:t>
      </w:r>
    </w:p>
    <w:p w:rsidR="00D90118" w:rsidRPr="00F513A2" w:rsidRDefault="00D90118" w:rsidP="001B2DD1">
      <w:pPr>
        <w:pStyle w:val="ListParagraph"/>
        <w:numPr>
          <w:ilvl w:val="0"/>
          <w:numId w:val="19"/>
        </w:numPr>
      </w:pPr>
      <w:r w:rsidRPr="00F513A2">
        <w:t>Η Ακαθάριστη Προστιθέμενη Αξία (ΑΠΑ) σε κλάδους υψηλής προστιθέμενης αξίας, χωρίς να εμφ</w:t>
      </w:r>
      <w:r w:rsidR="00F513A2" w:rsidRPr="00F513A2">
        <w:t>ανίζει σημαντικές διακυμάνσεις</w:t>
      </w:r>
      <w:r w:rsidR="00F513A2">
        <w:t xml:space="preserve"> </w:t>
      </w:r>
      <w:r w:rsidRPr="00F513A2">
        <w:t>παρουσιάζει σταδιακή μείωση τα έτη 2015 και 2016</w:t>
      </w:r>
      <w:r w:rsidR="00F513A2" w:rsidRPr="00F513A2">
        <w:t>,</w:t>
      </w:r>
      <w:r w:rsidRPr="00F513A2">
        <w:t xml:space="preserve"> με άνοδο </w:t>
      </w:r>
      <w:r w:rsidR="00F513A2" w:rsidRPr="00F513A2">
        <w:t xml:space="preserve">ωστόσο </w:t>
      </w:r>
      <w:r w:rsidRPr="00F513A2">
        <w:t>το 2017.</w:t>
      </w:r>
    </w:p>
    <w:p w:rsidR="00D90118" w:rsidRPr="00E52D4D" w:rsidRDefault="00D90118" w:rsidP="001B2DD1">
      <w:pPr>
        <w:pStyle w:val="ListParagraph"/>
        <w:numPr>
          <w:ilvl w:val="0"/>
          <w:numId w:val="19"/>
        </w:numPr>
        <w:rPr>
          <w:szCs w:val="18"/>
        </w:rPr>
      </w:pPr>
      <w:r>
        <w:t>Ο μ</w:t>
      </w:r>
      <w:r w:rsidRPr="007F5988">
        <w:t>έσος όρος αναφορών ανά δημοσίευση Ελλήν</w:t>
      </w:r>
      <w:r>
        <w:t>ων ερευνητών παρουσιάζει σταδιακή αύξηση στις πενταετίες 2010-2014, 2011-2015, 2012-2016.</w:t>
      </w:r>
    </w:p>
    <w:p w:rsidR="00067EE2" w:rsidRDefault="00067EE2">
      <w:pPr>
        <w:spacing w:before="0" w:after="160" w:line="259" w:lineRule="auto"/>
        <w:jc w:val="left"/>
      </w:pPr>
      <w:r>
        <w:br w:type="page"/>
      </w:r>
    </w:p>
    <w:p w:rsidR="00D90118" w:rsidRDefault="00D90118" w:rsidP="00D90118"/>
    <w:p w:rsidR="00D90118" w:rsidRDefault="00D90118" w:rsidP="00D90118">
      <w:pPr>
        <w:pStyle w:val="Heading1"/>
      </w:pPr>
      <w:bookmarkStart w:id="74" w:name="_Toc6503383"/>
      <w:bookmarkStart w:id="75" w:name="_Toc22645132"/>
      <w:r>
        <w:t xml:space="preserve">Δείκτες </w:t>
      </w:r>
      <w:r>
        <w:rPr>
          <w:lang w:val="en-US"/>
        </w:rPr>
        <w:t xml:space="preserve">IUS </w:t>
      </w:r>
      <w:r>
        <w:t>Στρατηγικής</w:t>
      </w:r>
      <w:bookmarkEnd w:id="74"/>
      <w:bookmarkEnd w:id="75"/>
    </w:p>
    <w:p w:rsidR="00D90118" w:rsidRPr="00FA2E5D" w:rsidRDefault="00D90118" w:rsidP="00D90118">
      <w:r>
        <w:t xml:space="preserve">Στον πίνακα που ακολουθεί παρουσιάζονται οι τιμές επίτευξης των δεικτών </w:t>
      </w:r>
      <w:r>
        <w:rPr>
          <w:lang w:val="en-US"/>
        </w:rPr>
        <w:t>Innovation</w:t>
      </w:r>
      <w:r w:rsidRPr="00CB2078">
        <w:t xml:space="preserve"> </w:t>
      </w:r>
      <w:r>
        <w:rPr>
          <w:lang w:val="en-US"/>
        </w:rPr>
        <w:t>Union</w:t>
      </w:r>
      <w:r w:rsidRPr="00CB2078">
        <w:t xml:space="preserve"> </w:t>
      </w:r>
      <w:r>
        <w:rPr>
          <w:lang w:val="en-US"/>
        </w:rPr>
        <w:t>Scoreboard</w:t>
      </w:r>
      <w:r w:rsidR="00FA2E5D">
        <w:t>.</w:t>
      </w:r>
    </w:p>
    <w:p w:rsidR="00316B45" w:rsidRPr="00175190" w:rsidRDefault="00316B45" w:rsidP="00D90118"/>
    <w:p w:rsidR="00316B45" w:rsidRPr="00175190" w:rsidRDefault="00316B45" w:rsidP="00D90118"/>
    <w:p w:rsidR="00316B45" w:rsidRPr="00175190" w:rsidRDefault="00316B45" w:rsidP="00D90118"/>
    <w:p w:rsidR="00316B45" w:rsidRPr="00CB2078" w:rsidRDefault="00316B45" w:rsidP="00D90118"/>
    <w:p w:rsidR="00D90118" w:rsidRDefault="00D90118" w:rsidP="00D90118">
      <w:pPr>
        <w:sectPr w:rsidR="00D90118" w:rsidSect="005476F0">
          <w:headerReference w:type="default" r:id="rId79"/>
          <w:footerReference w:type="default" r:id="rId80"/>
          <w:pgSz w:w="11906" w:h="16838"/>
          <w:pgMar w:top="1440" w:right="1247" w:bottom="1440" w:left="1247" w:header="709" w:footer="709" w:gutter="0"/>
          <w:cols w:space="708"/>
          <w:docGrid w:linePitch="360"/>
        </w:sectPr>
      </w:pPr>
    </w:p>
    <w:p w:rsidR="009C23C4" w:rsidRPr="009C23C4" w:rsidRDefault="009C23C4" w:rsidP="009C23C4">
      <w:pPr>
        <w:pStyle w:val="Caption"/>
      </w:pPr>
      <w:r>
        <w:lastRenderedPageBreak/>
        <w:t xml:space="preserve">Πίνακας </w:t>
      </w:r>
      <w:r w:rsidR="00833098">
        <w:rPr>
          <w:noProof/>
        </w:rPr>
        <w:fldChar w:fldCharType="begin"/>
      </w:r>
      <w:r w:rsidR="00833098">
        <w:rPr>
          <w:noProof/>
        </w:rPr>
        <w:instrText xml:space="preserve"> STYLEREF 1 \s </w:instrText>
      </w:r>
      <w:r w:rsidR="00833098">
        <w:rPr>
          <w:noProof/>
        </w:rPr>
        <w:fldChar w:fldCharType="separate"/>
      </w:r>
      <w:r w:rsidR="00332E24">
        <w:rPr>
          <w:noProof/>
        </w:rPr>
        <w:t>7</w:t>
      </w:r>
      <w:r w:rsidR="00833098">
        <w:rPr>
          <w:noProof/>
        </w:rPr>
        <w:fldChar w:fldCharType="end"/>
      </w:r>
      <w:r>
        <w:noBreakHyphen/>
      </w:r>
      <w:r w:rsidR="00833098">
        <w:rPr>
          <w:noProof/>
        </w:rPr>
        <w:fldChar w:fldCharType="begin"/>
      </w:r>
      <w:r w:rsidR="00833098">
        <w:rPr>
          <w:noProof/>
        </w:rPr>
        <w:instrText xml:space="preserve"> SEQ Πίνακας \* ARABIC \s 1 </w:instrText>
      </w:r>
      <w:r w:rsidR="00833098">
        <w:rPr>
          <w:noProof/>
        </w:rPr>
        <w:fldChar w:fldCharType="separate"/>
      </w:r>
      <w:r w:rsidR="00332E24">
        <w:rPr>
          <w:noProof/>
        </w:rPr>
        <w:t>1</w:t>
      </w:r>
      <w:r w:rsidR="00833098">
        <w:rPr>
          <w:noProof/>
        </w:rPr>
        <w:fldChar w:fldCharType="end"/>
      </w:r>
      <w:r>
        <w:t xml:space="preserve">: Τιμές Δεικτών </w:t>
      </w:r>
      <w:r>
        <w:rPr>
          <w:lang w:val="en-US"/>
        </w:rPr>
        <w:t>IUS</w:t>
      </w:r>
      <w:r w:rsidRPr="009C23C4">
        <w:t xml:space="preserve"> </w:t>
      </w:r>
      <w:r>
        <w:t>ετών 2014-2015-2016-2017</w:t>
      </w:r>
    </w:p>
    <w:tbl>
      <w:tblPr>
        <w:tblW w:w="5287" w:type="pct"/>
        <w:tblInd w:w="-719" w:type="dxa"/>
        <w:tblLook w:val="04A0" w:firstRow="1" w:lastRow="0" w:firstColumn="1" w:lastColumn="0" w:noHBand="0" w:noVBand="1"/>
      </w:tblPr>
      <w:tblGrid>
        <w:gridCol w:w="4018"/>
        <w:gridCol w:w="3301"/>
        <w:gridCol w:w="1673"/>
        <w:gridCol w:w="912"/>
        <w:gridCol w:w="868"/>
        <w:gridCol w:w="1029"/>
        <w:gridCol w:w="912"/>
        <w:gridCol w:w="926"/>
        <w:gridCol w:w="1167"/>
        <w:gridCol w:w="912"/>
        <w:gridCol w:w="926"/>
        <w:gridCol w:w="1167"/>
        <w:gridCol w:w="1767"/>
        <w:gridCol w:w="1136"/>
        <w:gridCol w:w="1650"/>
      </w:tblGrid>
      <w:tr w:rsidR="00E75022" w:rsidRPr="00646DDA" w:rsidTr="00E75022">
        <w:trPr>
          <w:trHeight w:val="510"/>
          <w:tblHeader/>
        </w:trPr>
        <w:tc>
          <w:tcPr>
            <w:tcW w:w="898" w:type="pct"/>
            <w:tcBorders>
              <w:top w:val="single" w:sz="8" w:space="0" w:color="808080"/>
              <w:left w:val="single" w:sz="8" w:space="0" w:color="808080"/>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Ονομασία δείκτη</w:t>
            </w:r>
          </w:p>
        </w:tc>
        <w:tc>
          <w:tcPr>
            <w:tcW w:w="738"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Indicator name</w:t>
            </w:r>
          </w:p>
        </w:tc>
        <w:tc>
          <w:tcPr>
            <w:tcW w:w="37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Μονάδα μέτρησης δείκτη</w:t>
            </w:r>
          </w:p>
        </w:tc>
        <w:tc>
          <w:tcPr>
            <w:tcW w:w="20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2014</w:t>
            </w:r>
          </w:p>
        </w:tc>
        <w:tc>
          <w:tcPr>
            <w:tcW w:w="19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2014-EU28</w:t>
            </w:r>
          </w:p>
        </w:tc>
        <w:tc>
          <w:tcPr>
            <w:tcW w:w="230" w:type="pct"/>
            <w:tcBorders>
              <w:top w:val="single" w:sz="8" w:space="0" w:color="808080"/>
              <w:left w:val="nil"/>
              <w:bottom w:val="single" w:sz="4" w:space="0" w:color="808080"/>
              <w:right w:val="single" w:sz="8"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i/>
                <w:iCs/>
                <w:color w:val="FFFFFF"/>
                <w:sz w:val="16"/>
                <w:szCs w:val="16"/>
                <w:lang w:eastAsia="el-GR"/>
              </w:rPr>
            </w:pPr>
            <w:r w:rsidRPr="00646DDA">
              <w:rPr>
                <w:rFonts w:eastAsia="Times New Roman"/>
                <w:b/>
                <w:bCs/>
                <w:i/>
                <w:iCs/>
                <w:color w:val="FFFFFF"/>
                <w:sz w:val="16"/>
                <w:szCs w:val="16"/>
                <w:lang w:eastAsia="el-GR"/>
              </w:rPr>
              <w:t>%</w:t>
            </w:r>
          </w:p>
        </w:tc>
        <w:tc>
          <w:tcPr>
            <w:tcW w:w="20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2015</w:t>
            </w:r>
          </w:p>
        </w:tc>
        <w:tc>
          <w:tcPr>
            <w:tcW w:w="207"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2015-EU28</w:t>
            </w:r>
          </w:p>
        </w:tc>
        <w:tc>
          <w:tcPr>
            <w:tcW w:w="261" w:type="pct"/>
            <w:tcBorders>
              <w:top w:val="single" w:sz="8" w:space="0" w:color="808080"/>
              <w:left w:val="nil"/>
              <w:bottom w:val="single" w:sz="4" w:space="0" w:color="808080"/>
              <w:right w:val="single" w:sz="8"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w:t>
            </w:r>
          </w:p>
        </w:tc>
        <w:tc>
          <w:tcPr>
            <w:tcW w:w="20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2016</w:t>
            </w:r>
          </w:p>
        </w:tc>
        <w:tc>
          <w:tcPr>
            <w:tcW w:w="207"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2016-EU28</w:t>
            </w:r>
          </w:p>
        </w:tc>
        <w:tc>
          <w:tcPr>
            <w:tcW w:w="261" w:type="pct"/>
            <w:tcBorders>
              <w:top w:val="single" w:sz="8" w:space="0" w:color="808080"/>
              <w:left w:val="nil"/>
              <w:bottom w:val="single" w:sz="4" w:space="0" w:color="808080"/>
              <w:right w:val="single" w:sz="8"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w:t>
            </w:r>
          </w:p>
        </w:tc>
        <w:tc>
          <w:tcPr>
            <w:tcW w:w="395"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2017</w:t>
            </w:r>
          </w:p>
        </w:tc>
        <w:tc>
          <w:tcPr>
            <w:tcW w:w="254" w:type="pct"/>
            <w:tcBorders>
              <w:top w:val="single" w:sz="8" w:space="0" w:color="808080"/>
              <w:left w:val="nil"/>
              <w:bottom w:val="single" w:sz="4" w:space="0" w:color="808080"/>
              <w:right w:val="single" w:sz="4"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2017-EU28</w:t>
            </w:r>
          </w:p>
        </w:tc>
        <w:tc>
          <w:tcPr>
            <w:tcW w:w="369" w:type="pct"/>
            <w:tcBorders>
              <w:top w:val="single" w:sz="8" w:space="0" w:color="808080"/>
              <w:left w:val="nil"/>
              <w:bottom w:val="single" w:sz="4" w:space="0" w:color="808080"/>
              <w:right w:val="single" w:sz="8" w:space="0" w:color="808080"/>
            </w:tcBorders>
            <w:shd w:val="clear" w:color="000000" w:fill="800000"/>
            <w:vAlign w:val="center"/>
            <w:hideMark/>
          </w:tcPr>
          <w:p w:rsidR="00E75022" w:rsidRPr="00646DDA" w:rsidRDefault="00E75022" w:rsidP="00E75022">
            <w:pPr>
              <w:spacing w:before="0" w:line="240" w:lineRule="auto"/>
              <w:jc w:val="center"/>
              <w:rPr>
                <w:rFonts w:eastAsia="Times New Roman"/>
                <w:b/>
                <w:bCs/>
                <w:color w:val="FFFFFF"/>
                <w:sz w:val="16"/>
                <w:szCs w:val="16"/>
                <w:lang w:eastAsia="el-GR"/>
              </w:rPr>
            </w:pPr>
            <w:r w:rsidRPr="00646DDA">
              <w:rPr>
                <w:rFonts w:eastAsia="Times New Roman"/>
                <w:b/>
                <w:bCs/>
                <w:color w:val="FFFFFF"/>
                <w:sz w:val="16"/>
                <w:szCs w:val="16"/>
                <w:lang w:eastAsia="el-GR"/>
              </w:rPr>
              <w:t>%</w:t>
            </w:r>
          </w:p>
        </w:tc>
      </w:tr>
      <w:tr w:rsidR="00E75022" w:rsidRPr="00646DDA" w:rsidTr="00E75022">
        <w:trPr>
          <w:trHeight w:val="33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 ΔΕΙΚΤΕΣ ΕΝΔΥΝΑΜΩΣΗΣ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Ανθρώπινο δυναμικό</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Human Resources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Απόφοιτοι διδακτορικού διπλώματος (ISCED 6) ανά 1000 κατοίκους ηλικίας 25-34 ετών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New doctorate graduates per 1000 population aged 25-34</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PhDs/ 1000 κατοίκους</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1,80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61,1%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55,6%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61,1%</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2,00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55,0%</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Ποσοστό του πληθυσμού ηλικίας 30-34 ετών που έχει ολοκληρώσει την τριτοβάθμια εκπαίδευση</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Percentage population aged 25-34 having completed tertiary education</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34,60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36,90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93,8%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39,40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38,50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102,3%</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41,00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38,20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107,3%</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42,50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39,00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109,0%</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Ποσοστό των νέων 20-24 ετών που έχουν ολοκληρώσει τουλάχιστον την ανώτερη βαθμίδα της δευτεροβάθμιας εκπαίδευσης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Percentage youth aged 20-24 having attained at least upper secondary education</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86,50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81,00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106,8%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89,50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82,60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108,4%</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Ποσοστό πληθυσμού ηλικίας 25-64 που συμμετέχει σε προγράμματα Διαβίου Μάθησης.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 xml:space="preserve">Percentage population aged 25-64 participating in lifelong learning (2016-2017) </w:t>
            </w:r>
            <w:r w:rsidRPr="00646DDA">
              <w:rPr>
                <w:rFonts w:eastAsia="Times New Roman"/>
                <w:b/>
                <w:bCs/>
                <w:color w:val="000000"/>
                <w:sz w:val="16"/>
                <w:szCs w:val="16"/>
                <w:lang w:val="en-US" w:eastAsia="el-GR"/>
              </w:rPr>
              <w:t>- NEW</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37,0%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4,50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10,90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41,3%</w:t>
            </w:r>
          </w:p>
        </w:tc>
      </w:tr>
      <w:tr w:rsidR="00E75022" w:rsidRPr="00330D31"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Ανοικτά, εξαιρετικά και ελκυστικά συστήματα έρευνας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Open, excellent and attractive research systems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val="en-US" w:eastAsia="el-GR"/>
              </w:rPr>
            </w:pPr>
            <w:r w:rsidRPr="00646DDA">
              <w:rPr>
                <w:rFonts w:eastAsia="Times New Roman"/>
                <w:b/>
                <w:bCs/>
                <w:i/>
                <w:iCs/>
                <w:color w:val="000000"/>
                <w:sz w:val="16"/>
                <w:szCs w:val="16"/>
                <w:lang w:val="en-US"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val="en-US" w:eastAsia="el-GR"/>
              </w:rPr>
            </w:pPr>
            <w:r w:rsidRPr="00646DDA">
              <w:rPr>
                <w:rFonts w:eastAsia="Times New Roman"/>
                <w:b/>
                <w:bCs/>
                <w:color w:val="000000"/>
                <w:sz w:val="16"/>
                <w:szCs w:val="16"/>
                <w:lang w:val="en-US" w:eastAsia="el-GR"/>
              </w:rPr>
              <w:t> </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Διεθνείς επιστημονικές συν-δημοσιεύσεις ανά εκατομμύριο πληθυσμού</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International scientific co-publications per million population</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Δημοσιεύσεις ανά εκατομμύριο πληθυσμού</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620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363</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170,8%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549</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459</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119,6%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591</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496</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119,2%</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608</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517</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117,6%</w:t>
            </w:r>
          </w:p>
        </w:tc>
      </w:tr>
      <w:tr w:rsidR="00E75022" w:rsidRPr="00646DDA" w:rsidTr="00E75022">
        <w:trPr>
          <w:trHeight w:val="96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Επιστημονικές δημοσιεύσεις μεταξύ των πλέον αναφερομένων δημοσιεύσεων (10%) σε όλο τον κόσμο ως ποσοστό του συνόλου των επιστημονικών δημοσιεύσεων της χώρας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Scientific publications among the top-10% most cited publications worldwide as percentage of total scientific publications of the country</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9,20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11,00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83,6%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9,00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10,50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85,7%</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8,90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10,60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84,0%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9,00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10,60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84,9%</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Διδακτορικού επιπέδου φοιτητές από χώρες εκτός ΕΕ ως ποσοστό του συνόλου των φοιτητών διδακτορικού διπλώματος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Foreign doctorate students as percentage of all doctorate students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25,00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4,0%</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Μ/Δ</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17,80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#VALUE!</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Μ/Δ</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25,6</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#VALUE!</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Μ/Δ</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26,1</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#VALUE!</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Καινοτομία φιλική προς το περιβάλλον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Innovation-frendly environement</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Διείσδυση ευρυζωνικών συνδέσεων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Broadband penetration - ΝEW</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13,00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15,4%</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5,00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16,00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31,3%</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Επιχειρηματικότητα ευκαιρίας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Opportunity-driven entrepreneurship (Motivational index) - NEW</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3,10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38,7%</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1,50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3,30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45,5%</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Χρηματοδότηση και υποστήριξη</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Finance and support</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Δαπάνες Ε&amp;Α στο δημόσιο τομέα ως ποσοστό του ΑΕΠ</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R&amp;D expenditure in the public sector as percentage of GDP</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0,72</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69,4%</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0,54</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0,72</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75,0%</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0,63</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0,71</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88,7%</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0,57</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81,4%</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Επιχειρηματικά κεφάλαια (πρώιμο στάδιο, επέκτασης και αντικατάστασης) ως ποσοστό του ΑΕΠ</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Venture capital expenditures as percentage of GDP</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0,06</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0,0%</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0,001</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0,063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0,001</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0,063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1,6%</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0,001</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0,116</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0,9%</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II. ΔΕΙΚΤΕΣ ΔΡΑΣΤΗΡΙΟΤΗΤΑΣ ΕΠΙΧΕΙΡΗΣΕΩΝ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Επενδύσεις επιχειρήσεων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xml:space="preserve">Firm Investments </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Δαπάνες για Ε&amp;Α στον τομέα των επιχειρήσεων ως ποσοστό του ΑΕΠ</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R&amp;D expenditure in the business sector as percentage of GDP</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0,27</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1,29</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20,9%</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0,28</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21,5%</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0,32</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24,6%</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0,43</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1,32</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32,6%</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Δαπάνες των επιχειρήσεων για καινοτομία, εξαιρουμένων των δαπανών Ε&amp;Α, ως ποσοστό του κύκλου εργασιών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Non-R&amp;D innovation expenditure as percentage of total turnover</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0,87</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0,69</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126,1%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0,87</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0,69</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126,1%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0,76</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0,76</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100,0%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0,76</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0,76</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100,0%</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Επιχειρήσεις που παρέχουν εκπαίδευση αναβάθμισης ικανοτήτων ΤΠΕ στο προσωπικό τους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Enterprises providing training to develop or upgrade ICT skills of their personnel -</w:t>
            </w:r>
            <w:r w:rsidRPr="00646DDA">
              <w:rPr>
                <w:rFonts w:eastAsia="Times New Roman"/>
                <w:b/>
                <w:bCs/>
                <w:color w:val="000000"/>
                <w:sz w:val="16"/>
                <w:szCs w:val="16"/>
                <w:lang w:val="en-US" w:eastAsia="el-GR"/>
              </w:rPr>
              <w:t>NEW</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15,00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22,00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68,2%</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12,00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21,00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57,1%</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Διασυνδέσεις και επιχειρηματικότητα</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LinKages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ΜΜΕ που καινοτομούν εσωτερικά ως ποσοστό των ΜΜΕ</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eastAsia="el-GR"/>
              </w:rPr>
              <w:t xml:space="preserve"> </w:t>
            </w:r>
            <w:r w:rsidRPr="00646DDA">
              <w:rPr>
                <w:rFonts w:eastAsia="Times New Roman"/>
                <w:color w:val="000000"/>
                <w:sz w:val="16"/>
                <w:szCs w:val="16"/>
                <w:lang w:val="en-US" w:eastAsia="el-GR"/>
              </w:rPr>
              <w:t>SMEs innovating in-house as percentage of all SMEs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26,6</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28,7</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92,7%</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26,6</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28,7</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92,7%</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31,40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28,80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109,0%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31,4</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28,8</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109,0%</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Καινοτόμες ΜΜΕ που συνεργάζονται με άλλες ως ποσοστό των ΜΜΕ</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Innovative SMEs co-operating with others (percentage of all SMEs)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12,4</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10,3</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120,4%</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12,4</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120,4%</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14,80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11,20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132,1%</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14,8</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11,2</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132,1%</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lastRenderedPageBreak/>
              <w:t>Δημόσιες-ιδιωτικές συν-δημοσιεύσεις ανά εκατομμύριο πληθυσμού</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Public-private scientific co-publications per million population</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Δημοσιεύσεις ανά εκατομμύριο πληθυσμού</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16,5</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50,3</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32,8%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9,9</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33,9</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29,2%</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7,9</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28,7</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27,5%</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10,5</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40,9</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25,7%</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Ιδιωτική συγχρηματοδότηση δημοσίων δαπανών Ε&amp;Α (ποσοστό ΑΕΠ)</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 xml:space="preserve">Private co-funding of public R&amp;D expenditures (percentage of GDP) - </w:t>
            </w:r>
            <w:r w:rsidRPr="00646DDA">
              <w:rPr>
                <w:rFonts w:eastAsia="Times New Roman"/>
                <w:b/>
                <w:bCs/>
                <w:color w:val="000000"/>
                <w:sz w:val="16"/>
                <w:szCs w:val="16"/>
                <w:lang w:val="en-US" w:eastAsia="el-GR"/>
              </w:rPr>
              <w:t>NEW</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0,04</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0,05</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80,0%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0,04</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0,05</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80,0%</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Διανοητικά περιουσιακά στοιχεία</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Intellectual Assets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Αιτήσεις ευρεσιτεχνίας PCT ανά δισεκατομμύριο ΑΕγχΠ (σε ΜΑΔ €)</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PCT patent applications per billion GDP (in PPS€)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ΜΑΔ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0,35</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3,78</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9,3%</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0,55</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3,53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15,6%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0,55</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3,7</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14,9%</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0,49</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3,53</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13,9%</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Αιτήσεις ευρεσιτεχνίας PCT σε κοινωνικές προκλήσεις ανά δισεκατομμύριο ΑΕγχΠ (σε ΜΑΔ €)</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PCT patent applications in societal challenges per billion GDP (in PPS€)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ΜΑΔ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0,14</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0,98</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14,3%</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0,13</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1,01</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12,9%</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Κοινοτικά σήματα ανά δισεκατομμύριο ΑΕγχΠ (σε ΜΑΔ €)</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Trademark applications per billion GDP (in PPS€)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ΜΑΔ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2,73</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5,83</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46,8%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3,66</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6,09</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60,1%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4,58</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7,6</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60,3%</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4,92</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7,86</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62,6%</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Κοινοτικά σχέδια ανά δισεκατομμύριο ΑΕγχΠ (σε ΜΑΔ €)</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Design applications per billion GDP (in PPS€)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ΜΑΔ €</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0,24</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1,13</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21,2%</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0,98</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4,44</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22,1%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4,33</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30,0%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1,22</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4,44</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27,5%</w:t>
            </w:r>
          </w:p>
        </w:tc>
      </w:tr>
      <w:tr w:rsidR="00E75022" w:rsidRPr="00646DDA" w:rsidTr="00E75022">
        <w:trPr>
          <w:trHeight w:val="240"/>
        </w:trPr>
        <w:tc>
          <w:tcPr>
            <w:tcW w:w="898" w:type="pct"/>
            <w:tcBorders>
              <w:top w:val="nil"/>
              <w:left w:val="single" w:sz="8" w:space="0" w:color="808080"/>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III. ΔΕΙΚΤΕΣ ΑΠΟΤΕΛΕΣΜΑΤΩΝ</w:t>
            </w:r>
          </w:p>
        </w:tc>
        <w:tc>
          <w:tcPr>
            <w:tcW w:w="738"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7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auto" w:fill="auto"/>
            <w:noWrap/>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Καινοτόμοι οργανισμοί</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Innovators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ΜΜΕ που εισάγουν καινοτομίες προϊόντων ή διαδικασιών ως ποσοστό των ΜΜΕ</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SMEs introducing product or process innovations as percentage of SMEs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29,6</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30,6</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96,7%</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29,6</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30,6</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96,7%</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34,6</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30,9</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112,0%</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34,6</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30,9</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112,0%</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ΜΜΕ που εισάγουν καινοτομίες μάρκετινγκ ή οργανωτικές καινοτομίες ως ποσοστό των ΜΜΕ</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SMEs introducing marketing or organisational innovations as percentage of SMEs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45,00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36,20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124,3%</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45,00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36,20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B050"/>
                <w:sz w:val="16"/>
                <w:szCs w:val="16"/>
                <w:lang w:eastAsia="el-GR"/>
              </w:rPr>
            </w:pPr>
            <w:r w:rsidRPr="00646DDA">
              <w:rPr>
                <w:rFonts w:eastAsia="Times New Roman"/>
                <w:b/>
                <w:bCs/>
                <w:i/>
                <w:iCs/>
                <w:color w:val="00B050"/>
                <w:sz w:val="16"/>
                <w:szCs w:val="16"/>
                <w:lang w:eastAsia="el-GR"/>
              </w:rPr>
              <w:t>124,3%</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40,10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34,90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114,9%</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40,10</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34,90</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114,9%</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Απασχόληση στις ταχέως αναπτυσσόμενες επιχειρήσεις καινοτόμων τομέων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Employment in fast-growing enterprises (percentage of total employment)</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16,80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17,90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93,9%</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15,20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18,80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80,9%</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Μ/Δ</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4,8</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#VALUE!</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Μ/Δ</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4,8</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#VALUE!</w:t>
            </w:r>
          </w:p>
        </w:tc>
      </w:tr>
      <w:tr w:rsidR="00E75022" w:rsidRPr="00646DDA" w:rsidTr="00E75022">
        <w:trPr>
          <w:trHeight w:val="255"/>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Οικονομικές επιπτώσεις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Economic Effects</w:t>
            </w:r>
          </w:p>
        </w:tc>
        <w:tc>
          <w:tcPr>
            <w:tcW w:w="37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19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30"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left"/>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4"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4"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Απασχόληση σε δραστηριότητες έντασης γνώσης (μεταποίηση και υπηρεσίες) ως ποσοστό της συνολικής απασχόλησης</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Employment in knowledge-intensive activities as percentage of total employment</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12,50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13,80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90,6%</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12,20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13,90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87,8%</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12,20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14,10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86,5%</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12,1</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14,2</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85,2%</w:t>
            </w:r>
          </w:p>
        </w:tc>
      </w:tr>
      <w:tr w:rsidR="00E75022" w:rsidRPr="00646DDA" w:rsidTr="00E75022">
        <w:trPr>
          <w:trHeight w:val="69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Συμβολή των εξαγωγών προϊόντων μέσης και υψηλής τεχνολογίας στο εμπορικό ισοζύγιο</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Exports of medium and high technology products as a share of total product exports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18,00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53,00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34,0%</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22,70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56,10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40,5%</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22,70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56,20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40,4%</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21,2</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56,7</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37,4%</w:t>
            </w:r>
          </w:p>
        </w:tc>
      </w:tr>
      <w:tr w:rsidR="00E75022" w:rsidRPr="00646DDA" w:rsidTr="00E75022">
        <w:trPr>
          <w:trHeight w:val="72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Εξαγωγές υπηρεσιών έντασης γνώσης, ως ποσοστό των συνολικών εξαγωγών υπηρεσιών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Knowledge-intensive services exports as percentage of total services exports</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53,90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49,50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108,9%</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51,80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63,10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82,1%</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44,40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69,30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64,1%</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42,2</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69,2</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61,0%</w:t>
            </w:r>
          </w:p>
        </w:tc>
      </w:tr>
      <w:tr w:rsidR="00E75022" w:rsidRPr="00646DDA" w:rsidTr="00E75022">
        <w:trPr>
          <w:trHeight w:val="480"/>
        </w:trPr>
        <w:tc>
          <w:tcPr>
            <w:tcW w:w="898" w:type="pct"/>
            <w:tcBorders>
              <w:top w:val="nil"/>
              <w:left w:val="single" w:sz="8" w:space="0" w:color="808080"/>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Πωλήσεις νέων στην αγορά και νέων στην επιχείρηση προϊόντων ως ποσοστό του κύκλου εργασιών</w:t>
            </w:r>
          </w:p>
        </w:tc>
        <w:tc>
          <w:tcPr>
            <w:tcW w:w="738"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Sales of new-to-market and new-to-firm innovations as percentage of turnover</w:t>
            </w:r>
          </w:p>
        </w:tc>
        <w:tc>
          <w:tcPr>
            <w:tcW w:w="37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11,80</w:t>
            </w:r>
          </w:p>
        </w:tc>
        <w:tc>
          <w:tcPr>
            <w:tcW w:w="19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12,40</w:t>
            </w:r>
          </w:p>
        </w:tc>
        <w:tc>
          <w:tcPr>
            <w:tcW w:w="230"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95,2%</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11,80</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12,40</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95,2%</w:t>
            </w:r>
          </w:p>
        </w:tc>
        <w:tc>
          <w:tcPr>
            <w:tcW w:w="20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12,75</w:t>
            </w:r>
          </w:p>
        </w:tc>
        <w:tc>
          <w:tcPr>
            <w:tcW w:w="207"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13,37</w:t>
            </w:r>
          </w:p>
        </w:tc>
        <w:tc>
          <w:tcPr>
            <w:tcW w:w="261"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95,4%</w:t>
            </w:r>
          </w:p>
        </w:tc>
        <w:tc>
          <w:tcPr>
            <w:tcW w:w="395"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12,75</w:t>
            </w:r>
          </w:p>
        </w:tc>
        <w:tc>
          <w:tcPr>
            <w:tcW w:w="254" w:type="pct"/>
            <w:tcBorders>
              <w:top w:val="nil"/>
              <w:left w:val="nil"/>
              <w:bottom w:val="single" w:sz="4"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13,37</w:t>
            </w:r>
          </w:p>
        </w:tc>
        <w:tc>
          <w:tcPr>
            <w:tcW w:w="369" w:type="pct"/>
            <w:tcBorders>
              <w:top w:val="nil"/>
              <w:left w:val="nil"/>
              <w:bottom w:val="single" w:sz="4"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000000"/>
                <w:sz w:val="16"/>
                <w:szCs w:val="16"/>
                <w:lang w:eastAsia="el-GR"/>
              </w:rPr>
            </w:pPr>
            <w:r w:rsidRPr="00646DDA">
              <w:rPr>
                <w:rFonts w:eastAsia="Times New Roman"/>
                <w:b/>
                <w:bCs/>
                <w:i/>
                <w:iCs/>
                <w:color w:val="000000"/>
                <w:sz w:val="16"/>
                <w:szCs w:val="16"/>
                <w:lang w:eastAsia="el-GR"/>
              </w:rPr>
              <w:t>95,4%</w:t>
            </w:r>
          </w:p>
        </w:tc>
      </w:tr>
      <w:tr w:rsidR="00E75022" w:rsidRPr="00646DDA" w:rsidTr="00E75022">
        <w:trPr>
          <w:trHeight w:val="495"/>
        </w:trPr>
        <w:tc>
          <w:tcPr>
            <w:tcW w:w="898" w:type="pct"/>
            <w:tcBorders>
              <w:top w:val="nil"/>
              <w:left w:val="single" w:sz="8" w:space="0" w:color="808080"/>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eastAsia="el-GR"/>
              </w:rPr>
            </w:pPr>
            <w:r w:rsidRPr="00646DDA">
              <w:rPr>
                <w:rFonts w:eastAsia="Times New Roman"/>
                <w:color w:val="000000"/>
                <w:sz w:val="16"/>
                <w:szCs w:val="16"/>
                <w:lang w:eastAsia="el-GR"/>
              </w:rPr>
              <w:t>Έσοδα από άδειες και διπλώματα ευρεσιτεχνίας από το εξωτερικό ως ποσοστό του ΑΕΠ</w:t>
            </w:r>
          </w:p>
        </w:tc>
        <w:tc>
          <w:tcPr>
            <w:tcW w:w="738"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rPr>
                <w:rFonts w:eastAsia="Times New Roman"/>
                <w:color w:val="000000"/>
                <w:sz w:val="16"/>
                <w:szCs w:val="16"/>
                <w:lang w:val="en-US" w:eastAsia="el-GR"/>
              </w:rPr>
            </w:pPr>
            <w:r w:rsidRPr="00646DDA">
              <w:rPr>
                <w:rFonts w:eastAsia="Times New Roman"/>
                <w:color w:val="000000"/>
                <w:sz w:val="16"/>
                <w:szCs w:val="16"/>
                <w:lang w:val="en-US" w:eastAsia="el-GR"/>
              </w:rPr>
              <w:t>License and patent revenues from abroad as % of GDP</w:t>
            </w:r>
          </w:p>
        </w:tc>
        <w:tc>
          <w:tcPr>
            <w:tcW w:w="374"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color w:val="000000"/>
                <w:sz w:val="16"/>
                <w:szCs w:val="16"/>
                <w:lang w:eastAsia="el-GR"/>
              </w:rPr>
            </w:pPr>
            <w:r w:rsidRPr="00646DDA">
              <w:rPr>
                <w:rFonts w:eastAsia="Times New Roman"/>
                <w:color w:val="000000"/>
                <w:sz w:val="16"/>
                <w:szCs w:val="16"/>
                <w:lang w:eastAsia="el-GR"/>
              </w:rPr>
              <w:t>Ποσοστό</w:t>
            </w:r>
          </w:p>
        </w:tc>
        <w:tc>
          <w:tcPr>
            <w:tcW w:w="204"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0,02</w:t>
            </w:r>
          </w:p>
        </w:tc>
        <w:tc>
          <w:tcPr>
            <w:tcW w:w="194"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0,65</w:t>
            </w:r>
          </w:p>
        </w:tc>
        <w:tc>
          <w:tcPr>
            <w:tcW w:w="230" w:type="pct"/>
            <w:tcBorders>
              <w:top w:val="nil"/>
              <w:left w:val="nil"/>
              <w:bottom w:val="single" w:sz="8"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3,1%</w:t>
            </w:r>
          </w:p>
        </w:tc>
        <w:tc>
          <w:tcPr>
            <w:tcW w:w="204"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0,05</w:t>
            </w:r>
          </w:p>
        </w:tc>
        <w:tc>
          <w:tcPr>
            <w:tcW w:w="207" w:type="pct"/>
            <w:tcBorders>
              <w:top w:val="nil"/>
              <w:left w:val="nil"/>
              <w:bottom w:val="single" w:sz="8" w:space="0" w:color="808080"/>
              <w:right w:val="single" w:sz="4"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0,54</w:t>
            </w:r>
          </w:p>
        </w:tc>
        <w:tc>
          <w:tcPr>
            <w:tcW w:w="261" w:type="pct"/>
            <w:tcBorders>
              <w:top w:val="nil"/>
              <w:left w:val="nil"/>
              <w:bottom w:val="single" w:sz="8" w:space="0" w:color="808080"/>
              <w:right w:val="single" w:sz="8" w:space="0" w:color="808080"/>
            </w:tcBorders>
            <w:shd w:val="clear" w:color="auto" w:fill="auto"/>
            <w:vAlign w:val="center"/>
            <w:hideMark/>
          </w:tcPr>
          <w:p w:rsidR="00E75022" w:rsidRPr="00646DDA" w:rsidRDefault="00E75022" w:rsidP="00E75022">
            <w:pPr>
              <w:spacing w:before="0" w:line="240" w:lineRule="auto"/>
              <w:jc w:val="center"/>
              <w:rPr>
                <w:rFonts w:eastAsia="Times New Roman"/>
                <w:b/>
                <w:bCs/>
                <w:i/>
                <w:iCs/>
                <w:color w:val="FF0000"/>
                <w:sz w:val="16"/>
                <w:szCs w:val="16"/>
                <w:lang w:eastAsia="el-GR"/>
              </w:rPr>
            </w:pPr>
            <w:r w:rsidRPr="00646DDA">
              <w:rPr>
                <w:rFonts w:eastAsia="Times New Roman"/>
                <w:b/>
                <w:bCs/>
                <w:i/>
                <w:iCs/>
                <w:color w:val="FF0000"/>
                <w:sz w:val="16"/>
                <w:szCs w:val="16"/>
                <w:lang w:eastAsia="el-GR"/>
              </w:rPr>
              <w:t>9,3%</w:t>
            </w:r>
          </w:p>
        </w:tc>
        <w:tc>
          <w:tcPr>
            <w:tcW w:w="204" w:type="pct"/>
            <w:tcBorders>
              <w:top w:val="nil"/>
              <w:left w:val="nil"/>
              <w:bottom w:val="single" w:sz="8"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07" w:type="pct"/>
            <w:tcBorders>
              <w:top w:val="nil"/>
              <w:left w:val="nil"/>
              <w:bottom w:val="single" w:sz="8"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61" w:type="pct"/>
            <w:tcBorders>
              <w:top w:val="nil"/>
              <w:left w:val="nil"/>
              <w:bottom w:val="single" w:sz="8"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95" w:type="pct"/>
            <w:tcBorders>
              <w:top w:val="nil"/>
              <w:left w:val="nil"/>
              <w:bottom w:val="single" w:sz="8"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254" w:type="pct"/>
            <w:tcBorders>
              <w:top w:val="nil"/>
              <w:left w:val="nil"/>
              <w:bottom w:val="single" w:sz="8" w:space="0" w:color="808080"/>
              <w:right w:val="single" w:sz="4"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c>
          <w:tcPr>
            <w:tcW w:w="369" w:type="pct"/>
            <w:tcBorders>
              <w:top w:val="nil"/>
              <w:left w:val="nil"/>
              <w:bottom w:val="single" w:sz="8" w:space="0" w:color="808080"/>
              <w:right w:val="single" w:sz="8" w:space="0" w:color="808080"/>
            </w:tcBorders>
            <w:shd w:val="clear" w:color="000000" w:fill="BFBFBF"/>
            <w:vAlign w:val="center"/>
            <w:hideMark/>
          </w:tcPr>
          <w:p w:rsidR="00E75022" w:rsidRPr="00646DDA" w:rsidRDefault="00E75022" w:rsidP="00E75022">
            <w:pPr>
              <w:spacing w:before="0" w:line="240" w:lineRule="auto"/>
              <w:jc w:val="center"/>
              <w:rPr>
                <w:rFonts w:eastAsia="Times New Roman"/>
                <w:b/>
                <w:bCs/>
                <w:color w:val="000000"/>
                <w:sz w:val="16"/>
                <w:szCs w:val="16"/>
                <w:lang w:eastAsia="el-GR"/>
              </w:rPr>
            </w:pPr>
            <w:r w:rsidRPr="00646DDA">
              <w:rPr>
                <w:rFonts w:eastAsia="Times New Roman"/>
                <w:b/>
                <w:bCs/>
                <w:color w:val="000000"/>
                <w:sz w:val="16"/>
                <w:szCs w:val="16"/>
                <w:lang w:eastAsia="el-GR"/>
              </w:rPr>
              <w:t> </w:t>
            </w:r>
          </w:p>
        </w:tc>
      </w:tr>
    </w:tbl>
    <w:p w:rsidR="00D90118" w:rsidRDefault="00D90118" w:rsidP="00D90118">
      <w:pPr>
        <w:sectPr w:rsidR="00D90118" w:rsidSect="00E75022">
          <w:headerReference w:type="default" r:id="rId81"/>
          <w:footerReference w:type="default" r:id="rId82"/>
          <w:pgSz w:w="23814" w:h="16839" w:orient="landscape" w:code="8"/>
          <w:pgMar w:top="1800" w:right="1440" w:bottom="1800" w:left="1440" w:header="708" w:footer="708" w:gutter="0"/>
          <w:cols w:space="708"/>
          <w:docGrid w:linePitch="360"/>
        </w:sectPr>
      </w:pPr>
    </w:p>
    <w:p w:rsidR="00D90118" w:rsidRDefault="00D90118" w:rsidP="00D90118">
      <w:r w:rsidRPr="00D20A46">
        <w:lastRenderedPageBreak/>
        <w:t xml:space="preserve">Η ομάδα δεικτών του Innovation Union Scoreboard </w:t>
      </w:r>
      <w:r>
        <w:t>(</w:t>
      </w:r>
      <w:r>
        <w:rPr>
          <w:lang w:val="en-US"/>
        </w:rPr>
        <w:t>IUS</w:t>
      </w:r>
      <w:r w:rsidRPr="00796209">
        <w:t xml:space="preserve">) </w:t>
      </w:r>
      <w:r w:rsidRPr="00D20A46">
        <w:t>έχει σχεδιαστεί για την παρακολούθηση και τη συγκριτική αξιολόγηση των επιδόσεων των κρατών-μελών της ΕΕ στους τομείς της έρευνας και της καινοτομίας και χρησιμοποιείται από το Ευρωπαϊκό Συμβούλιο Ανταγωνιστικότητας</w:t>
      </w:r>
      <w:r>
        <w:t xml:space="preserve"> </w:t>
      </w:r>
      <w:r w:rsidRPr="00D920F5">
        <w:t>(</w:t>
      </w:r>
      <w:r>
        <w:rPr>
          <w:lang w:val="en-US"/>
        </w:rPr>
        <w:t>COMPET</w:t>
      </w:r>
      <w:r w:rsidRPr="00D920F5">
        <w:t>)</w:t>
      </w:r>
      <w:r w:rsidRPr="00796209">
        <w:t xml:space="preserve">. Οι δείκτες του </w:t>
      </w:r>
      <w:r>
        <w:rPr>
          <w:lang w:val="en-US"/>
        </w:rPr>
        <w:t>IUS</w:t>
      </w:r>
      <w:r w:rsidRPr="00796209">
        <w:t xml:space="preserve">, περιλαμβάνουν ένα σύμπλεγμα 25 δεικτών, οι οποίοι κατανέμονται σε 3 κύριες κατηγορίες και σε 9 "διαστάσεις της καινοτομίας". Με βάση αυτούς τους δείκτες οι χώρες-μέλη της ΕΕ χωρίζονται σε 4 ομάδες επίδοσης: Ηγέτες Καινοτομίας, Ισχυρά Καινοτόμες, Μέτρια Καινοτόμες και Ασθενώς Καινοτόμες. </w:t>
      </w:r>
      <w:r>
        <w:rPr>
          <w:lang w:val="en-US"/>
        </w:rPr>
        <w:t>H</w:t>
      </w:r>
      <w:r w:rsidRPr="00796209">
        <w:t xml:space="preserve"> </w:t>
      </w:r>
      <w:r>
        <w:t xml:space="preserve">Ελλάδα κατατάσσεται στις Μέτρια Καινοτόμες </w:t>
      </w:r>
      <w:r w:rsidRPr="00A303C0">
        <w:t>(</w:t>
      </w:r>
      <w:r>
        <w:rPr>
          <w:lang w:val="en-US"/>
        </w:rPr>
        <w:t>moderate</w:t>
      </w:r>
      <w:r w:rsidRPr="00A303C0">
        <w:t xml:space="preserve"> </w:t>
      </w:r>
      <w:r>
        <w:rPr>
          <w:lang w:val="en-US"/>
        </w:rPr>
        <w:t>innovator</w:t>
      </w:r>
      <w:r w:rsidRPr="00A303C0">
        <w:t>)</w:t>
      </w:r>
      <w:r>
        <w:t xml:space="preserve"> χώρες. </w:t>
      </w:r>
    </w:p>
    <w:p w:rsidR="00D90118" w:rsidRDefault="00D90118" w:rsidP="00D90118">
      <w:r>
        <w:t xml:space="preserve">Στον παραπάνω πίνακα, εμφανίζονται οι επιδόσεις/ τιμές των δεικτών </w:t>
      </w:r>
      <w:r>
        <w:rPr>
          <w:lang w:val="en-US"/>
        </w:rPr>
        <w:t>IUS</w:t>
      </w:r>
      <w:r>
        <w:t xml:space="preserve"> για κάθε ένα από τα έτη </w:t>
      </w:r>
      <w:r w:rsidRPr="00AF5EC5">
        <w:rPr>
          <w:b/>
        </w:rPr>
        <w:t>2014, 2015, 2016 και 2017</w:t>
      </w:r>
      <w:r>
        <w:t xml:space="preserve"> στη βάση στοιχείων που αντλήθηκαν για την Ελλάδα από τις αντίστοιχες Εκθέσεις (Α</w:t>
      </w:r>
      <w:r w:rsidRPr="0036560F">
        <w:t>nnual Eur</w:t>
      </w:r>
      <w:r>
        <w:t>opean Innovation Scoreboard</w:t>
      </w:r>
      <w:r w:rsidRPr="0036560F">
        <w:t>)</w:t>
      </w:r>
      <w:r>
        <w:t>.</w:t>
      </w:r>
    </w:p>
    <w:p w:rsidR="00D90118" w:rsidRDefault="00D90118" w:rsidP="00D90118">
      <w:r>
        <w:t xml:space="preserve">Για κάθε δείκτη πέρα από την ετήσια τιμή-επίδοση σε επίπεδο χώρας, εμφανίζεται η αντίστοιχη τιμή σε επίπεδο ενωσιακού μέσου όρου (28 Κράτη Μέλη) καθώς και το ποσοστό κάλυψης της τιμής του ενωσιακού μέσου όρου από την αντίστοιχη ελληνική τιμή-επίδοση. </w:t>
      </w:r>
    </w:p>
    <w:p w:rsidR="00D90118" w:rsidRDefault="00D90118" w:rsidP="00D90118">
      <w:r>
        <w:t xml:space="preserve">Στη βάση σύγκρισης των εθνικών τιμών-επιδόσεων των δεικτών με τις αντίστοιχες ενωσιακές, οποιαδήποτε εθνική επίδοση-τιμή δείκτη που είναι κάτω από το 80% του ενωσιακού μέσου όρου εμφανίζεται με </w:t>
      </w:r>
      <w:r w:rsidRPr="00BA17E3">
        <w:rPr>
          <w:b/>
          <w:color w:val="FF0000"/>
        </w:rPr>
        <w:t>κόκκινο χρώμα</w:t>
      </w:r>
      <w:r>
        <w:t xml:space="preserve">, ενώ όποια τιμή είναι πάνω από το 120% του ενωσιακού μέσου όρου εμφανίζεται με </w:t>
      </w:r>
      <w:r w:rsidRPr="00BA17E3">
        <w:rPr>
          <w:b/>
          <w:color w:val="538135" w:themeColor="accent6" w:themeShade="BF"/>
        </w:rPr>
        <w:t>πράσινο χρώμα</w:t>
      </w:r>
      <w:r>
        <w:t>.  Από τη σύγκριση αυτή εξάγονται τα εξής συμπεράσματα:</w:t>
      </w:r>
    </w:p>
    <w:p w:rsidR="00D90118" w:rsidRDefault="00D90118" w:rsidP="00D90118">
      <w:r>
        <w:t xml:space="preserve">Α) </w:t>
      </w:r>
      <w:r>
        <w:rPr>
          <w:u w:val="single"/>
        </w:rPr>
        <w:t>Τι</w:t>
      </w:r>
      <w:r w:rsidR="005D07E8">
        <w:rPr>
          <w:u w:val="single"/>
        </w:rPr>
        <w:t>ς</w:t>
      </w:r>
      <w:r>
        <w:rPr>
          <w:u w:val="single"/>
        </w:rPr>
        <w:t xml:space="preserve"> πλέον χαμηλές</w:t>
      </w:r>
      <w:r w:rsidRPr="00AB63F9">
        <w:rPr>
          <w:u w:val="single"/>
        </w:rPr>
        <w:t xml:space="preserve"> επιδόσεις σε σχέση με τον ενωσιακό μέσο όρο</w:t>
      </w:r>
      <w:r>
        <w:t xml:space="preserve"> (Ε</w:t>
      </w:r>
      <w:r>
        <w:rPr>
          <w:lang w:val="en-US"/>
        </w:rPr>
        <w:t>U</w:t>
      </w:r>
      <w:r>
        <w:t>-28) παρουσιάζει η χώρα στους εξής δείκτες, για την περίοδο αναφοράς:</w:t>
      </w:r>
    </w:p>
    <w:p w:rsidR="00D90118" w:rsidRDefault="00D90118" w:rsidP="00D90118"/>
    <w:tbl>
      <w:tblPr>
        <w:tblStyle w:val="TableGridLight1"/>
        <w:tblW w:w="9493" w:type="dxa"/>
        <w:tblLook w:val="04A0" w:firstRow="1" w:lastRow="0" w:firstColumn="1" w:lastColumn="0" w:noHBand="0" w:noVBand="1"/>
      </w:tblPr>
      <w:tblGrid>
        <w:gridCol w:w="2898"/>
        <w:gridCol w:w="6595"/>
      </w:tblGrid>
      <w:tr w:rsidR="00804D5C" w:rsidRPr="00804D5C" w:rsidTr="00FA2E5D">
        <w:trPr>
          <w:tblHeader/>
        </w:trPr>
        <w:tc>
          <w:tcPr>
            <w:tcW w:w="2898" w:type="dxa"/>
            <w:shd w:val="clear" w:color="auto" w:fill="E7E6E6" w:themeFill="background2"/>
          </w:tcPr>
          <w:p w:rsidR="00D90118" w:rsidRPr="00804D5C" w:rsidRDefault="00D90118" w:rsidP="00D21C6A">
            <w:pPr>
              <w:rPr>
                <w:b/>
                <w:color w:val="800000"/>
                <w:lang w:val="en-US"/>
              </w:rPr>
            </w:pPr>
            <w:r w:rsidRPr="00804D5C">
              <w:rPr>
                <w:b/>
                <w:color w:val="800000"/>
              </w:rPr>
              <w:t xml:space="preserve">Δείκτης </w:t>
            </w:r>
            <w:r w:rsidRPr="00804D5C">
              <w:rPr>
                <w:b/>
                <w:color w:val="800000"/>
                <w:lang w:val="en-US"/>
              </w:rPr>
              <w:t>IUS</w:t>
            </w:r>
          </w:p>
        </w:tc>
        <w:tc>
          <w:tcPr>
            <w:tcW w:w="6595" w:type="dxa"/>
            <w:shd w:val="clear" w:color="auto" w:fill="E7E6E6" w:themeFill="background2"/>
          </w:tcPr>
          <w:p w:rsidR="00D90118" w:rsidRPr="00804D5C" w:rsidRDefault="00D90118" w:rsidP="00D21C6A">
            <w:pPr>
              <w:rPr>
                <w:b/>
                <w:color w:val="800000"/>
              </w:rPr>
            </w:pPr>
            <w:r w:rsidRPr="00804D5C">
              <w:rPr>
                <w:b/>
                <w:color w:val="800000"/>
              </w:rPr>
              <w:t xml:space="preserve">Σχόλιο επίδοσης </w:t>
            </w:r>
          </w:p>
        </w:tc>
      </w:tr>
      <w:tr w:rsidR="00D90118" w:rsidTr="00FA2E5D">
        <w:tc>
          <w:tcPr>
            <w:tcW w:w="2898" w:type="dxa"/>
            <w:vAlign w:val="center"/>
          </w:tcPr>
          <w:p w:rsidR="00D90118" w:rsidRPr="00EC21A5" w:rsidRDefault="00D90118" w:rsidP="00D21C6A">
            <w:pPr>
              <w:jc w:val="left"/>
              <w:rPr>
                <w:i/>
                <w:sz w:val="16"/>
                <w:szCs w:val="16"/>
              </w:rPr>
            </w:pPr>
            <w:r w:rsidRPr="00781530">
              <w:rPr>
                <w:i/>
                <w:sz w:val="16"/>
                <w:szCs w:val="16"/>
              </w:rPr>
              <w:t>Επιχειρηματικά κεφάλαια (πρώιμο στάδιο, επέκτασης και αντικατάστασης) ως ποσοστό του ΑΕΠ</w:t>
            </w:r>
          </w:p>
        </w:tc>
        <w:tc>
          <w:tcPr>
            <w:tcW w:w="6595" w:type="dxa"/>
            <w:vAlign w:val="center"/>
          </w:tcPr>
          <w:p w:rsidR="00D90118" w:rsidRDefault="00D90118" w:rsidP="00D21C6A">
            <w:r>
              <w:t>Παρουσιάζει εξαιρετικά χαμηλό ποσοστό κάλυψης σε σχέση με τον ενωσιακό Μ.Ο που δεν ξεπερνά το 1,6% στα έτη της περιόδου αναφοράς.</w:t>
            </w:r>
          </w:p>
        </w:tc>
      </w:tr>
      <w:tr w:rsidR="00D90118" w:rsidTr="00FA2E5D">
        <w:tc>
          <w:tcPr>
            <w:tcW w:w="2898" w:type="dxa"/>
            <w:vAlign w:val="center"/>
          </w:tcPr>
          <w:p w:rsidR="00D90118" w:rsidRPr="00EC21A5" w:rsidRDefault="00D90118" w:rsidP="00D21C6A">
            <w:pPr>
              <w:jc w:val="left"/>
              <w:rPr>
                <w:i/>
                <w:sz w:val="16"/>
                <w:szCs w:val="16"/>
              </w:rPr>
            </w:pPr>
            <w:r w:rsidRPr="00EC21A5">
              <w:rPr>
                <w:i/>
                <w:sz w:val="16"/>
                <w:szCs w:val="16"/>
              </w:rPr>
              <w:t>Διδακτορικού επιπέδου φοιτητές από χώρες εκτός ΕΕ ως % του συνόλου των φοιτητών διδακτορικού διπλώματος</w:t>
            </w:r>
          </w:p>
        </w:tc>
        <w:tc>
          <w:tcPr>
            <w:tcW w:w="6595" w:type="dxa"/>
            <w:vAlign w:val="center"/>
          </w:tcPr>
          <w:p w:rsidR="00D90118" w:rsidRDefault="00D90118" w:rsidP="00D21C6A">
            <w:r>
              <w:t>Διαθέσιμα στοιχεία για το δείκτη έχει να επιδείξει η χώρα μόνο για το 2014, όπου η επίδοση είναι επίσης εξαιρετικά χαμηλή έναντι του ενωσιακού Μ.Ο. (4%)</w:t>
            </w:r>
          </w:p>
        </w:tc>
      </w:tr>
      <w:tr w:rsidR="00D90118" w:rsidTr="00FA2E5D">
        <w:tc>
          <w:tcPr>
            <w:tcW w:w="2898" w:type="dxa"/>
            <w:vAlign w:val="center"/>
          </w:tcPr>
          <w:p w:rsidR="00D90118" w:rsidRPr="00EC21A5" w:rsidRDefault="00D90118" w:rsidP="00D21C6A">
            <w:pPr>
              <w:jc w:val="left"/>
              <w:rPr>
                <w:i/>
                <w:sz w:val="16"/>
                <w:szCs w:val="16"/>
              </w:rPr>
            </w:pPr>
            <w:r w:rsidRPr="00E547C0">
              <w:rPr>
                <w:i/>
                <w:sz w:val="16"/>
                <w:szCs w:val="16"/>
              </w:rPr>
              <w:t>Έσοδα από άδειες και διπλώματα ευρεσιτεχνίας από το εξωτερικό ως ποσοστό του ΑΕΠ</w:t>
            </w:r>
          </w:p>
        </w:tc>
        <w:tc>
          <w:tcPr>
            <w:tcW w:w="6595" w:type="dxa"/>
            <w:vAlign w:val="center"/>
          </w:tcPr>
          <w:p w:rsidR="00D90118" w:rsidRPr="00E547C0" w:rsidRDefault="00D90118" w:rsidP="00D21C6A">
            <w:r>
              <w:t>Το ποσοστό κάλυψης του ενωσιακού μέσου όρου είναι πολύ χαμηλό. Μόλις  3,1% για το 2014 και 9,3% για το 2015.</w:t>
            </w:r>
          </w:p>
        </w:tc>
      </w:tr>
      <w:tr w:rsidR="00D90118" w:rsidTr="00FA2E5D">
        <w:tc>
          <w:tcPr>
            <w:tcW w:w="2898" w:type="dxa"/>
            <w:vAlign w:val="center"/>
          </w:tcPr>
          <w:p w:rsidR="00D90118" w:rsidRPr="00EC21A5" w:rsidRDefault="00D90118" w:rsidP="00D21C6A">
            <w:pPr>
              <w:jc w:val="left"/>
              <w:rPr>
                <w:i/>
                <w:sz w:val="16"/>
                <w:szCs w:val="16"/>
              </w:rPr>
            </w:pPr>
            <w:r w:rsidRPr="00EC21A5">
              <w:rPr>
                <w:i/>
                <w:sz w:val="16"/>
                <w:szCs w:val="16"/>
              </w:rPr>
              <w:t>Αιτήσεις ευρεσιτεχνίας PCT ανά δισεκατομμύριο ΑΕγχΠ (σε ΜΑΔ €)</w:t>
            </w:r>
          </w:p>
        </w:tc>
        <w:tc>
          <w:tcPr>
            <w:tcW w:w="6595" w:type="dxa"/>
            <w:vAlign w:val="center"/>
          </w:tcPr>
          <w:p w:rsidR="00D90118" w:rsidRPr="00AB63F9" w:rsidRDefault="00D90118" w:rsidP="00D21C6A">
            <w:r>
              <w:t>Το ποσοστό κάλυψης σχέση με τον ενωσιακό Μ.Ο.</w:t>
            </w:r>
            <w:r w:rsidRPr="00AB63F9">
              <w:t xml:space="preserve"> </w:t>
            </w:r>
            <w:r>
              <w:t>κυμαίνεται από 9,3% το 2014 έως 13,9% το 2017. Η τιμή του δείκτη παρουσιάζει αυξητικές στάσεις υπολείπεται ωστόσο κατά πολύ του ενωσιακού Μ.Ο.</w:t>
            </w:r>
          </w:p>
        </w:tc>
      </w:tr>
      <w:tr w:rsidR="00D90118" w:rsidTr="00FA2E5D">
        <w:tc>
          <w:tcPr>
            <w:tcW w:w="2898" w:type="dxa"/>
            <w:vAlign w:val="center"/>
          </w:tcPr>
          <w:p w:rsidR="00D90118" w:rsidRPr="00EC21A5" w:rsidRDefault="00D90118" w:rsidP="00D21C6A">
            <w:pPr>
              <w:jc w:val="left"/>
              <w:rPr>
                <w:i/>
              </w:rPr>
            </w:pPr>
            <w:r w:rsidRPr="00EC21A5">
              <w:rPr>
                <w:i/>
                <w:sz w:val="16"/>
                <w:szCs w:val="16"/>
              </w:rPr>
              <w:t>Κοινοτικά σχέδια ανά δισεκατομμύριο ΑΕγχΠ (σε ΜΑΔ €)</w:t>
            </w:r>
          </w:p>
        </w:tc>
        <w:tc>
          <w:tcPr>
            <w:tcW w:w="6595" w:type="dxa"/>
            <w:vAlign w:val="center"/>
          </w:tcPr>
          <w:p w:rsidR="00D90118" w:rsidRDefault="00D90118" w:rsidP="00D21C6A">
            <w:r>
              <w:t>Το ποσοστό κάλυψης σχέση με τον ενωσιακό Μ.Ο.</w:t>
            </w:r>
            <w:r w:rsidRPr="00AB63F9">
              <w:t xml:space="preserve"> </w:t>
            </w:r>
            <w:r>
              <w:t>κυμαίνεται από 21,2% το 2014 έως 30% το 2016, που συνιστά μια αρκετά μέτρια επίδοση.</w:t>
            </w:r>
          </w:p>
        </w:tc>
      </w:tr>
      <w:tr w:rsidR="00D90118" w:rsidTr="00FA2E5D">
        <w:tc>
          <w:tcPr>
            <w:tcW w:w="2898" w:type="dxa"/>
            <w:vAlign w:val="center"/>
          </w:tcPr>
          <w:p w:rsidR="00D90118" w:rsidRPr="00EC21A5" w:rsidRDefault="00D90118" w:rsidP="00D21C6A">
            <w:pPr>
              <w:jc w:val="left"/>
              <w:rPr>
                <w:i/>
                <w:sz w:val="16"/>
                <w:szCs w:val="16"/>
              </w:rPr>
            </w:pPr>
            <w:r w:rsidRPr="006D3637">
              <w:rPr>
                <w:i/>
                <w:sz w:val="16"/>
                <w:szCs w:val="16"/>
              </w:rPr>
              <w:t>Δαπάνες για Ε&amp;Α στον τομέα των επιχειρήσεων ως ποσοστό του ΑΕΠ</w:t>
            </w:r>
          </w:p>
        </w:tc>
        <w:tc>
          <w:tcPr>
            <w:tcW w:w="6595" w:type="dxa"/>
            <w:vAlign w:val="center"/>
          </w:tcPr>
          <w:p w:rsidR="00D90118" w:rsidRDefault="00D90118" w:rsidP="00D21C6A">
            <w:r>
              <w:t>Το ποσοστό κάλυψης σχέση με τον ενωσιακό Μ.Ο.</w:t>
            </w:r>
            <w:r w:rsidRPr="00AB63F9">
              <w:t xml:space="preserve"> </w:t>
            </w:r>
            <w:r>
              <w:t>κυμαίνεται από 20,9% το 2014 έως 32,6% το 2017, Πρόκειται για μια αρκετά μέτρια επίδοση που ωστόσο παρουσιάζει τάσεις βελτίωσης.</w:t>
            </w:r>
          </w:p>
        </w:tc>
      </w:tr>
      <w:tr w:rsidR="00D90118" w:rsidTr="00FA2E5D">
        <w:tc>
          <w:tcPr>
            <w:tcW w:w="2898" w:type="dxa"/>
            <w:vAlign w:val="center"/>
          </w:tcPr>
          <w:p w:rsidR="00D90118" w:rsidRPr="00EC21A5" w:rsidRDefault="00D90118" w:rsidP="00D21C6A">
            <w:pPr>
              <w:jc w:val="left"/>
              <w:rPr>
                <w:i/>
                <w:sz w:val="16"/>
                <w:szCs w:val="16"/>
              </w:rPr>
            </w:pPr>
            <w:r w:rsidRPr="006D3637">
              <w:rPr>
                <w:i/>
                <w:sz w:val="16"/>
                <w:szCs w:val="16"/>
              </w:rPr>
              <w:t>Δημόσιες-ιδιωτικές συν-δημοσιεύσεις ανά εκατομμύριο πληθυσμού</w:t>
            </w:r>
          </w:p>
        </w:tc>
        <w:tc>
          <w:tcPr>
            <w:tcW w:w="6595" w:type="dxa"/>
            <w:vAlign w:val="center"/>
          </w:tcPr>
          <w:p w:rsidR="00D90118" w:rsidRDefault="00D90118" w:rsidP="00D21C6A">
            <w:r>
              <w:t>Η απόσταση από τον ενωσιακό Μ.Ο. αυξάνεται από 2014 (32,8% ποσοστό κάλυψης) έως το 2017 (25,7%)</w:t>
            </w:r>
          </w:p>
        </w:tc>
      </w:tr>
      <w:tr w:rsidR="00D90118" w:rsidTr="00FA2E5D">
        <w:tc>
          <w:tcPr>
            <w:tcW w:w="2898" w:type="dxa"/>
            <w:vAlign w:val="center"/>
          </w:tcPr>
          <w:p w:rsidR="00D90118" w:rsidRPr="00EC21A5" w:rsidRDefault="00D90118" w:rsidP="00D21C6A">
            <w:pPr>
              <w:jc w:val="left"/>
              <w:rPr>
                <w:i/>
              </w:rPr>
            </w:pPr>
            <w:r w:rsidRPr="00EC21A5">
              <w:rPr>
                <w:i/>
                <w:sz w:val="16"/>
                <w:szCs w:val="16"/>
              </w:rPr>
              <w:t>Συμβολή των εξαγωγών προϊόντων μέσης και υψηλής τεχνολογίας στο εμπορικό ισοζύγιο</w:t>
            </w:r>
          </w:p>
        </w:tc>
        <w:tc>
          <w:tcPr>
            <w:tcW w:w="6595" w:type="dxa"/>
            <w:vAlign w:val="center"/>
          </w:tcPr>
          <w:p w:rsidR="00D90118" w:rsidRDefault="00D90118" w:rsidP="00D21C6A">
            <w:r>
              <w:t>Το ποσοστό κάλυψης κυμαίνεται από 34% (2014) έως 40,5% (2015). Τα έτη 2016 και 2017 ο δείκτης παρουσιάζει μια ελαφριά επιπλέον απόκλιση σε σχέση με τον ενωσιακό Μ.Ο.</w:t>
            </w:r>
          </w:p>
        </w:tc>
      </w:tr>
      <w:tr w:rsidR="00D90118" w:rsidTr="00FA2E5D">
        <w:tc>
          <w:tcPr>
            <w:tcW w:w="2898" w:type="dxa"/>
            <w:vAlign w:val="center"/>
          </w:tcPr>
          <w:p w:rsidR="00D90118" w:rsidRDefault="00D90118" w:rsidP="00D21C6A">
            <w:pPr>
              <w:jc w:val="left"/>
            </w:pPr>
            <w:r w:rsidRPr="00A037E3">
              <w:rPr>
                <w:i/>
                <w:sz w:val="16"/>
                <w:szCs w:val="16"/>
              </w:rPr>
              <w:t>Κοινοτικά σήματα ανά δισεκατομμύριο ΑΕγχΠ (σε ΜΑΔ €)</w:t>
            </w:r>
          </w:p>
        </w:tc>
        <w:tc>
          <w:tcPr>
            <w:tcW w:w="6595" w:type="dxa"/>
            <w:vAlign w:val="center"/>
          </w:tcPr>
          <w:p w:rsidR="00D90118" w:rsidRDefault="00D90118" w:rsidP="00D21C6A">
            <w:r>
              <w:t xml:space="preserve">Η τιμή του δείκτη παρουσιάζει μέτρια επίδοση σε σχέση με τον ενωσιακό </w:t>
            </w:r>
            <w:r>
              <w:lastRenderedPageBreak/>
              <w:t>Μ.Ο, αλλά και σταδιακή βελτίωση εφόσον το 2017 το ποσοστό κάλυψης φθάνει το 62,6% σε σχέση με το αντίστοιχο ποσοστό του 2014 (46,8%).</w:t>
            </w:r>
          </w:p>
        </w:tc>
      </w:tr>
      <w:tr w:rsidR="00D90118" w:rsidTr="00FA2E5D">
        <w:tc>
          <w:tcPr>
            <w:tcW w:w="2898" w:type="dxa"/>
            <w:vAlign w:val="center"/>
          </w:tcPr>
          <w:p w:rsidR="00D90118" w:rsidRPr="009C5671" w:rsidRDefault="00D90118" w:rsidP="00D21C6A">
            <w:pPr>
              <w:rPr>
                <w:i/>
              </w:rPr>
            </w:pPr>
            <w:r w:rsidRPr="009C5671">
              <w:rPr>
                <w:i/>
              </w:rPr>
              <w:lastRenderedPageBreak/>
              <w:t>Επιχειρήσεις που παρέχουν εκπαίδευση αναβάθμισης ικανοτήτων ΤΠΕ στο προσωπικό τους</w:t>
            </w:r>
          </w:p>
        </w:tc>
        <w:tc>
          <w:tcPr>
            <w:tcW w:w="6595" w:type="dxa"/>
            <w:vAlign w:val="center"/>
          </w:tcPr>
          <w:p w:rsidR="00D90118" w:rsidRPr="006B77ED" w:rsidRDefault="00D90118" w:rsidP="00D21C6A">
            <w:r>
              <w:t xml:space="preserve">Ο δείκτης ενσωματώθηκε στο </w:t>
            </w:r>
            <w:r>
              <w:rPr>
                <w:lang w:val="en-US"/>
              </w:rPr>
              <w:t>IUS</w:t>
            </w:r>
            <w:r w:rsidRPr="006B77ED">
              <w:t xml:space="preserve"> </w:t>
            </w:r>
            <w:r>
              <w:t>μετά το 2016. Το ποσοστό κάλυψης του ενωσιακού Μ.Ο ανέρχεται περίπου στο 68% για το 2016 και 57% για το 2017.</w:t>
            </w:r>
          </w:p>
        </w:tc>
      </w:tr>
      <w:tr w:rsidR="00D90118" w:rsidTr="00FA2E5D">
        <w:tc>
          <w:tcPr>
            <w:tcW w:w="2898" w:type="dxa"/>
            <w:vAlign w:val="center"/>
          </w:tcPr>
          <w:p w:rsidR="00D90118" w:rsidRPr="00781530" w:rsidRDefault="00D90118" w:rsidP="00D21C6A">
            <w:pPr>
              <w:rPr>
                <w:i/>
              </w:rPr>
            </w:pPr>
            <w:r>
              <w:rPr>
                <w:i/>
              </w:rPr>
              <w:t>Δαπάνες Ε&amp;Α στο δημόσιο τομέα ως ποσοστό του ΑΕΠ</w:t>
            </w:r>
          </w:p>
        </w:tc>
        <w:tc>
          <w:tcPr>
            <w:tcW w:w="6595" w:type="dxa"/>
            <w:vAlign w:val="center"/>
          </w:tcPr>
          <w:p w:rsidR="00D90118" w:rsidRDefault="00D90118" w:rsidP="00D21C6A">
            <w:r>
              <w:t>Το ποσοστό κάλυψης του δείκτη έναντι του ενωσιακού Μ.Ο παρουσιάζει διακυμάνσεις με μέγιστη τιμή το 88,7% (2017) και ελάχιστη το 69,4% (2014)</w:t>
            </w:r>
          </w:p>
        </w:tc>
      </w:tr>
      <w:tr w:rsidR="00D90118" w:rsidTr="00FA2E5D">
        <w:tc>
          <w:tcPr>
            <w:tcW w:w="2898" w:type="dxa"/>
            <w:vAlign w:val="center"/>
          </w:tcPr>
          <w:p w:rsidR="00D90118" w:rsidRDefault="00D90118" w:rsidP="00D21C6A">
            <w:r w:rsidRPr="00781530">
              <w:rPr>
                <w:i/>
              </w:rPr>
              <w:t>Εξαγωγές υπηρεσιών έντασης γνώσης, ως ποσοστό των συνολικών εξαγωγών υπηρεσιών</w:t>
            </w:r>
          </w:p>
        </w:tc>
        <w:tc>
          <w:tcPr>
            <w:tcW w:w="6595" w:type="dxa"/>
            <w:vAlign w:val="center"/>
          </w:tcPr>
          <w:p w:rsidR="00D90118" w:rsidRDefault="00D90118" w:rsidP="00D21C6A">
            <w:r>
              <w:t xml:space="preserve">Η επίδοση του δείκτη παρουσιάζει σημαντική σταδιακή μείωση: από το 109%  ως ποσοστό κάλυψης του ενωσιακού Μ.Ο το 2014, στο 61% το 2017. </w:t>
            </w:r>
          </w:p>
        </w:tc>
      </w:tr>
    </w:tbl>
    <w:p w:rsidR="00D90118" w:rsidRDefault="00D90118" w:rsidP="00D90118"/>
    <w:p w:rsidR="00D90118" w:rsidRDefault="00D90118" w:rsidP="00D90118">
      <w:r>
        <w:t xml:space="preserve">Β) </w:t>
      </w:r>
      <w:r>
        <w:rPr>
          <w:u w:val="single"/>
        </w:rPr>
        <w:t xml:space="preserve">Τις πλέον υψηλές </w:t>
      </w:r>
      <w:r w:rsidRPr="00AB63F9">
        <w:rPr>
          <w:u w:val="single"/>
        </w:rPr>
        <w:t xml:space="preserve"> επιδόσεις σε σχέση με τον ενωσιακό μέσο όρο</w:t>
      </w:r>
      <w:r>
        <w:t xml:space="preserve"> (Ε</w:t>
      </w:r>
      <w:r>
        <w:rPr>
          <w:lang w:val="en-US"/>
        </w:rPr>
        <w:t>U</w:t>
      </w:r>
      <w:r>
        <w:t>-28) παρουσιάζει η χώρα στους εξής δείκτες, για την περίοδο αναφοράς:</w:t>
      </w:r>
    </w:p>
    <w:p w:rsidR="00D90118" w:rsidRDefault="00D90118" w:rsidP="00D90118"/>
    <w:tbl>
      <w:tblPr>
        <w:tblStyle w:val="TableGridLight1"/>
        <w:tblW w:w="9493" w:type="dxa"/>
        <w:tblLook w:val="04A0" w:firstRow="1" w:lastRow="0" w:firstColumn="1" w:lastColumn="0" w:noHBand="0" w:noVBand="1"/>
      </w:tblPr>
      <w:tblGrid>
        <w:gridCol w:w="2830"/>
        <w:gridCol w:w="6663"/>
      </w:tblGrid>
      <w:tr w:rsidR="00D90118" w:rsidTr="008E6EE8">
        <w:trPr>
          <w:tblHeader/>
        </w:trPr>
        <w:tc>
          <w:tcPr>
            <w:tcW w:w="2830" w:type="dxa"/>
            <w:shd w:val="clear" w:color="auto" w:fill="E7E6E6" w:themeFill="background2"/>
          </w:tcPr>
          <w:p w:rsidR="00D90118" w:rsidRPr="00CA2D52" w:rsidRDefault="00D90118" w:rsidP="00D21C6A">
            <w:pPr>
              <w:rPr>
                <w:b/>
                <w:color w:val="538135" w:themeColor="accent6" w:themeShade="BF"/>
                <w:lang w:val="en-US"/>
              </w:rPr>
            </w:pPr>
            <w:r w:rsidRPr="00CA2D52">
              <w:rPr>
                <w:b/>
                <w:color w:val="538135" w:themeColor="accent6" w:themeShade="BF"/>
              </w:rPr>
              <w:t xml:space="preserve">Δείκτης </w:t>
            </w:r>
            <w:r w:rsidRPr="00CA2D52">
              <w:rPr>
                <w:b/>
                <w:color w:val="538135" w:themeColor="accent6" w:themeShade="BF"/>
                <w:lang w:val="en-US"/>
              </w:rPr>
              <w:t>IUS</w:t>
            </w:r>
          </w:p>
        </w:tc>
        <w:tc>
          <w:tcPr>
            <w:tcW w:w="6663" w:type="dxa"/>
            <w:shd w:val="clear" w:color="auto" w:fill="E7E6E6" w:themeFill="background2"/>
          </w:tcPr>
          <w:p w:rsidR="00D90118" w:rsidRPr="00CA2D52" w:rsidRDefault="00D90118" w:rsidP="00D21C6A">
            <w:pPr>
              <w:rPr>
                <w:b/>
                <w:color w:val="538135" w:themeColor="accent6" w:themeShade="BF"/>
              </w:rPr>
            </w:pPr>
            <w:r w:rsidRPr="00CA2D52">
              <w:rPr>
                <w:b/>
                <w:color w:val="538135" w:themeColor="accent6" w:themeShade="BF"/>
              </w:rPr>
              <w:t xml:space="preserve">Σχόλιο επίδοσης </w:t>
            </w:r>
          </w:p>
        </w:tc>
      </w:tr>
      <w:tr w:rsidR="00D90118" w:rsidTr="00FA2E5D">
        <w:tc>
          <w:tcPr>
            <w:tcW w:w="2830" w:type="dxa"/>
            <w:vAlign w:val="center"/>
          </w:tcPr>
          <w:p w:rsidR="00D90118" w:rsidRPr="00EC21A5" w:rsidRDefault="00D90118" w:rsidP="00D21C6A">
            <w:pPr>
              <w:jc w:val="left"/>
              <w:rPr>
                <w:i/>
                <w:sz w:val="16"/>
                <w:szCs w:val="16"/>
              </w:rPr>
            </w:pPr>
            <w:r w:rsidRPr="00BA2420">
              <w:rPr>
                <w:i/>
                <w:sz w:val="16"/>
                <w:szCs w:val="16"/>
              </w:rPr>
              <w:t>Διεθνείς επιστημονικές συν-δημοσιεύσεις ανά εκατομμύριο πληθυσμού</w:t>
            </w:r>
          </w:p>
        </w:tc>
        <w:tc>
          <w:tcPr>
            <w:tcW w:w="6663" w:type="dxa"/>
            <w:vAlign w:val="center"/>
          </w:tcPr>
          <w:p w:rsidR="00D90118" w:rsidRDefault="00D90118" w:rsidP="00D21C6A">
            <w:r>
              <w:t>Το 2014 η τιμή του δείκτη παρουσίασε εξαιρετική επίδοση σε σχέση με τον ενωσιακό Μ.Ο. (170,8%). Τα επόμενα έτη ωστόσο η επίδοση αυτή μειώνεται και φθάνει περίπου στο 120%.</w:t>
            </w:r>
          </w:p>
        </w:tc>
      </w:tr>
      <w:tr w:rsidR="00D90118" w:rsidTr="00FA2E5D">
        <w:tc>
          <w:tcPr>
            <w:tcW w:w="2830" w:type="dxa"/>
            <w:vAlign w:val="center"/>
          </w:tcPr>
          <w:p w:rsidR="00D90118" w:rsidRPr="00EC21A5" w:rsidRDefault="00D90118" w:rsidP="00D21C6A">
            <w:pPr>
              <w:jc w:val="left"/>
              <w:rPr>
                <w:i/>
                <w:sz w:val="16"/>
                <w:szCs w:val="16"/>
              </w:rPr>
            </w:pPr>
            <w:r w:rsidRPr="00AD5B23">
              <w:rPr>
                <w:i/>
                <w:sz w:val="16"/>
                <w:szCs w:val="16"/>
              </w:rPr>
              <w:t>Καινοτόμες ΜΜΕ που συνεργάζονται με άλλες ως ποσοστό των ΜΜΕ</w:t>
            </w:r>
          </w:p>
        </w:tc>
        <w:tc>
          <w:tcPr>
            <w:tcW w:w="6663" w:type="dxa"/>
            <w:vAlign w:val="center"/>
          </w:tcPr>
          <w:p w:rsidR="00D90118" w:rsidRDefault="00D90118" w:rsidP="00D21C6A">
            <w:r>
              <w:t>Η επίδοση της τιμής του δείκτη έναντι του ενωσιακού Μ.Ο είναι 120% για τα έτη 2014 και 2015 και 132,1% για τα έτη 2016 και 2017.</w:t>
            </w:r>
          </w:p>
        </w:tc>
      </w:tr>
      <w:tr w:rsidR="00D90118" w:rsidTr="00FA2E5D">
        <w:tc>
          <w:tcPr>
            <w:tcW w:w="2830" w:type="dxa"/>
            <w:vAlign w:val="center"/>
          </w:tcPr>
          <w:p w:rsidR="00D90118" w:rsidRPr="00EC21A5" w:rsidRDefault="00D90118" w:rsidP="00D21C6A">
            <w:pPr>
              <w:jc w:val="left"/>
              <w:rPr>
                <w:i/>
                <w:sz w:val="16"/>
                <w:szCs w:val="16"/>
              </w:rPr>
            </w:pPr>
            <w:r w:rsidRPr="00AD5B23">
              <w:rPr>
                <w:i/>
                <w:sz w:val="16"/>
                <w:szCs w:val="16"/>
              </w:rPr>
              <w:t>Δαπάνες των επιχειρήσεων για καινοτομία, εξαιρουμένων των δαπανών Ε&amp;Α, ως ποσοστό του κύκλου εργασιών</w:t>
            </w:r>
          </w:p>
        </w:tc>
        <w:tc>
          <w:tcPr>
            <w:tcW w:w="6663" w:type="dxa"/>
            <w:vAlign w:val="center"/>
          </w:tcPr>
          <w:p w:rsidR="00D90118" w:rsidRPr="00E547C0" w:rsidRDefault="00D90118" w:rsidP="00D21C6A">
            <w:r>
              <w:t>Η επίδοση της τιμής του δείκτη έναντι του ενωσιακού Μ.Ο είναι 126,1% για τα έτη 2014 και 2015, ωστόσο η επίδοση αυτή πέφτει στο 100% τα έτη 2016 και 2017.</w:t>
            </w:r>
          </w:p>
        </w:tc>
      </w:tr>
      <w:tr w:rsidR="00D90118" w:rsidTr="00FA2E5D">
        <w:tc>
          <w:tcPr>
            <w:tcW w:w="2830" w:type="dxa"/>
            <w:vAlign w:val="center"/>
          </w:tcPr>
          <w:p w:rsidR="00D90118" w:rsidRPr="00EC21A5" w:rsidRDefault="00D90118" w:rsidP="00D21C6A">
            <w:pPr>
              <w:jc w:val="left"/>
              <w:rPr>
                <w:i/>
                <w:sz w:val="16"/>
                <w:szCs w:val="16"/>
              </w:rPr>
            </w:pPr>
            <w:r w:rsidRPr="00A849BF">
              <w:rPr>
                <w:i/>
                <w:sz w:val="16"/>
                <w:szCs w:val="16"/>
              </w:rPr>
              <w:t>ΜΜΕ που εισάγουν καινοτομίες μάρκετινγκ ή οργανωτικές καινοτομίες ως ποσοστό των ΜΜΕ</w:t>
            </w:r>
          </w:p>
        </w:tc>
        <w:tc>
          <w:tcPr>
            <w:tcW w:w="6663" w:type="dxa"/>
            <w:vAlign w:val="center"/>
          </w:tcPr>
          <w:p w:rsidR="00D90118" w:rsidRPr="00AB63F9" w:rsidRDefault="00D90118" w:rsidP="00D21C6A">
            <w:r>
              <w:t>Η επίδοση της τιμής του δείκτη έναντι του ενωσιακού Μ.Ο είναι 124 % για τα έτη 2014 και 2015, ωστόσο η επίδοση αυτή πέφτει στο 115% τα έτη 2016 και 2017.</w:t>
            </w:r>
          </w:p>
        </w:tc>
      </w:tr>
    </w:tbl>
    <w:p w:rsidR="00D90118" w:rsidRDefault="00D90118" w:rsidP="00D90118"/>
    <w:p w:rsidR="00EB5844" w:rsidRDefault="00EB5844" w:rsidP="00EB5844">
      <w:pPr>
        <w:pStyle w:val="Heading1"/>
      </w:pPr>
      <w:bookmarkStart w:id="76" w:name="_Toc22645133"/>
      <w:r>
        <w:t>Διαδικασία επιχειρηματικής ανακάλυψης</w:t>
      </w:r>
      <w:bookmarkEnd w:id="76"/>
    </w:p>
    <w:p w:rsidR="00624DF3" w:rsidRPr="00624DF3" w:rsidRDefault="00624DF3" w:rsidP="00624DF3">
      <w:r w:rsidRPr="00624DF3">
        <w:t xml:space="preserve">Το  νέο  αναπτυξιακό πρότυπο της χώρας «Ελλάδα 2020» αναγνωρίζει και καταγράφει  στρατηγικούς τομείς παραγωγικούς, ανταγωνιστικούς και εν δυνάμει εξωστρεφείς  και καινοτόμους, τους οποίους η ΓΓΕΤ ανέλαβε να διερευνήσει και εμβαθύνει περαιτέρω, μέσα από τη στρατηγική της έξυπνης εξειδίκευσης συμβάλλοντας στη γενικότερη αναπτυξιακή προσπάθεια της χώρας.  </w:t>
      </w:r>
    </w:p>
    <w:p w:rsidR="00624DF3" w:rsidRDefault="00624DF3" w:rsidP="00624DF3">
      <w:r w:rsidRPr="00624DF3">
        <w:t>Έξυπνη εξειδίκευση σημαίνει εντοπισμός των μοναδικών χαρακτηριστικών και μέσων κάθε χώρας και περιφέρειας</w:t>
      </w:r>
      <w:r w:rsidR="00271818">
        <w:t xml:space="preserve">, επισημαίνοντας τα συγκριτικά </w:t>
      </w:r>
      <w:r w:rsidRPr="00624DF3">
        <w:t xml:space="preserve">ανταγωνιστικά πλεονεκτήματά τους, και συγκεντρώνοντας τοπικούς παράγοντες και πόρους γύρω από ένα όραμα για το μέλλον τους,  που άγεται από την αριστεία και την εξωστρέφεια». Η πορεία που ακολουθήθηκε μέχρι τώρα για τη διαμόρφωση της Στρατηγικής της Έξυπνης Εξειδίκευσης  αποτυπώνεται στο ακόλουθο </w:t>
      </w:r>
      <w:r w:rsidR="0065623E">
        <w:t>σ</w:t>
      </w:r>
      <w:r w:rsidRPr="00624DF3">
        <w:t>χήμα και αναλύεται παρακάτω:</w:t>
      </w:r>
    </w:p>
    <w:p w:rsidR="00844B65" w:rsidRDefault="00844B65" w:rsidP="00624DF3"/>
    <w:p w:rsidR="00303B3A" w:rsidRPr="00624DF3" w:rsidRDefault="00303B3A" w:rsidP="00624DF3"/>
    <w:p w:rsidR="00624DF3" w:rsidRPr="00397ACE" w:rsidRDefault="00397ACE" w:rsidP="00397ACE">
      <w:pPr>
        <w:pStyle w:val="Caption"/>
      </w:pPr>
      <w:r>
        <w:lastRenderedPageBreak/>
        <w:t xml:space="preserve">Διάγραμμα  </w:t>
      </w:r>
      <w:r w:rsidR="00833098">
        <w:rPr>
          <w:noProof/>
        </w:rPr>
        <w:fldChar w:fldCharType="begin"/>
      </w:r>
      <w:r w:rsidR="00833098">
        <w:rPr>
          <w:noProof/>
        </w:rPr>
        <w:instrText xml:space="preserve"> STYLEREF 1 \s </w:instrText>
      </w:r>
      <w:r w:rsidR="00833098">
        <w:rPr>
          <w:noProof/>
        </w:rPr>
        <w:fldChar w:fldCharType="separate"/>
      </w:r>
      <w:r w:rsidR="00332E24">
        <w:rPr>
          <w:noProof/>
        </w:rPr>
        <w:t>8</w:t>
      </w:r>
      <w:r w:rsidR="00833098">
        <w:rPr>
          <w:noProof/>
        </w:rPr>
        <w:fldChar w:fldCharType="end"/>
      </w:r>
      <w:r>
        <w:noBreakHyphen/>
      </w:r>
      <w:r w:rsidR="00833098">
        <w:rPr>
          <w:noProof/>
        </w:rPr>
        <w:fldChar w:fldCharType="begin"/>
      </w:r>
      <w:r w:rsidR="00833098">
        <w:rPr>
          <w:noProof/>
        </w:rPr>
        <w:instrText xml:space="preserve"> SEQ Διάγραμμα_ \* ARABIC \s 1 </w:instrText>
      </w:r>
      <w:r w:rsidR="00833098">
        <w:rPr>
          <w:noProof/>
        </w:rPr>
        <w:fldChar w:fldCharType="separate"/>
      </w:r>
      <w:r w:rsidR="00332E24">
        <w:rPr>
          <w:noProof/>
        </w:rPr>
        <w:t>1</w:t>
      </w:r>
      <w:r w:rsidR="00833098">
        <w:rPr>
          <w:noProof/>
        </w:rPr>
        <w:fldChar w:fldCharType="end"/>
      </w:r>
      <w:r>
        <w:rPr>
          <w:i/>
        </w:rPr>
        <w:t xml:space="preserve">: </w:t>
      </w:r>
      <w:r w:rsidR="00624DF3" w:rsidRPr="00397ACE">
        <w:t>Μεθοδολογία Έξυπνης εξειδίκευσης</w:t>
      </w:r>
    </w:p>
    <w:p w:rsidR="00624DF3" w:rsidRPr="00624DF3" w:rsidRDefault="00624DF3" w:rsidP="00624DF3"/>
    <w:p w:rsidR="00624DF3" w:rsidRDefault="00624DF3" w:rsidP="00804D5C">
      <w:pPr>
        <w:jc w:val="center"/>
      </w:pPr>
      <w:r w:rsidRPr="00624DF3">
        <w:rPr>
          <w:noProof/>
          <w:lang w:eastAsia="el-GR"/>
        </w:rPr>
        <w:drawing>
          <wp:inline distT="0" distB="0" distL="0" distR="0">
            <wp:extent cx="5274310" cy="2430145"/>
            <wp:effectExtent l="0" t="0" r="2540" b="8255"/>
            <wp:docPr id="39" name="Εικόνα 39" descr="Methodology of RI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0.jpg" descr="Methodology of RIS3.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274310" cy="2430145"/>
                    </a:xfrm>
                    <a:prstGeom prst="rect">
                      <a:avLst/>
                    </a:prstGeom>
                    <a:noFill/>
                    <a:ln>
                      <a:noFill/>
                    </a:ln>
                  </pic:spPr>
                </pic:pic>
              </a:graphicData>
            </a:graphic>
          </wp:inline>
        </w:drawing>
      </w:r>
    </w:p>
    <w:p w:rsidR="00DD7F46" w:rsidRPr="00624DF3" w:rsidRDefault="00DD7F46" w:rsidP="00804D5C">
      <w:pPr>
        <w:jc w:val="center"/>
      </w:pPr>
    </w:p>
    <w:p w:rsidR="005F5D19" w:rsidRDefault="00E23C94" w:rsidP="00E23C94">
      <w:pPr>
        <w:pStyle w:val="Heading2"/>
      </w:pPr>
      <w:bookmarkStart w:id="77" w:name="_Toc22645134"/>
      <w:r>
        <w:t>Τα βήματα της διαδικασίας</w:t>
      </w:r>
      <w:bookmarkEnd w:id="77"/>
    </w:p>
    <w:p w:rsidR="006C79D6" w:rsidRPr="00624DF3" w:rsidRDefault="006C79D6" w:rsidP="00624DF3">
      <w:r>
        <w:t>Στη συνέχεια περιγράφονται τα βήματα που ακολουθήθηκαν κατά τη διαδικασία της επιχειρηματικής ανακάλυψης</w:t>
      </w:r>
      <w:r w:rsidR="0065623E">
        <w:t>.</w:t>
      </w:r>
    </w:p>
    <w:p w:rsidR="00624DF3" w:rsidRPr="00624DF3" w:rsidRDefault="00624DF3" w:rsidP="00624DF3">
      <w:pPr>
        <w:rPr>
          <w:b/>
          <w:i/>
        </w:rPr>
      </w:pPr>
      <w:r w:rsidRPr="00624DF3">
        <w:rPr>
          <w:b/>
          <w:i/>
        </w:rPr>
        <w:t>Βήμα 1:  Διερευνητική φάση</w:t>
      </w:r>
    </w:p>
    <w:p w:rsidR="00624DF3" w:rsidRPr="00624DF3" w:rsidRDefault="00624DF3" w:rsidP="00624DF3">
      <w:r w:rsidRPr="00624DF3">
        <w:t>Πραγματοποιήθηκε ένας πρώτος κύκλος διαβουλεύσεων με παράγοντες της επιχειρηματικής και  ερευνητικής κοινότητας</w:t>
      </w:r>
      <w:r w:rsidR="0065623E">
        <w:t>,</w:t>
      </w:r>
      <w:r w:rsidRPr="00624DF3">
        <w:t xml:space="preserve"> καθώς και με κοινωνικούς φορείς και με φορείς διαμόρφωσης πολιτικής. Συγκεκριμένα</w:t>
      </w:r>
      <w:r w:rsidR="0065623E">
        <w:t>,</w:t>
      </w:r>
      <w:r w:rsidRPr="00624DF3">
        <w:t xml:space="preserve"> με Υπουργεία, Περιφέρειες, Ερευνητικά Κέντρα, τον Σύνδεσμο Ελληνικών Βιομηχανιών, τον Σύνδεσμο Νεοφυών Επιχειρήσεων, Συντονιστές συνεργατικών μηχανισμών, μεμονωμένες επιχειρήσεις και το Εθνικό Συμβούλιο Έρευνας και Τεχνολογίας (ΕΣΕΤ). Μέσω της διαβούλευσης διερευνήθηκαν:</w:t>
      </w:r>
    </w:p>
    <w:p w:rsidR="00624DF3" w:rsidRPr="00624DF3" w:rsidRDefault="00624DF3" w:rsidP="0065623E">
      <w:pPr>
        <w:pStyle w:val="ListParagraph"/>
        <w:numPr>
          <w:ilvl w:val="0"/>
          <w:numId w:val="19"/>
        </w:numPr>
      </w:pPr>
      <w:r w:rsidRPr="00624DF3">
        <w:t xml:space="preserve"> Τα  οριζόντια χαρακτηριστικά του εθνικού συστήματος έρευνας και καινοτομίας</w:t>
      </w:r>
    </w:p>
    <w:p w:rsidR="00624DF3" w:rsidRPr="00624DF3" w:rsidRDefault="00624DF3" w:rsidP="0065623E">
      <w:pPr>
        <w:pStyle w:val="ListParagraph"/>
        <w:numPr>
          <w:ilvl w:val="0"/>
          <w:numId w:val="19"/>
        </w:numPr>
      </w:pPr>
      <w:r w:rsidRPr="00624DF3">
        <w:t xml:space="preserve"> Ο ρόλος των περιφερειών στο σύστημα έρευνας και καινοτομίας</w:t>
      </w:r>
    </w:p>
    <w:p w:rsidR="00624DF3" w:rsidRPr="00624DF3" w:rsidRDefault="00624DF3" w:rsidP="0065623E">
      <w:pPr>
        <w:pStyle w:val="ListParagraph"/>
        <w:numPr>
          <w:ilvl w:val="0"/>
          <w:numId w:val="19"/>
        </w:numPr>
      </w:pPr>
      <w:r w:rsidRPr="00624DF3">
        <w:t xml:space="preserve"> Οι ευρύτερες οικονομικές περιοχές ή τομείς που θα πρέπει να εξεταστούν περαιτέρω</w:t>
      </w:r>
    </w:p>
    <w:p w:rsidR="00624DF3" w:rsidRPr="00624DF3" w:rsidRDefault="00624DF3" w:rsidP="00624DF3">
      <w:r w:rsidRPr="00624DF3">
        <w:t xml:space="preserve">Κριτήρια για τον εντοπισμό των προτεραιοτήτων ήταν: η </w:t>
      </w:r>
      <w:r w:rsidRPr="00624DF3">
        <w:rPr>
          <w:b/>
        </w:rPr>
        <w:t>επίδραση στην οικονομία</w:t>
      </w:r>
      <w:r w:rsidRPr="00624DF3">
        <w:t xml:space="preserve"> (πολλαπλασιαστές), η </w:t>
      </w:r>
      <w:r w:rsidRPr="00624DF3">
        <w:rPr>
          <w:b/>
        </w:rPr>
        <w:t>βιωσιμότητα</w:t>
      </w:r>
      <w:r w:rsidRPr="00624DF3">
        <w:t xml:space="preserve">, η </w:t>
      </w:r>
      <w:r w:rsidRPr="00624DF3">
        <w:rPr>
          <w:b/>
        </w:rPr>
        <w:t>εξαγωγική δυναμική</w:t>
      </w:r>
      <w:r w:rsidRPr="00624DF3">
        <w:t xml:space="preserve">, η </w:t>
      </w:r>
      <w:r w:rsidRPr="00624DF3">
        <w:rPr>
          <w:b/>
        </w:rPr>
        <w:t>καινοτομία</w:t>
      </w:r>
      <w:r w:rsidRPr="00624DF3">
        <w:t xml:space="preserve"> αλλά και η  υφιστάμενη </w:t>
      </w:r>
      <w:r w:rsidRPr="00624DF3">
        <w:rPr>
          <w:b/>
        </w:rPr>
        <w:t>επιστημονική εξειδίκευση</w:t>
      </w:r>
      <w:r w:rsidRPr="00624DF3">
        <w:t xml:space="preserve"> του ερευνητικού δυναμικού της χώρας.</w:t>
      </w:r>
    </w:p>
    <w:p w:rsidR="00624DF3" w:rsidRPr="00624DF3" w:rsidRDefault="00624DF3" w:rsidP="00624DF3">
      <w:r w:rsidRPr="00624DF3">
        <w:t>Ταυτόχρονα, πραγματοποιήθηκε εκτεταμένη βιβλιογραφική ανάλυση και επεξεργασία των πορισμάτων πρόσφατων μελετών στρατηγικής (π.χ. McKinsey &amp; Company, «Η Ελλάδα δέκα χρόνια μπροστά», ΣΕΒ, ΙΟΒΕ, κ.λπ.), λαμβάνοντας υπόψη και το κείμενο των συστάσεων της ΕΕ για την Ελλάδα.  Η διερεύνηση αυτή οδήγησε στον εντοπισμό των τομέων εκείνων στους οποίους η έρευνα και η καινοτομία μπορούν να συμβάλουν στην ανάπτυξη σημαντικού ανταγωνιστικού πλεονεκτήματος, ενώ συνυπολογίσθηκε η κρίσιμη μάζα και η αριστεία του ερευνητικού</w:t>
      </w:r>
      <w:r w:rsidR="00362794">
        <w:t xml:space="preserve"> δυναμικού. Οι τομείς αυτοί </w:t>
      </w:r>
      <w:r w:rsidR="00BD7956">
        <w:t>ήταν</w:t>
      </w:r>
      <w:r w:rsidRPr="00624DF3">
        <w:t>:</w:t>
      </w:r>
    </w:p>
    <w:p w:rsidR="00624DF3" w:rsidRPr="00624DF3" w:rsidRDefault="00624DF3" w:rsidP="00BD7956">
      <w:pPr>
        <w:ind w:firstLine="720"/>
      </w:pPr>
      <w:r w:rsidRPr="00624DF3">
        <w:t xml:space="preserve">1. Αγρο-διατροφή </w:t>
      </w:r>
    </w:p>
    <w:p w:rsidR="00624DF3" w:rsidRPr="00624DF3" w:rsidRDefault="00624DF3" w:rsidP="00BD7956">
      <w:pPr>
        <w:ind w:firstLine="720"/>
      </w:pPr>
      <w:r w:rsidRPr="00624DF3">
        <w:t>2. Βιοεπιστήμες, Υγεία - Φάρμακα,</w:t>
      </w:r>
    </w:p>
    <w:p w:rsidR="00624DF3" w:rsidRPr="00624DF3" w:rsidRDefault="00624DF3" w:rsidP="00BD7956">
      <w:pPr>
        <w:ind w:firstLine="720"/>
      </w:pPr>
      <w:r w:rsidRPr="00624DF3">
        <w:t>3. Τεχνολογίες πληροφορικής και επικοινωνιών</w:t>
      </w:r>
    </w:p>
    <w:p w:rsidR="00624DF3" w:rsidRPr="00624DF3" w:rsidRDefault="00624DF3" w:rsidP="00BD7956">
      <w:pPr>
        <w:ind w:firstLine="720"/>
      </w:pPr>
      <w:r w:rsidRPr="00624DF3">
        <w:t>4. Ενέργεια</w:t>
      </w:r>
    </w:p>
    <w:p w:rsidR="00624DF3" w:rsidRPr="00624DF3" w:rsidRDefault="00624DF3" w:rsidP="00BD7956">
      <w:pPr>
        <w:ind w:firstLine="720"/>
      </w:pPr>
      <w:r w:rsidRPr="00624DF3">
        <w:t>5. Περιβάλλον και βιώσιμη ανάπτυξη</w:t>
      </w:r>
    </w:p>
    <w:p w:rsidR="00624DF3" w:rsidRPr="00624DF3" w:rsidRDefault="00624DF3" w:rsidP="00BD7956">
      <w:pPr>
        <w:ind w:firstLine="720"/>
      </w:pPr>
      <w:r w:rsidRPr="00624DF3">
        <w:t>6. Μεταφορές και Εφοδιαστική Αλυσίδα</w:t>
      </w:r>
    </w:p>
    <w:p w:rsidR="00624DF3" w:rsidRPr="00624DF3" w:rsidRDefault="00624DF3" w:rsidP="00BD7956">
      <w:pPr>
        <w:ind w:firstLine="720"/>
      </w:pPr>
      <w:r w:rsidRPr="00624DF3">
        <w:lastRenderedPageBreak/>
        <w:t>7. Υλικά – κατασκευές</w:t>
      </w:r>
    </w:p>
    <w:p w:rsidR="00624DF3" w:rsidRPr="00624DF3" w:rsidRDefault="00624DF3" w:rsidP="00BD7956">
      <w:pPr>
        <w:ind w:firstLine="720"/>
      </w:pPr>
      <w:r w:rsidRPr="00624DF3">
        <w:t>8. Πολιτισμός – Τουρισμός - Δημιουργικές Βιομηχανίες</w:t>
      </w:r>
    </w:p>
    <w:p w:rsidR="00624DF3" w:rsidRPr="00624DF3" w:rsidRDefault="00624DF3" w:rsidP="00624DF3">
      <w:r w:rsidRPr="00624DF3">
        <w:rPr>
          <w:b/>
          <w:i/>
        </w:rPr>
        <w:t>Βήμα 2: Εφαρμογή της διαδικασίας της Επιχειρηματικής Ανακάλυψης</w:t>
      </w:r>
    </w:p>
    <w:p w:rsidR="00624DF3" w:rsidRPr="00624DF3" w:rsidRDefault="00624DF3" w:rsidP="00624DF3">
      <w:r w:rsidRPr="00624DF3">
        <w:t xml:space="preserve">Για τους θεματικούς τομείς που </w:t>
      </w:r>
      <w:r w:rsidR="00BD7956">
        <w:t>είχαν</w:t>
      </w:r>
      <w:r w:rsidRPr="00624DF3">
        <w:t xml:space="preserve"> αναδειχτεί ως τομείς προτεραιότητας, η ΓΓΕΤ προχώρησε στην περαιτέρω εξειδίκευσή </w:t>
      </w:r>
      <w:r w:rsidR="008622D4">
        <w:t xml:space="preserve">τους μέσα από τη διαδικασία της </w:t>
      </w:r>
      <w:r w:rsidRPr="00624DF3">
        <w:rPr>
          <w:b/>
          <w:bCs/>
        </w:rPr>
        <w:t>επιχειρηματικής ανακάλυψης (entrepreneurial</w:t>
      </w:r>
      <w:r w:rsidR="008622D4">
        <w:t xml:space="preserve"> </w:t>
      </w:r>
      <w:r w:rsidR="008622D4">
        <w:rPr>
          <w:b/>
          <w:bCs/>
        </w:rPr>
        <w:t xml:space="preserve">discovery), </w:t>
      </w:r>
      <w:r w:rsidRPr="00624DF3">
        <w:t>την εξεύρεση δηλαδή νέων επιχειρηματικών ευκαιριών για τη</w:t>
      </w:r>
      <w:r w:rsidR="00BD7956">
        <w:t>ν αξιοποίηση της γνώσης και την</w:t>
      </w:r>
      <w:r w:rsidRPr="00624DF3">
        <w:t xml:space="preserve"> ενσωμάτωσή της σε αλυσίδες αξίας. Η επιχειρηματική ανακάλυψη είναι μια συμμετοχική, δυναμική διαδικασία εντοπισμού και προτεραιοποίησης κρίσιμων δραστηριοτήτων που συνδέουν την έρευνα και την καινοτομία με την οικονομική ανάπτυξη και την κοινωνική ευημερία, αξιοποιώντας τις ιδιαιτερότητες και δυνατότητες της χώρας αλλά και της κάθε περιφέρειάς της. Επιτυγχάνεται μέσω της δομημένης διαβούλευσης με όλους τους παράγοντες που συγκροτούν το οικοσύστημα καινοτομίας σε εθνικ</w:t>
      </w:r>
      <w:r w:rsidR="00431760">
        <w:t>ό και περιφερειακό επίπεδο, ενώ</w:t>
      </w:r>
      <w:r w:rsidRPr="00624DF3">
        <w:t xml:space="preserve"> πρωταγωνιστικό ρόλο στην ανάδειξη των τεχνολογικών προτεραιοτήτων έχουν οι επιχειρήσεις και οι παραγωγικοί φορείς γενικότερα. Στόχοι ήταν:</w:t>
      </w:r>
    </w:p>
    <w:p w:rsidR="00624DF3" w:rsidRPr="00624DF3" w:rsidRDefault="00624DF3" w:rsidP="00624DF3">
      <w:r w:rsidRPr="00624DF3">
        <w:t xml:space="preserve">1. Η </w:t>
      </w:r>
      <w:r w:rsidRPr="00624DF3">
        <w:rPr>
          <w:b/>
        </w:rPr>
        <w:t>περαιτέρω εξειδίκευση</w:t>
      </w:r>
      <w:r w:rsidRPr="00624DF3">
        <w:t xml:space="preserve"> των παραπάνω τομέων και ο εντοπισμός, με τη συμμετοχή των επιχειρήσεων και της ερευνητικής κοινότητας, των κρίσιμων δραστηριοτήτων (activities) οι οποίες, αξιοποιώντας την Έρευνα, Τεχνολογία και Καινοτομία, μπορούν να προκαλέσουν διαρθρωτικές αλλαγές στις επιχειρήσεις του τομέα (π.χ. εκσυγχρονισμός, διαφοροποίηση, μετάβαση κ.λπ.) αλλά και στους συσχετιζόμενους τομείς.</w:t>
      </w:r>
    </w:p>
    <w:p w:rsidR="00624DF3" w:rsidRPr="00624DF3" w:rsidRDefault="00624DF3" w:rsidP="00624DF3">
      <w:r w:rsidRPr="00624DF3">
        <w:t>2. Η ανάδειξη</w:t>
      </w:r>
      <w:r w:rsidRPr="00624DF3">
        <w:rPr>
          <w:b/>
        </w:rPr>
        <w:t xml:space="preserve"> των κρίσιμων ερευνητικών πεδίων/τεχνολογιών</w:t>
      </w:r>
      <w:r w:rsidRPr="00624DF3">
        <w:t xml:space="preserve"> (και των κατάλληλων εργαλείων πολιτικής), που πρέπει να περιληφθούν στην στρατηγική, λαμβάνοντας υπόψη και τις περιφερειακές στρατηγικές που διαμορφώνονται από τις Περιφέρειες.</w:t>
      </w:r>
    </w:p>
    <w:p w:rsidR="00624DF3" w:rsidRPr="00624DF3" w:rsidRDefault="00624DF3" w:rsidP="00624DF3">
      <w:r w:rsidRPr="00624DF3">
        <w:t xml:space="preserve">3. Η ανάδειξη των </w:t>
      </w:r>
      <w:r w:rsidRPr="00624DF3">
        <w:rPr>
          <w:b/>
        </w:rPr>
        <w:t>συνεργειών μεταξύ των τομέων εξειδίκευσης,</w:t>
      </w:r>
      <w:r w:rsidRPr="00624DF3">
        <w:t xml:space="preserve"> με στόχο να επιτευχθεί μεγαλύτερη προστιθέμενη αξία από τις παρεμβάσεις.</w:t>
      </w:r>
    </w:p>
    <w:p w:rsidR="00E75022" w:rsidRPr="00431760" w:rsidRDefault="00624DF3" w:rsidP="00624DF3">
      <w:r w:rsidRPr="00624DF3">
        <w:t xml:space="preserve">Για την επίτευξη </w:t>
      </w:r>
      <w:r w:rsidR="00431760">
        <w:t>των παραπάνω στόχων</w:t>
      </w:r>
      <w:r w:rsidRPr="00624DF3">
        <w:t xml:space="preserve"> η ΓΓΕΤ ανέπτυξε </w:t>
      </w:r>
      <w:r w:rsidRPr="00624DF3">
        <w:rPr>
          <w:b/>
        </w:rPr>
        <w:t>πλατφόρμες καινοτομίας</w:t>
      </w:r>
      <w:r w:rsidR="00431760">
        <w:t xml:space="preserve"> </w:t>
      </w:r>
      <w:r w:rsidRPr="00624DF3">
        <w:t xml:space="preserve">στους αναδεδειγμένους τομείς προτεραιότητας. Οι πλατφόρμες αυτές αποτέλεσαν και αποτελούν τους βασικούς πυρήνες της διαβούλευσης σε εθνικό επίπεδο, συγκεντρώνοντας εκπροσώπους από τις επιχειρήσεις του τομέα, τα ερευνητικά κέντρα, τα Πανεπιστήμια, τα Υπουργεία και τις Περιφέρειες και γενικότερα τους φορείς που εμπλέκονται στο σύστημα καινοτομίας του κάθε τομέα. </w:t>
      </w:r>
    </w:p>
    <w:p w:rsidR="00E75022" w:rsidRPr="00624DF3" w:rsidRDefault="00E75022" w:rsidP="00624DF3">
      <w:pPr>
        <w:rPr>
          <w:i/>
        </w:rPr>
      </w:pPr>
    </w:p>
    <w:p w:rsidR="00624DF3" w:rsidRPr="00624DF3" w:rsidRDefault="00804D5C" w:rsidP="00804D5C">
      <w:pPr>
        <w:pStyle w:val="Caption"/>
        <w:rPr>
          <w:i/>
        </w:rPr>
      </w:pPr>
      <w:r>
        <w:t xml:space="preserve">Διάγραμμα  </w:t>
      </w:r>
      <w:r w:rsidR="00833098">
        <w:rPr>
          <w:noProof/>
        </w:rPr>
        <w:fldChar w:fldCharType="begin"/>
      </w:r>
      <w:r w:rsidR="00833098">
        <w:rPr>
          <w:noProof/>
        </w:rPr>
        <w:instrText xml:space="preserve"> STYLEREF 1 \s </w:instrText>
      </w:r>
      <w:r w:rsidR="00833098">
        <w:rPr>
          <w:noProof/>
        </w:rPr>
        <w:fldChar w:fldCharType="separate"/>
      </w:r>
      <w:r w:rsidR="00332E24">
        <w:rPr>
          <w:noProof/>
        </w:rPr>
        <w:t>8</w:t>
      </w:r>
      <w:r w:rsidR="00833098">
        <w:rPr>
          <w:noProof/>
        </w:rPr>
        <w:fldChar w:fldCharType="end"/>
      </w:r>
      <w:r w:rsidR="00397ACE">
        <w:noBreakHyphen/>
      </w:r>
      <w:r w:rsidR="00833098">
        <w:rPr>
          <w:noProof/>
        </w:rPr>
        <w:fldChar w:fldCharType="begin"/>
      </w:r>
      <w:r w:rsidR="00833098">
        <w:rPr>
          <w:noProof/>
        </w:rPr>
        <w:instrText xml:space="preserve"> SEQ Διάγραμμα_ \* ARABIC \s 1 </w:instrText>
      </w:r>
      <w:r w:rsidR="00833098">
        <w:rPr>
          <w:noProof/>
        </w:rPr>
        <w:fldChar w:fldCharType="separate"/>
      </w:r>
      <w:r w:rsidR="00332E24">
        <w:rPr>
          <w:noProof/>
        </w:rPr>
        <w:t>2</w:t>
      </w:r>
      <w:r w:rsidR="00833098">
        <w:rPr>
          <w:noProof/>
        </w:rPr>
        <w:fldChar w:fldCharType="end"/>
      </w:r>
      <w:r>
        <w:t xml:space="preserve">: </w:t>
      </w:r>
      <w:r w:rsidR="00624DF3" w:rsidRPr="00804D5C">
        <w:t>Οι πλατφόρμες διαβούλευσης της εθνικής έξυπνης εξειδίκευσης</w:t>
      </w:r>
    </w:p>
    <w:p w:rsidR="00624DF3" w:rsidRPr="00624DF3" w:rsidRDefault="00624DF3" w:rsidP="00624DF3">
      <w:pPr>
        <w:rPr>
          <w:i/>
        </w:rPr>
      </w:pPr>
    </w:p>
    <w:p w:rsidR="00624DF3" w:rsidRDefault="00624DF3" w:rsidP="00D30CF2">
      <w:pPr>
        <w:jc w:val="center"/>
      </w:pPr>
      <w:r w:rsidRPr="00624DF3">
        <w:rPr>
          <w:noProof/>
          <w:lang w:eastAsia="el-GR"/>
        </w:rPr>
        <w:drawing>
          <wp:inline distT="0" distB="0" distL="0" distR="0">
            <wp:extent cx="3581400" cy="2419350"/>
            <wp:effectExtent l="0" t="0" r="0" b="0"/>
            <wp:docPr id="38" name="Εικόνα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9.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581400" cy="2419350"/>
                    </a:xfrm>
                    <a:prstGeom prst="rect">
                      <a:avLst/>
                    </a:prstGeom>
                    <a:noFill/>
                    <a:ln>
                      <a:noFill/>
                    </a:ln>
                  </pic:spPr>
                </pic:pic>
              </a:graphicData>
            </a:graphic>
          </wp:inline>
        </w:drawing>
      </w:r>
    </w:p>
    <w:p w:rsidR="00804D5C" w:rsidRDefault="00804D5C" w:rsidP="00D30CF2">
      <w:pPr>
        <w:jc w:val="center"/>
      </w:pPr>
    </w:p>
    <w:p w:rsidR="00804D5C" w:rsidRPr="00624DF3" w:rsidRDefault="00804D5C" w:rsidP="00D30CF2">
      <w:pPr>
        <w:jc w:val="center"/>
      </w:pPr>
    </w:p>
    <w:p w:rsidR="009F2E9A" w:rsidRDefault="00E23C94" w:rsidP="009F2E9A">
      <w:pPr>
        <w:pStyle w:val="Heading2"/>
      </w:pPr>
      <w:bookmarkStart w:id="78" w:name="_Toc22645135"/>
      <w:r>
        <w:lastRenderedPageBreak/>
        <w:t>Οι περίοδοι εφαρμογής</w:t>
      </w:r>
      <w:bookmarkEnd w:id="78"/>
    </w:p>
    <w:p w:rsidR="003D3105" w:rsidRDefault="003D3105" w:rsidP="003D3105">
      <w:r>
        <w:t>Στο πλαίσιο της στρατηγικής “Ευρώπη 2020”, υιοθετήθηκε από την Ευρωπαϊκή Επιτροπή η εμβληματική πρωτοβουλία για τη δημιουργία μιας ‘Ένωσης Καινοτομίας’ (Innovation Union), με σκοπό την ενίσχυση της ικανότητας της Ευρώπης να επιτύχει έξυπνη, βιώσιμη και χωρίς αποκλεισμούς ανάπτυξη με ταυτόχρονη γεφύρωση του χάσματος μεταξύ επιστήμης και αγοράς, ούτως ώστε τα αποτελέσματα της έρευνας να μετατρέπονται σε νέα προϊόντα και υπηρεσίες. Στο πλαίσιο αυτής της πρωτοβουλίας αναδείχθηκε η έννοια της Έξυπνης Εξειδίκευσης στην έρευνα και στην καινοτομία (Research and Innovation Strategy for Smart Specialization), έτσι ώστε η χώρα αλλά και κάθε περιφέρεια, να εστιάσει στην ενίσχυση συγκεκριμένων κατηγοριών επενδύσεων που θα προσδώσουν ανταγωνιστικό πλεονέκτημα στην οικονομία.</w:t>
      </w:r>
    </w:p>
    <w:p w:rsidR="003D3105" w:rsidRDefault="003D3105" w:rsidP="003D3105">
      <w:r>
        <w:t>Στο πλαίσιο της πολιτικής συνοχής της ΕΕ</w:t>
      </w:r>
      <w:r w:rsidR="0065623E">
        <w:t>,</w:t>
      </w:r>
      <w:r>
        <w:t xml:space="preserve"> η «στρατηγική έξυπνης εξειδίκευσης» εισήχθη ως βασική προϋπόθεση («εκ των προτέρων αιρεσιμότητα») που μόνο μετά την «εκπλήρωσή» της επιτρέπεται στα κράτη μέλη να λάβουν οικονομική στήριξη για επενδύσεις στην έρευνα και καινοτομία μέσω των Ευρωπαϊκών Διαρθρωτικών και Επενδυτικών Ταμείων (ΕΔΕΤ) και ειδικότερα από το Ευρωπαϊκό Ταμείο Περιφερειακής Ανάπτυξης (ΕΤΠΑ).</w:t>
      </w:r>
    </w:p>
    <w:p w:rsidR="003D3105" w:rsidRDefault="003D3105" w:rsidP="003D3105">
      <w:r>
        <w:t xml:space="preserve">Η χώρα κλήθηκε να διαμορφώσει εθνική στρατηγική έρευνας και καινοτομίας που θέτει προτεραιότητες με στόχο τη δημιουργία ανταγωνιστικού πλεονεκτήματος. </w:t>
      </w:r>
    </w:p>
    <w:p w:rsidR="003D3105" w:rsidRDefault="003D3105" w:rsidP="003D3105">
      <w:r>
        <w:t xml:space="preserve">Ο Σχεδιασμός για την εθνική Στρατηγική Έρευνας και Καινοτομίας για την Έξυπνη Εξειδίκευση ξεκίνησε το </w:t>
      </w:r>
      <w:r w:rsidR="004D6290">
        <w:t>2013</w:t>
      </w:r>
      <w:r>
        <w:t xml:space="preserve"> για την κάλυψη της αιρεσιμότητας 1.1 ώστε  να εγκριθεί η χρηματοδότηση για το ΕΣΠΑ και το ΕΠΑ</w:t>
      </w:r>
      <w:r w:rsidR="004D6290">
        <w:t>ν</w:t>
      </w:r>
      <w:r>
        <w:t xml:space="preserve">ΕΚ </w:t>
      </w:r>
    </w:p>
    <w:p w:rsidR="003D3105" w:rsidRDefault="003D3105" w:rsidP="003D3105">
      <w:r>
        <w:t xml:space="preserve">Την </w:t>
      </w:r>
      <w:r w:rsidRPr="004D6290">
        <w:t xml:space="preserve">ευθύνη για τη διαμόρφωση της στρατηγικής Έρευνας και Καινοτομίας για την Έξυπνη Εξειδίκευση ανέλαβε η Γενική Γραμματεία Έρευνας και Τεχνολογίας. Στην προσπάθεια αυτή υπήρξε συνεργασία με τη Γενική Γραμματεία Δημοσίων </w:t>
      </w:r>
      <w:r w:rsidR="004D6290" w:rsidRPr="004D6290">
        <w:t xml:space="preserve">Επενδύσεων </w:t>
      </w:r>
      <w:r w:rsidRPr="004D6290">
        <w:t>και η δημιουργία Τομεακών Ομάδων Σχεδιασμού (ΤΟΣ), μίας Κεντρικής Ομάδας Σχεδιασμού (ΚΟΣ</w:t>
      </w:r>
      <w:r>
        <w:t>) και μίας Οριζόντιας Ομάδας Καινοτομίας, του ΕΠΑ</w:t>
      </w:r>
      <w:r w:rsidR="0065623E">
        <w:t>ν</w:t>
      </w:r>
      <w:r>
        <w:t>ΕΚ. Οι ομάδες αυτές αποτέλεσαν το πυρήνα για την περαιτέρω εξειδίκευση των τομέων της Στρατηγικής.</w:t>
      </w:r>
    </w:p>
    <w:p w:rsidR="003D3105" w:rsidRDefault="003D3105" w:rsidP="003D3105">
      <w:r>
        <w:t xml:space="preserve">Το πρώτο σχέδιο της εθνικής στρατηγικής Έρευνας και Καινοτομίας για την Έξυπνη Εξειδίκευση στάλθηκε στην Ευρωπαϊκή Επιτροπή το </w:t>
      </w:r>
      <w:r w:rsidR="009D41F8">
        <w:t>Σεπτέμβριο του 2012</w:t>
      </w:r>
      <w:r w:rsidR="00137C5D">
        <w:t>.</w:t>
      </w:r>
      <w:r>
        <w:t xml:space="preserve"> Σε συνέχεια υπήρξε ένας κύκλος διεργασιών και συμπληρώσεων / βελτιώσεων με τις αρμόδιες υπηρεσίες της Ευρωπαϊκής Επιτροπής ώστε το σχέδιο να αποκτήσει την τελική του μορφή και να καλύψει όλες τις απαιτήσεις και τους όρους που απαιτούνται.</w:t>
      </w:r>
    </w:p>
    <w:p w:rsidR="003D3105" w:rsidRDefault="003D3105" w:rsidP="003D3105">
      <w:r>
        <w:t>Τελικά, η εθνική Στρατηγική Έρευνας και Καινοτομίας για την Έξυπνη Εξειδίκευση 2014-2020 εγκρίθηκε με την υπ. Αριθμ. 82193/ΕΥΣΣΑ_1810 Κοινή Υπουργική Απόφαση του Υπουργού Οικονομίας, Υποδομών, Ναυτιλίας και Τουρισμού και του Αναπληρωτή Υπουργού Πολιτισμού, Παιδείας και Θρησκευμάτων, που δημοσιεύθηκε στο ΦΕΚ Β’ 1862/27-Αυγούστου-2015.</w:t>
      </w:r>
    </w:p>
    <w:p w:rsidR="003D3105" w:rsidRDefault="003D3105" w:rsidP="003D3105">
      <w:r>
        <w:t>Με την από 22 Οκτωβρίου 2015 επιστολή της Ευρωπαϊκής Επιτροπής αναγνωρίζεται η εκπλήρωση της αιρεσιμότητας 1.1. που αφορά στην ύπαρξη Εθνικής Στρατηγικής Έξυπνης Εξειδίκευσης. Με την ίδια επιστολή  τέθηκαν και οι όροι για την εφαρμογή της Στρατηγικής, δηλαδή:</w:t>
      </w:r>
    </w:p>
    <w:p w:rsidR="003D3105" w:rsidRDefault="003D3105" w:rsidP="0065623E">
      <w:pPr>
        <w:pStyle w:val="ListParagraph"/>
        <w:numPr>
          <w:ilvl w:val="0"/>
          <w:numId w:val="19"/>
        </w:numPr>
      </w:pPr>
      <w:r>
        <w:t>Την έναρξη της επιχειρηματικής ανακάλυψης</w:t>
      </w:r>
    </w:p>
    <w:p w:rsidR="003D3105" w:rsidRDefault="003D3105" w:rsidP="0065623E">
      <w:pPr>
        <w:pStyle w:val="ListParagraph"/>
        <w:numPr>
          <w:ilvl w:val="0"/>
          <w:numId w:val="19"/>
        </w:numPr>
      </w:pPr>
      <w:r>
        <w:t>Την έμφαση σε τομείς και υποτομείς της εθνικής Στρατηγικής Έρευνας και Καινοτομίας για την Έξυπνη Εξειδίκευση 2014-2020</w:t>
      </w:r>
    </w:p>
    <w:p w:rsidR="003D3105" w:rsidRDefault="003D3105" w:rsidP="0065623E">
      <w:pPr>
        <w:pStyle w:val="ListParagraph"/>
        <w:numPr>
          <w:ilvl w:val="0"/>
          <w:numId w:val="19"/>
        </w:numPr>
      </w:pPr>
      <w:r>
        <w:t>Την ποσοτικοποίηση των δεικτών</w:t>
      </w:r>
    </w:p>
    <w:p w:rsidR="009F2E9A" w:rsidRDefault="003D3105" w:rsidP="0065623E">
      <w:pPr>
        <w:pStyle w:val="ListParagraph"/>
        <w:numPr>
          <w:ilvl w:val="0"/>
          <w:numId w:val="19"/>
        </w:numPr>
      </w:pPr>
      <w:r>
        <w:t>Τον καθορισμό του εθνικού συστήματος παρακολούθησης και μέτρησης της Στρατηγικής</w:t>
      </w:r>
    </w:p>
    <w:p w:rsidR="00137C5D" w:rsidRPr="009F2E9A" w:rsidRDefault="00137C5D" w:rsidP="00137C5D">
      <w:r>
        <w:t>Αναλυτικότερα:</w:t>
      </w:r>
    </w:p>
    <w:p w:rsidR="00624DF3" w:rsidRPr="00624DF3" w:rsidRDefault="008622D4" w:rsidP="00624DF3">
      <w:r>
        <w:t xml:space="preserve">Στην </w:t>
      </w:r>
      <w:r w:rsidR="00624DF3" w:rsidRPr="00624DF3">
        <w:rPr>
          <w:b/>
          <w:bCs/>
        </w:rPr>
        <w:t>πρώτη περίοδο επιχειρηματικής ανακάλυψης</w:t>
      </w:r>
      <w:r w:rsidR="00431760">
        <w:t xml:space="preserve"> </w:t>
      </w:r>
      <w:r w:rsidR="00624DF3" w:rsidRPr="00624DF3">
        <w:t>που πραγματοποιήθηκε το 2013-15, τα αποτελέσματα των διαβουλεύσεων των πλατφορμών απετέλεσαν την πρώτη ύλη για μια με</w:t>
      </w:r>
      <w:r w:rsidR="00BD7956">
        <w:t>γαλύτερη εστίαση και κατ’ αρχήν</w:t>
      </w:r>
      <w:r w:rsidR="00624DF3" w:rsidRPr="00624DF3">
        <w:t xml:space="preserve"> εξειδίκευση δραστηριοτήτων, οι οποίες αποτυπώνονται ως προτεραιότητες της τρέχουσας έκδοσης της Στρατηγικής. Εκτός από την εμβάθυνση </w:t>
      </w:r>
      <w:r w:rsidR="00271818">
        <w:t>σε κάθε τομέα, επιχειρήθηκε και η ανάδειξη</w:t>
      </w:r>
      <w:r w:rsidR="00624DF3" w:rsidRPr="00624DF3">
        <w:t xml:space="preserve"> συνεργειών μεταξύ των τομέων, με στόχο να επιτευχθεί μεγαλύτερη προστιθ</w:t>
      </w:r>
      <w:r w:rsidR="00271818">
        <w:t>έμενη αξία από τις παρεμβάσεις.</w:t>
      </w:r>
      <w:r w:rsidR="00624DF3" w:rsidRPr="00624DF3">
        <w:t xml:space="preserve"> Αρχικά, για κάθε τομέα, διαμορφώθηκε από την ΓΓΕΤ ένα κείμενο βάσης το οποίο:</w:t>
      </w:r>
    </w:p>
    <w:p w:rsidR="00624DF3" w:rsidRPr="00624DF3" w:rsidRDefault="00624DF3" w:rsidP="001B2DD1">
      <w:pPr>
        <w:pStyle w:val="ListParagraph"/>
        <w:numPr>
          <w:ilvl w:val="0"/>
          <w:numId w:val="10"/>
        </w:numPr>
      </w:pPr>
      <w:r w:rsidRPr="00624DF3">
        <w:lastRenderedPageBreak/>
        <w:t>Συνθέτει  το διαθέσιμο τεκμηριωτικό υλικό για την επιλογή του τομέα,</w:t>
      </w:r>
    </w:p>
    <w:p w:rsidR="00624DF3" w:rsidRPr="00624DF3" w:rsidRDefault="00624DF3" w:rsidP="001B2DD1">
      <w:pPr>
        <w:pStyle w:val="ListParagraph"/>
        <w:numPr>
          <w:ilvl w:val="0"/>
          <w:numId w:val="10"/>
        </w:numPr>
      </w:pPr>
      <w:r w:rsidRPr="00624DF3">
        <w:t>Περιγράφει την υφιστάμενη κατάσταση στον τομέα με έμφαση στην οικονομία, έρευνα και τεχνολογία και τις πολιτικές που τον επηρεάζουν (εθνικές και κοινοτικές),</w:t>
      </w:r>
    </w:p>
    <w:p w:rsidR="00624DF3" w:rsidRPr="00624DF3" w:rsidRDefault="00624DF3" w:rsidP="001B2DD1">
      <w:pPr>
        <w:pStyle w:val="ListParagraph"/>
        <w:numPr>
          <w:ilvl w:val="0"/>
          <w:numId w:val="10"/>
        </w:numPr>
      </w:pPr>
      <w:r w:rsidRPr="00624DF3">
        <w:t>Αναδεικνύει  τις τάσεις και τις βασικές προκλήσεις,</w:t>
      </w:r>
    </w:p>
    <w:p w:rsidR="00624DF3" w:rsidRPr="00624DF3" w:rsidRDefault="00624DF3" w:rsidP="001B2DD1">
      <w:pPr>
        <w:pStyle w:val="ListParagraph"/>
        <w:numPr>
          <w:ilvl w:val="0"/>
          <w:numId w:val="10"/>
        </w:numPr>
      </w:pPr>
      <w:r w:rsidRPr="00624DF3">
        <w:t>Συμβάλλει στην περαιτέρω εξειδίκευση του κάθε τομέα</w:t>
      </w:r>
    </w:p>
    <w:p w:rsidR="00624DF3" w:rsidRPr="00624DF3" w:rsidRDefault="00624DF3" w:rsidP="001B2DD1">
      <w:pPr>
        <w:pStyle w:val="ListParagraph"/>
        <w:numPr>
          <w:ilvl w:val="0"/>
          <w:numId w:val="10"/>
        </w:numPr>
      </w:pPr>
      <w:r w:rsidRPr="00624DF3">
        <w:t>Εξετάζει την δυνατότητα εναρμόνισης της ζήτησης για έρευνα και τεχνολογία με την προσφορά,</w:t>
      </w:r>
    </w:p>
    <w:p w:rsidR="00624DF3" w:rsidRPr="00624DF3" w:rsidRDefault="00624DF3" w:rsidP="001B2DD1">
      <w:pPr>
        <w:pStyle w:val="ListParagraph"/>
        <w:numPr>
          <w:ilvl w:val="0"/>
          <w:numId w:val="10"/>
        </w:numPr>
      </w:pPr>
      <w:r w:rsidRPr="00624DF3">
        <w:t>Αποτελεί το πλαίσιο της περαιτέρω διαβούλευσης με την αντίστοιχη πλατφόρμα.</w:t>
      </w:r>
    </w:p>
    <w:p w:rsidR="00624DF3" w:rsidRPr="00624DF3" w:rsidRDefault="00624DF3" w:rsidP="00624DF3">
      <w:r w:rsidRPr="00624DF3">
        <w:t>Μετά την σύνθεση των προτεινόμενων επιλογών από όλα τα μέλη της πλατφόρμας, αποδείχθηκε ότι ήταν απαραίτητες περαιτέρω διαβουλεύσεις στο πλαίσιο της διαδικασίας προτεραιοποίησης (</w:t>
      </w:r>
      <w:r w:rsidRPr="00624DF3">
        <w:rPr>
          <w:lang w:val="en-US"/>
        </w:rPr>
        <w:t>elimination</w:t>
      </w:r>
      <w:r w:rsidRPr="00624DF3">
        <w:t xml:space="preserve"> </w:t>
      </w:r>
      <w:r w:rsidRPr="00624DF3">
        <w:rPr>
          <w:lang w:val="en-US"/>
        </w:rPr>
        <w:t>process</w:t>
      </w:r>
      <w:r w:rsidRPr="00624DF3">
        <w:t>) για την ιεράρχηση και εστίαση των κρίσιμων επιλογών. Η προτεραιοποίηση λειτούργησε με όσο το δυνατόν συναινετικές  διαδικασίες, ώστε να κρατηθεί το ενδιαφέρον των μελών της πλατφόρμας.</w:t>
      </w:r>
    </w:p>
    <w:p w:rsidR="00624DF3" w:rsidRPr="00624DF3" w:rsidRDefault="00624DF3" w:rsidP="00624DF3">
      <w:r w:rsidRPr="00624DF3">
        <w:t>Ωστόσο, η επιχειρηματική ανακάλυψη είναι μια διαδικασία δυναμική και εξελικτική, η οποία θα εφαρμοστεί σε όλη την διάρκεια της προγραμματικής περιόδου 2014-20</w:t>
      </w:r>
      <w:r w:rsidR="004D6290">
        <w:t xml:space="preserve">, γι’ αυτό και </w:t>
      </w:r>
      <w:r w:rsidRPr="00624DF3">
        <w:t>θεσπίσθηκε ένας μηχανισμός εφαρμογής της σε σταθερή βάση, με καλύτερη οργάνωση, μεγαλύτερη αποτελ</w:t>
      </w:r>
      <w:r w:rsidR="009F2E9A">
        <w:t xml:space="preserve">εσματικότητα αλλά και ευρύτερη </w:t>
      </w:r>
      <w:r w:rsidRPr="00624DF3">
        <w:t>κινητοποίηση.</w:t>
      </w:r>
    </w:p>
    <w:p w:rsidR="00624DF3" w:rsidRPr="00624DF3" w:rsidRDefault="008622D4" w:rsidP="00624DF3">
      <w:r>
        <w:t xml:space="preserve">Για το σκοπό αυτό, κατά τη </w:t>
      </w:r>
      <w:r w:rsidR="00624DF3" w:rsidRPr="00624DF3">
        <w:rPr>
          <w:b/>
          <w:bCs/>
        </w:rPr>
        <w:t>δεύτερη περ</w:t>
      </w:r>
      <w:r>
        <w:rPr>
          <w:b/>
          <w:bCs/>
        </w:rPr>
        <w:t xml:space="preserve">ίοδο επιχειρηματικής ανακάλυψης </w:t>
      </w:r>
      <w:r w:rsidR="00624DF3" w:rsidRPr="00624DF3">
        <w:t xml:space="preserve">που ξεκίνησε στα τέλη του 2015, για κάθε Πλατφόρμα </w:t>
      </w:r>
      <w:r w:rsidR="00626112">
        <w:t xml:space="preserve">Καινοτομίας ορίσθηκε ολιγομελής </w:t>
      </w:r>
      <w:r w:rsidR="00624DF3" w:rsidRPr="00624DF3">
        <w:rPr>
          <w:b/>
          <w:bCs/>
        </w:rPr>
        <w:t>Συμβουλευτική Ομάδα</w:t>
      </w:r>
      <w:r>
        <w:t xml:space="preserve"> </w:t>
      </w:r>
      <w:r w:rsidR="00624DF3" w:rsidRPr="00624DF3">
        <w:t>η οποία απαρτίζεται από εμπειρογνώμονες με σημαντική δραστηριότητα στον τομέα, προερχόμενους τόσο από τον παραγωγικό</w:t>
      </w:r>
      <w:r w:rsidR="004D6290">
        <w:t>,</w:t>
      </w:r>
      <w:r w:rsidR="00624DF3" w:rsidRPr="00624DF3">
        <w:t xml:space="preserve"> όσο και από τον ερευνητικό χώρο. Στα μέλη της συμβουλευτικής ομάδας περιλαμβάνονται εκπρόσωποι δυναμικών επιχειρήσεων του τομέα, ερευνητές με σημαντική δραστηριότητα, εθνικοί εκπρόσωποι στις επιτροπές του Ορίζοντα 2020,</w:t>
      </w:r>
      <w:r w:rsidR="009F2E9A">
        <w:t xml:space="preserve"> και γενικότερα άτομα που έχουν</w:t>
      </w:r>
      <w:r w:rsidR="00624DF3" w:rsidRPr="00624DF3">
        <w:t xml:space="preserve"> επιδείξει ιδιαίτερο ενδιαφέρον και προσφορά στη λειτουργία των πλατφορμών. Για κ</w:t>
      </w:r>
      <w:r w:rsidR="003970DC">
        <w:t xml:space="preserve">άθε Πλατφόρμα </w:t>
      </w:r>
      <w:r>
        <w:t xml:space="preserve">ορίσθηκε επίσης </w:t>
      </w:r>
      <w:r w:rsidR="00624DF3" w:rsidRPr="00624DF3">
        <w:rPr>
          <w:b/>
          <w:bCs/>
        </w:rPr>
        <w:t>Συντονιστής,</w:t>
      </w:r>
      <w:r>
        <w:t xml:space="preserve"> </w:t>
      </w:r>
      <w:r w:rsidR="00624DF3" w:rsidRPr="00624DF3">
        <w:t>στέλεχος της ΓΓΕΤ ή από τα εποπτευό</w:t>
      </w:r>
      <w:r w:rsidR="009F2E9A">
        <w:t>μενα ερευνητικά κέντρα, κάτοχος</w:t>
      </w:r>
      <w:r w:rsidR="00624DF3" w:rsidRPr="00624DF3">
        <w:t xml:space="preserve"> μεταπτυχιακού ή /και διδακτορικού διπλώματος με κατάλληλη ειδικότητα. Ο Συντονιστής αναλαμβάνει την οργάνωση, συντονισμό και λειτουργία της πλατφόρμας σε συνεργασία με τη Συμβουλευτική Ομάδα του τομέα και την αρμόδια Διεύθυνση/ Τμήμα  Προγραμματισμού της ΓΓΕΤ.</w:t>
      </w:r>
    </w:p>
    <w:p w:rsidR="00624DF3" w:rsidRPr="00624DF3" w:rsidRDefault="00624DF3" w:rsidP="00624DF3">
      <w:r w:rsidRPr="00624DF3">
        <w:t>Κύριο μέλημα των Συμβουλευτικών Ομάδων είναι η διαμόρφωση εισηγήσεων προς την αντίστοιχη π</w:t>
      </w:r>
      <w:r w:rsidR="009F2E9A">
        <w:t xml:space="preserve">λατφόρμα για τις προτεραιότητες </w:t>
      </w:r>
      <w:r w:rsidRPr="00624DF3">
        <w:t>του συγκεκριμένου τομέα αρμοδιότητας της πλατφόρμας, τους στόχους, τους δείκτες που θα χρησιμοποιηθούν, το χρονοδιάγραμμα των παρεμβάσεων, καθώς και τις δράσεις του τομέα (προκηρύξεις), συμπεριλαμβανομένων των μέσων εφαρμογής και του προϋπολογισμού. Στην 2</w:t>
      </w:r>
      <w:r w:rsidRPr="00624DF3">
        <w:rPr>
          <w:vertAlign w:val="superscript"/>
        </w:rPr>
        <w:t>η</w:t>
      </w:r>
      <w:r w:rsidRPr="00624DF3">
        <w:t xml:space="preserve"> περίοδο επιχειρηματικής ανακάλυψης έλαβαν μέρος 854 άτομα προερχόμενα από τις επιχειρήσεις (273), τους ερευνητικούς φορείς (434) και άλλους συναρμόδιους φορείς όπως περιφέρειες, Υπουργεία, Οργανισμοί κα (147).</w:t>
      </w:r>
    </w:p>
    <w:p w:rsidR="00624DF3" w:rsidRPr="00624DF3" w:rsidRDefault="00624DF3" w:rsidP="00D30CF2">
      <w:pPr>
        <w:jc w:val="center"/>
      </w:pPr>
      <w:r w:rsidRPr="00624DF3">
        <w:rPr>
          <w:noProof/>
          <w:lang w:eastAsia="el-GR"/>
        </w:rPr>
        <w:lastRenderedPageBreak/>
        <w:drawing>
          <wp:inline distT="0" distB="0" distL="0" distR="0">
            <wp:extent cx="4572000" cy="3429000"/>
            <wp:effectExtent l="0" t="0" r="0" b="0"/>
            <wp:docPr id="37" name="Εικόνα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0A58EF" w:rsidRPr="000A58EF" w:rsidRDefault="00624DF3" w:rsidP="00624DF3">
      <w:r w:rsidRPr="000A58EF">
        <w:t>Μετά την προκήρυξη της ενιαίας δράσης Κρατικών Ενισχύσεων «ΕΡΕΥΝΩ-ΔΗΜΙΟΥΡΓΩ-ΚΑΙΝΟΤΟΜΩ», την υποβολή πολλών προτάσεων - που δηλώνει το αυξημένο ενδιαφέρον για τη δράση από την επιχειρηματική και ερευνητική κοινότητα - και την αξιολόγ</w:t>
      </w:r>
      <w:r w:rsidR="00D8594F" w:rsidRPr="000A58EF">
        <w:t xml:space="preserve">ηση των προτάσεων, ξεκίνησε μια </w:t>
      </w:r>
      <w:r w:rsidRPr="000A58EF">
        <w:rPr>
          <w:b/>
          <w:bCs/>
        </w:rPr>
        <w:t>τρίτη περίοδος</w:t>
      </w:r>
      <w:r w:rsidR="00D8594F" w:rsidRPr="000A58EF">
        <w:t xml:space="preserve"> </w:t>
      </w:r>
      <w:r w:rsidRPr="000A58EF">
        <w:t xml:space="preserve">επιχειρηματικής ανακάλυψης με σκοπό την πιθανή αναμόρφωση των αρχικών προτεραιοτήτων, με βάση τα στοιχεία της υποβολής προτάσεων και της αξιολόγησης καθώς και τις τρέχουσες τεχνολογικές εξελίξεις. </w:t>
      </w:r>
      <w:r w:rsidR="000A58EF">
        <w:t>Στο ανωτέρω πλαίσιο σχεδιάζεται εκδήλωση</w:t>
      </w:r>
      <w:r w:rsidR="006D5BBA">
        <w:t xml:space="preserve"> (ημερίδα)</w:t>
      </w:r>
      <w:r w:rsidR="000A58EF">
        <w:t xml:space="preserve"> ανοιχτής διαβούλευσης της Έξυπνης Εξειδίκευσης εντός του πρώτου τριμήνου του 2018. </w:t>
      </w:r>
    </w:p>
    <w:p w:rsidR="00624DF3" w:rsidRPr="00624DF3" w:rsidRDefault="00624DF3" w:rsidP="00624DF3"/>
    <w:p w:rsidR="00624DF3" w:rsidRPr="00624DF3" w:rsidRDefault="00624DF3" w:rsidP="00804D5C">
      <w:pPr>
        <w:jc w:val="center"/>
      </w:pPr>
      <w:r w:rsidRPr="00624DF3">
        <w:rPr>
          <w:noProof/>
          <w:lang w:eastAsia="el-GR"/>
        </w:rPr>
        <w:drawing>
          <wp:inline distT="0" distB="0" distL="0" distR="0">
            <wp:extent cx="4632325" cy="3130448"/>
            <wp:effectExtent l="0" t="0" r="0"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700931" cy="3176811"/>
                    </a:xfrm>
                    <a:prstGeom prst="rect">
                      <a:avLst/>
                    </a:prstGeom>
                    <a:noFill/>
                    <a:ln>
                      <a:noFill/>
                    </a:ln>
                  </pic:spPr>
                </pic:pic>
              </a:graphicData>
            </a:graphic>
          </wp:inline>
        </w:drawing>
      </w:r>
    </w:p>
    <w:p w:rsidR="000A58EF" w:rsidRDefault="000A58EF">
      <w:pPr>
        <w:spacing w:before="0" w:after="160" w:line="259" w:lineRule="auto"/>
        <w:jc w:val="left"/>
        <w:rPr>
          <w:rFonts w:eastAsia="Times New Roman"/>
          <w:b/>
          <w:kern w:val="28"/>
          <w:sz w:val="26"/>
        </w:rPr>
      </w:pPr>
      <w:r>
        <w:br w:type="page"/>
      </w:r>
    </w:p>
    <w:p w:rsidR="0044681F" w:rsidRPr="00E23C94" w:rsidRDefault="00E23C94" w:rsidP="00E23C94">
      <w:pPr>
        <w:pStyle w:val="Heading2"/>
      </w:pPr>
      <w:bookmarkStart w:id="79" w:name="_Toc22645136"/>
      <w:r w:rsidRPr="00E23C94">
        <w:lastRenderedPageBreak/>
        <w:t xml:space="preserve">Ενέργειες ανά πλατφόρμα </w:t>
      </w:r>
      <w:r>
        <w:t>καινοτομίας</w:t>
      </w:r>
      <w:bookmarkEnd w:id="79"/>
    </w:p>
    <w:p w:rsidR="0044681F" w:rsidRDefault="0044681F" w:rsidP="00F07C91">
      <w:r>
        <w:t xml:space="preserve">Αναλυτικότερα για κάθε πλατφόρμα καινοτομίας μέχρι </w:t>
      </w:r>
      <w:r w:rsidR="00003238">
        <w:t xml:space="preserve">τον </w:t>
      </w:r>
      <w:r w:rsidR="009F2E9A">
        <w:t>το τέλος του 2017</w:t>
      </w:r>
      <w:r>
        <w:t xml:space="preserve"> έχουν λάβει  χώρα τα παρακάτω:</w:t>
      </w:r>
    </w:p>
    <w:p w:rsidR="0044681F" w:rsidRPr="006C79D6" w:rsidRDefault="0044681F" w:rsidP="00F07C91">
      <w:pPr>
        <w:rPr>
          <w:b/>
          <w:u w:val="single"/>
        </w:rPr>
      </w:pPr>
      <w:r w:rsidRPr="006C79D6">
        <w:rPr>
          <w:b/>
          <w:u w:val="single"/>
        </w:rPr>
        <w:t>Τεχνολογίες πληροφορικής και επικοινωνιών:</w:t>
      </w:r>
    </w:p>
    <w:p w:rsidR="003970DC" w:rsidRDefault="0044681F" w:rsidP="004D6290">
      <w:pPr>
        <w:pStyle w:val="ListParagraph"/>
        <w:numPr>
          <w:ilvl w:val="0"/>
          <w:numId w:val="12"/>
        </w:numPr>
      </w:pPr>
      <w:r w:rsidRPr="0044681F">
        <w:t xml:space="preserve">Πραγματοποιήθηκε στις </w:t>
      </w:r>
      <w:r w:rsidRPr="004D6290">
        <w:rPr>
          <w:u w:val="single"/>
        </w:rPr>
        <w:t>18 Οκτωβρίου 2013</w:t>
      </w:r>
      <w:r w:rsidRPr="0044681F">
        <w:t xml:space="preserve"> η 1</w:t>
      </w:r>
      <w:r w:rsidRPr="004D6290">
        <w:rPr>
          <w:vertAlign w:val="superscript"/>
        </w:rPr>
        <w:t>η</w:t>
      </w:r>
      <w:r w:rsidR="004D6290">
        <w:t xml:space="preserve"> </w:t>
      </w:r>
      <w:r w:rsidRPr="0044681F">
        <w:t>συνάντηση της πλατφόρμας για τον τομέα της Πληροφορικής &amp; Τηλεπικοινωνιών.</w:t>
      </w:r>
      <w:r w:rsidR="009750EF">
        <w:t xml:space="preserve"> </w:t>
      </w:r>
      <w:r w:rsidR="009750EF" w:rsidRPr="009750EF">
        <w:t>Στη συνάντηση συμμετείχαν εκπρόσωποι παραγωγικών φορέων, εκπρόσωποι Ερευνητικών Κέντρων και ΑΕΙ με δραστηριότητα στις ΤΠΕ, εθνικοί εκπρόσωποι για τις ΤΠΕ στα Προγράμματα Πλαίσιο για την Έρευνα της Ευρωπαϊκής Επιτροπής, εκπρόσωποι κυβερνητικών φορέων με αρμοδιότητα πολιτικής σε θέματα ΤΠΕ, βασικές επιχειρήσεις καθώς και Μη κερδοσκοπικοί φορείς που δραστηριοποιούνται στον συγκεκριμένο τομέα.</w:t>
      </w:r>
      <w:r w:rsidR="004D6290">
        <w:t xml:space="preserve"> </w:t>
      </w:r>
      <w:r w:rsidR="003970DC" w:rsidRPr="00137C5D">
        <w:t>Αντικείμενο της συζήτησης ήταν μεταξύ άλλων η ανάδειξη ερευνητικών προτεραιοτήτων και δημιουργία σχεδίου δράσεων που αφορούσαν στον τομέα «ΤΠΕ» σύμφωνα με την στρατηγική της «ευφυούς» εξειδίκευσης της ΓΓΕΤ στο πλαίσιο του σχεδιασμού και κατάρτισης του Εθνικού Αναπτυξιακού Προγραμματισμού για την περίοδο 2014 – 2020.</w:t>
      </w:r>
    </w:p>
    <w:p w:rsidR="009750EF" w:rsidRDefault="009750EF" w:rsidP="001B2DD1">
      <w:pPr>
        <w:pStyle w:val="ListParagraph"/>
        <w:numPr>
          <w:ilvl w:val="0"/>
          <w:numId w:val="12"/>
        </w:numPr>
      </w:pPr>
      <w:r>
        <w:t xml:space="preserve">Πραγματοποιήθηκε στις </w:t>
      </w:r>
      <w:r w:rsidRPr="00BC6F26">
        <w:rPr>
          <w:u w:val="single"/>
        </w:rPr>
        <w:t>18 Φεβρουαρίου 2014</w:t>
      </w:r>
      <w:r w:rsidR="005C07FC">
        <w:t xml:space="preserve"> η 2</w:t>
      </w:r>
      <w:r w:rsidR="005C07FC" w:rsidRPr="004D6290">
        <w:rPr>
          <w:vertAlign w:val="superscript"/>
        </w:rPr>
        <w:t>η</w:t>
      </w:r>
      <w:r w:rsidR="004D6290">
        <w:t xml:space="preserve"> </w:t>
      </w:r>
      <w:r w:rsidR="005C07FC">
        <w:t>συνάντηση ε</w:t>
      </w:r>
      <w:r>
        <w:t xml:space="preserve">ργασίας </w:t>
      </w:r>
      <w:r w:rsidR="005C07FC">
        <w:t xml:space="preserve">της πλατφόρμας </w:t>
      </w:r>
      <w:r>
        <w:t>για τη διαμόρφωση προτεραιοτήτων Έρευνας και Τεχνολογίας αναφορικά με τον τομέα Πληροφορικής και Επικοινωνιών (ΤΠΕ), στο πλαίσιο της Νέας Προγραμματικής Περιόδου 2014-2020. Αντικείμενο της συζήτησης ήταν η παρουσίαση των αποτελεσμάτων που προέκυψαν από την επεξεργασία των ερωτηματολογίων που υποβλήθηκαν σε συνέχεια της 1</w:t>
      </w:r>
      <w:r w:rsidRPr="004D6290">
        <w:rPr>
          <w:vertAlign w:val="superscript"/>
        </w:rPr>
        <w:t>ης</w:t>
      </w:r>
      <w:r w:rsidR="004D6290">
        <w:t xml:space="preserve"> </w:t>
      </w:r>
      <w:r>
        <w:t xml:space="preserve">συνάντησης, η αναζήτηση συνεργειών με τις σχεδιαζόμενες δράσεις των περιφερειών και η διατύπωση προτάσεων επί συγκεκριμένων θεμάτων. </w:t>
      </w:r>
    </w:p>
    <w:p w:rsidR="00F94F77" w:rsidRDefault="004D6290" w:rsidP="001B2DD1">
      <w:pPr>
        <w:pStyle w:val="ListParagraph"/>
        <w:numPr>
          <w:ilvl w:val="0"/>
          <w:numId w:val="12"/>
        </w:numPr>
      </w:pPr>
      <w:r>
        <w:t xml:space="preserve">Πραγματοποιήθηκε στις </w:t>
      </w:r>
      <w:r w:rsidR="0044681F" w:rsidRPr="00BC6F26">
        <w:rPr>
          <w:u w:val="single"/>
        </w:rPr>
        <w:t>01.03.2016</w:t>
      </w:r>
      <w:r w:rsidR="0044681F">
        <w:t xml:space="preserve"> </w:t>
      </w:r>
      <w:r>
        <w:t>η σ</w:t>
      </w:r>
      <w:r w:rsidR="0044681F">
        <w:t xml:space="preserve">ύσταση και συγκρότηση </w:t>
      </w:r>
      <w:r w:rsidR="00F94F77">
        <w:t xml:space="preserve">ενδεκαμελούς </w:t>
      </w:r>
      <w:r w:rsidR="0044681F">
        <w:t>συμβουλευτικής ομάδας εργασίας της πλατφόρμας «Τεχνολογίες Πληροφορικής &amp; Επικοινωνιών» στο πλαίσιο της Στρατηγικής Έρευνας και Καινοτομίας για την Έξυπνη Εξειδίκευση της νέας προγραμματικής περιόδου 2014-2020</w:t>
      </w:r>
      <w:r w:rsidR="009750EF">
        <w:t>.</w:t>
      </w:r>
      <w:r w:rsidR="00F94F77">
        <w:t xml:space="preserve"> Σ</w:t>
      </w:r>
      <w:r w:rsidR="006F6A03">
        <w:t>ύμφωνα με τη σχετική</w:t>
      </w:r>
      <w:r w:rsidR="00F94F77">
        <w:t xml:space="preserve"> Απ</w:t>
      </w:r>
      <w:r w:rsidR="006F6A03">
        <w:t>όφαση σ</w:t>
      </w:r>
      <w:r w:rsidR="00F94F77">
        <w:t>ύστασης του Γενικού Γραμματέα Ε&amp;Τ το έργο της ομάδας εργασίας θα ήταν:</w:t>
      </w:r>
    </w:p>
    <w:p w:rsidR="00F94F77" w:rsidRDefault="00F94F77" w:rsidP="002B247F">
      <w:pPr>
        <w:pStyle w:val="ListParagraph"/>
        <w:numPr>
          <w:ilvl w:val="0"/>
          <w:numId w:val="33"/>
        </w:numPr>
      </w:pPr>
      <w:r>
        <w:t xml:space="preserve">Η προετοιμασία </w:t>
      </w:r>
      <w:r w:rsidRPr="00F94F77">
        <w:rPr>
          <w:b/>
        </w:rPr>
        <w:t>σχεδίου δράσης</w:t>
      </w:r>
      <w:r>
        <w:t xml:space="preserve"> (action plan) για τον Τομέα που θα περιέχει τους στόχους, τους δείκτες που θα χρησιμοποιηθούν, το χρονοδιάγραμμα των παρεμβάσεων, καθώς και τις δράσεις του Τομέα (προκηρύξεις), συμπεριλαμβανομένων των μέσων εφαρμογής και του προϋπολογισμού, με βάση την εγκεκριμένη στρατηγική έξυπνης εξειδίκευσης (RIS3)</w:t>
      </w:r>
      <w:r w:rsidR="004D6290">
        <w:t>.</w:t>
      </w:r>
    </w:p>
    <w:p w:rsidR="00F94F77" w:rsidRDefault="00F94F77" w:rsidP="002B247F">
      <w:pPr>
        <w:pStyle w:val="ListParagraph"/>
        <w:numPr>
          <w:ilvl w:val="0"/>
          <w:numId w:val="33"/>
        </w:numPr>
      </w:pPr>
      <w:r>
        <w:t>Η προετοιμασία πιλοτικής δράσης, κατόπιν εφαρμογής της διαδικασίας επιχειρηματικής ανακάλυψης</w:t>
      </w:r>
      <w:r w:rsidR="004D6290">
        <w:t>.</w:t>
      </w:r>
    </w:p>
    <w:p w:rsidR="00F94F77" w:rsidRDefault="00F94F77" w:rsidP="002B247F">
      <w:pPr>
        <w:pStyle w:val="ListParagraph"/>
        <w:numPr>
          <w:ilvl w:val="0"/>
          <w:numId w:val="33"/>
        </w:numPr>
      </w:pPr>
      <w:r>
        <w:t>Η αξιολόγηση των αποτελεσμάτων του σχεδίου δράσης με στόχο την πιθανή αναθεώρησή του.</w:t>
      </w:r>
    </w:p>
    <w:p w:rsidR="00F94F77" w:rsidRDefault="00F94F77" w:rsidP="002B247F">
      <w:pPr>
        <w:pStyle w:val="ListParagraph"/>
        <w:numPr>
          <w:ilvl w:val="0"/>
          <w:numId w:val="33"/>
        </w:numPr>
      </w:pPr>
      <w:r>
        <w:t>Η εξέταση και ενδεχόμενη επικαιροποίηση των προτεραιοτήτων και του κειμένου βάσης της εγκεκριμένης στρατηγικής του τομέα, με εφαρμογή της διαδικασίας επιχειρηματικής ανακάλυψης.</w:t>
      </w:r>
    </w:p>
    <w:p w:rsidR="00F94F77" w:rsidRDefault="00F94F77" w:rsidP="002B247F">
      <w:pPr>
        <w:pStyle w:val="ListParagraph"/>
        <w:numPr>
          <w:ilvl w:val="0"/>
          <w:numId w:val="33"/>
        </w:numPr>
      </w:pPr>
      <w:r>
        <w:t>Η συμμετοχή στις συναντήσεις της πλατφόρμας σε πλήρη σύνθεση για την οριστική διαβούλευση των προτεινόμενων ενεργειών.</w:t>
      </w:r>
    </w:p>
    <w:p w:rsidR="00F94F77" w:rsidRDefault="00F94F77" w:rsidP="002B247F">
      <w:pPr>
        <w:pStyle w:val="ListParagraph"/>
        <w:numPr>
          <w:ilvl w:val="0"/>
          <w:numId w:val="33"/>
        </w:numPr>
      </w:pPr>
      <w:r>
        <w:t>Η διατύπωση εισηγήσεων προς την ΓΓΕΤ για τη βέλτιστη εφαρμογή της διαδικασίας της επιχειρηματικής ανακάλυψης στον τομέα και προετοιμασία σχετικών ερωτηματολογίων προς τα μέλη της πλατφόρμας.</w:t>
      </w:r>
    </w:p>
    <w:p w:rsidR="00F94F77" w:rsidRDefault="00D92B08" w:rsidP="002B247F">
      <w:pPr>
        <w:pStyle w:val="ListParagraph"/>
        <w:numPr>
          <w:ilvl w:val="0"/>
          <w:numId w:val="33"/>
        </w:numPr>
      </w:pPr>
      <w:r>
        <w:t>Η α</w:t>
      </w:r>
      <w:r w:rsidR="00F94F77">
        <w:t>ποδελτίωση των αποτελεσμάτων των διαβουλεύσεων της πλατφόρμας και εξαγωγή συμπερασμάτων από τις απαντήσεις των ερωτηματολογίων και τις συνεδριάσεις των μελών της πλατφόρμας.</w:t>
      </w:r>
    </w:p>
    <w:p w:rsidR="00F94F77" w:rsidRDefault="00D92B08" w:rsidP="002B247F">
      <w:pPr>
        <w:pStyle w:val="ListParagraph"/>
        <w:numPr>
          <w:ilvl w:val="0"/>
          <w:numId w:val="33"/>
        </w:numPr>
      </w:pPr>
      <w:r>
        <w:t>Η ε</w:t>
      </w:r>
      <w:r w:rsidR="00F94F77">
        <w:t xml:space="preserve">πίβλεψη της κατάρτισης κάθε δύο έτη, της αναφοράς προόδου σχετικά με την εξέλιξη του τομέα και την αποτελεσματικότητα των δράσεων που έχουν προκηρυχθεί καθώς και άλλα θέματα που αφορούν </w:t>
      </w:r>
      <w:r w:rsidR="004D6290">
        <w:t>σ</w:t>
      </w:r>
      <w:r w:rsidR="00F94F77">
        <w:t>την εξέλιξη του τομέα.</w:t>
      </w:r>
    </w:p>
    <w:p w:rsidR="00F94F77" w:rsidRDefault="00F94F77" w:rsidP="00BC6F26">
      <w:pPr>
        <w:ind w:left="720"/>
      </w:pPr>
      <w:r>
        <w:lastRenderedPageBreak/>
        <w:t xml:space="preserve">Στις εργασίες της ομάδας εργασίας </w:t>
      </w:r>
      <w:r w:rsidR="004D6290">
        <w:t>δύντανται</w:t>
      </w:r>
      <w:r>
        <w:t xml:space="preserve"> να συμμετάσχουν έπειτα από πρόσκληση, στελέχη Υπουργείων και Περιφερειών καθώς και εμπειρογνώμονες.</w:t>
      </w:r>
    </w:p>
    <w:p w:rsidR="009750EF" w:rsidRPr="009750EF" w:rsidRDefault="009750EF" w:rsidP="001B2DD1">
      <w:pPr>
        <w:pStyle w:val="ListParagraph"/>
        <w:numPr>
          <w:ilvl w:val="0"/>
          <w:numId w:val="12"/>
        </w:numPr>
      </w:pPr>
      <w:r w:rsidRPr="009750EF">
        <w:t xml:space="preserve">Στο πλαίσιο </w:t>
      </w:r>
      <w:r w:rsidR="00431760">
        <w:t>της προκήρυξης της</w:t>
      </w:r>
      <w:r w:rsidRPr="009750EF">
        <w:t xml:space="preserve"> Ενιαίας Δράσης Κρατικών Ενισχύσεων ΕΤΑΚ «ΕΡΕΥΝΩ – ΔΗΜΙΟΥΡΓΩ – ΚΑΙΝΟΤΟΜΩ» </w:t>
      </w:r>
      <w:r w:rsidR="00003238">
        <w:t xml:space="preserve"> </w:t>
      </w:r>
      <w:r w:rsidRPr="009750EF">
        <w:t>της Προ</w:t>
      </w:r>
      <w:r w:rsidR="00431760">
        <w:t xml:space="preserve">γραμματικής Περιόδου 2014-2020» </w:t>
      </w:r>
      <w:r w:rsidRPr="009750EF">
        <w:t>πραγματοπο</w:t>
      </w:r>
      <w:r w:rsidR="00431760">
        <w:t xml:space="preserve">ιήθηκε στις </w:t>
      </w:r>
      <w:r w:rsidR="00981F56" w:rsidRPr="00431760">
        <w:rPr>
          <w:u w:val="single"/>
        </w:rPr>
        <w:t xml:space="preserve">22 Σεπτεμβρίου </w:t>
      </w:r>
      <w:r w:rsidRPr="00431760">
        <w:rPr>
          <w:u w:val="single"/>
        </w:rPr>
        <w:t>2016</w:t>
      </w:r>
      <w:r w:rsidR="00431760">
        <w:t xml:space="preserve">, </w:t>
      </w:r>
      <w:r w:rsidR="004D6290">
        <w:t>σ</w:t>
      </w:r>
      <w:r w:rsidRPr="009750EF">
        <w:t>το Ελληνικ</w:t>
      </w:r>
      <w:r w:rsidR="004D6290">
        <w:t>ό</w:t>
      </w:r>
      <w:r w:rsidRPr="009750EF">
        <w:t xml:space="preserve"> Ινστιτούτο Παστέ</w:t>
      </w:r>
      <w:r w:rsidR="00431760">
        <w:t xml:space="preserve">ρ, </w:t>
      </w:r>
      <w:r w:rsidR="004D6290">
        <w:t>στην</w:t>
      </w:r>
      <w:r w:rsidR="00431760">
        <w:t xml:space="preserve"> Αθήνα</w:t>
      </w:r>
      <w:r w:rsidR="004D6290">
        <w:t>,</w:t>
      </w:r>
      <w:r w:rsidR="00431760">
        <w:t xml:space="preserve"> </w:t>
      </w:r>
      <w:r w:rsidRPr="009750EF">
        <w:t xml:space="preserve">συνάντηση της Πλατφόρμας «ΤΕΧΝΟΛΟΓΙΕΣ ΠΛΗΡΟΦΟΡΙΚΗΣ &amp; ΕΠΙΚΟΙΝΩΝΙΩΝ» αναφορικά με τη διαμόρφωση προτεραιοτήτων Έρευνας και Τεχνολογίας </w:t>
      </w:r>
      <w:r w:rsidR="00431760">
        <w:t>σ</w:t>
      </w:r>
      <w:r w:rsidRPr="009750EF">
        <w:t>τον εν λόγω τομέα.</w:t>
      </w:r>
      <w:r>
        <w:t xml:space="preserve"> </w:t>
      </w:r>
      <w:r w:rsidRPr="009750EF">
        <w:t>Αντικείμενο της συνάντησης ήταν η παρουσίαση ερευνητικών προτεραιοτήτων και δράσεων που αφορ</w:t>
      </w:r>
      <w:r w:rsidR="00431760">
        <w:t>ούσαν</w:t>
      </w:r>
      <w:r w:rsidRPr="009750EF">
        <w:t xml:space="preserve"> στον τομέα «ΤΕΧΝΟΛΟΓΙΕΣ ΠΛΗΡΟΦΟΡΙΚΗΣ &amp; ΕΠΙΚΟΙΝΩΝΙΩΝ», σύμφωνα με την στρατηγική της «ευφυούς» εξειδίκευσης, στο πλαίσιο του Εθνικού Αναπτυξιακού Προγραμματισμού για την περίοδο 2014 – 2020, και αναφορικά με την ως άνω αναφερόμενη προκήρυξη.</w:t>
      </w:r>
    </w:p>
    <w:p w:rsidR="009750EF" w:rsidRPr="00137C5D" w:rsidRDefault="009750EF" w:rsidP="001B2DD1">
      <w:pPr>
        <w:pStyle w:val="ListParagraph"/>
        <w:numPr>
          <w:ilvl w:val="0"/>
          <w:numId w:val="12"/>
        </w:numPr>
      </w:pPr>
      <w:r w:rsidRPr="00137C5D">
        <w:t>Πραγματοποιήθηκε στις 28 Μαρτίου 2016</w:t>
      </w:r>
      <w:r w:rsidR="000474BF">
        <w:t>,</w:t>
      </w:r>
      <w:r w:rsidRPr="00137C5D">
        <w:t xml:space="preserve"> η 1</w:t>
      </w:r>
      <w:r w:rsidRPr="000474BF">
        <w:rPr>
          <w:vertAlign w:val="superscript"/>
        </w:rPr>
        <w:t>η</w:t>
      </w:r>
      <w:r w:rsidR="000474BF">
        <w:t xml:space="preserve"> </w:t>
      </w:r>
      <w:r w:rsidRPr="00137C5D">
        <w:t>συνάντηση, στις 29 Ιουνίου 2016</w:t>
      </w:r>
      <w:r w:rsidR="000474BF">
        <w:t>,</w:t>
      </w:r>
      <w:r w:rsidRPr="00137C5D">
        <w:t xml:space="preserve"> η 2</w:t>
      </w:r>
      <w:r w:rsidRPr="000474BF">
        <w:rPr>
          <w:vertAlign w:val="superscript"/>
        </w:rPr>
        <w:t>η</w:t>
      </w:r>
      <w:r w:rsidR="000474BF">
        <w:t xml:space="preserve"> </w:t>
      </w:r>
      <w:r w:rsidRPr="00137C5D">
        <w:t>συνάντηση και στις 23 Νοεμβρίου 2017 η 3</w:t>
      </w:r>
      <w:r w:rsidRPr="000474BF">
        <w:rPr>
          <w:vertAlign w:val="superscript"/>
        </w:rPr>
        <w:t>η</w:t>
      </w:r>
      <w:r w:rsidR="000474BF">
        <w:t xml:space="preserve">  </w:t>
      </w:r>
      <w:r w:rsidRPr="00137C5D">
        <w:t>συνάντηση της συμβουλευτικής ομάδας.</w:t>
      </w:r>
    </w:p>
    <w:p w:rsidR="0044681F" w:rsidRPr="0044681F" w:rsidRDefault="009750EF" w:rsidP="00F07C91">
      <w:pPr>
        <w:rPr>
          <w:b/>
        </w:rPr>
      </w:pPr>
      <w:r w:rsidRPr="006C79D6">
        <w:rPr>
          <w:b/>
          <w:u w:val="single"/>
        </w:rPr>
        <w:t>Βιοεπιστήμες, Υγεία και Φάρμακα</w:t>
      </w:r>
    </w:p>
    <w:p w:rsidR="009750EF" w:rsidRDefault="009750EF" w:rsidP="001B2DD1">
      <w:pPr>
        <w:pStyle w:val="ListParagraph"/>
        <w:numPr>
          <w:ilvl w:val="0"/>
          <w:numId w:val="13"/>
        </w:numPr>
      </w:pPr>
      <w:r w:rsidRPr="009750EF">
        <w:t>Στις 24 Ιανουαρίου  2014</w:t>
      </w:r>
      <w:r w:rsidR="000474BF">
        <w:t>,</w:t>
      </w:r>
      <w:r w:rsidRPr="009750EF">
        <w:t xml:space="preserve"> πραγματοποιήθηκε η 1</w:t>
      </w:r>
      <w:r w:rsidRPr="000474BF">
        <w:rPr>
          <w:vertAlign w:val="superscript"/>
        </w:rPr>
        <w:t>η</w:t>
      </w:r>
      <w:r w:rsidR="000474BF">
        <w:t xml:space="preserve"> </w:t>
      </w:r>
      <w:r w:rsidRPr="009750EF">
        <w:t xml:space="preserve">συνάντηση της πλατφόρμας για τον τομέα της Υγείας και Φαρμάκων. Στη συνάντηση συμμετείχαν εκπρόσωποι παραγωγικών φορέων, εκπρόσωποι Ερευνητικών Κέντρων και ΑΕΙ με δραστηριότητα στον τομέα της Υγείας και Φαρμάκων, εθνικοί εκπρόσωποι για τον τομέα στο Πρόγραμμα Πλαίσιο για την Έρευνα της Ευρωπαϊκής Επιτροπής, εκπρόσωποι κυβερνητικών φορέων με αρμοδιότητα πολιτικής σε θέματα Υγείας και Φαρμάκων, βασικές επιχειρήσεις καθώς και Μη κερδοσκοπικοί φορείς που δραστηριοποιούνται στον συγκεκριμένο τομέα. </w:t>
      </w:r>
    </w:p>
    <w:p w:rsidR="00077986" w:rsidRDefault="000474BF" w:rsidP="005D4783">
      <w:pPr>
        <w:pStyle w:val="ListParagraph"/>
        <w:numPr>
          <w:ilvl w:val="0"/>
          <w:numId w:val="13"/>
        </w:numPr>
      </w:pPr>
      <w:r w:rsidRPr="009750EF">
        <w:t xml:space="preserve">Στις </w:t>
      </w:r>
      <w:r w:rsidR="009750EF">
        <w:t>13</w:t>
      </w:r>
      <w:r>
        <w:t xml:space="preserve"> Απριλίου </w:t>
      </w:r>
      <w:r w:rsidR="009750EF">
        <w:t xml:space="preserve">2016, </w:t>
      </w:r>
      <w:r>
        <w:t>ε</w:t>
      </w:r>
      <w:r w:rsidR="00077986">
        <w:t xml:space="preserve">κδόθηκε Απόφαση </w:t>
      </w:r>
      <w:r w:rsidR="009750EF">
        <w:t>Σύσταση</w:t>
      </w:r>
      <w:r w:rsidR="00077986">
        <w:t>ς</w:t>
      </w:r>
      <w:r w:rsidR="009750EF">
        <w:t xml:space="preserve"> και συγκρότηση</w:t>
      </w:r>
      <w:r w:rsidR="00077986">
        <w:t>ς</w:t>
      </w:r>
      <w:r w:rsidR="009750EF">
        <w:t xml:space="preserve"> συμβουλευτικής ομάδας εργασίας της πλατφόρμας «Βιοεπιστήμες, Υγεία και Φάρμακα» στο πλαίσιο της Στρατηγικής Έρευνας και Καινοτομίας για την Έξυπνη Εξειδίκευση της προγραμματικής περιόδου 2014- 2020.</w:t>
      </w:r>
      <w:r>
        <w:t xml:space="preserve"> </w:t>
      </w:r>
      <w:r w:rsidR="00077986">
        <w:t>Σύμφωνα την Απόφαση σύστασης το έργο της ομάδας εργασίας θα ήταν το ακόλουθο:</w:t>
      </w:r>
    </w:p>
    <w:p w:rsidR="00077986" w:rsidRDefault="00077986" w:rsidP="002B247F">
      <w:pPr>
        <w:pStyle w:val="ListParagraph"/>
        <w:numPr>
          <w:ilvl w:val="0"/>
          <w:numId w:val="33"/>
        </w:numPr>
      </w:pPr>
      <w:r>
        <w:t>Η προετοιμασία Πιλοτικής Δράσης στον Τομέα «Βιοεπιστήμες, Υγεία και Φάρμακα» μετά από εφαρμογή της διαδικασίας της επιχειρηματικής ανακάλυψης.</w:t>
      </w:r>
    </w:p>
    <w:p w:rsidR="00077986" w:rsidRDefault="00077986" w:rsidP="002B247F">
      <w:pPr>
        <w:pStyle w:val="ListParagraph"/>
        <w:numPr>
          <w:ilvl w:val="0"/>
          <w:numId w:val="33"/>
        </w:numPr>
      </w:pPr>
      <w:r>
        <w:t xml:space="preserve">Η προετοιμασία </w:t>
      </w:r>
      <w:r w:rsidRPr="00AD20C3">
        <w:rPr>
          <w:b/>
        </w:rPr>
        <w:t>Σχεδίου Δράσης</w:t>
      </w:r>
      <w:r>
        <w:t xml:space="preserve"> (Action Plan) του Τομέα «Βιοεπιστήμες, Υγεία και Φάρμακα» που θα ενσωματώνει τους στόχους, τους δείκτες που θα χρησιμοποιηθούν, το χρονοδιάγραμμα παρεμβάσεων</w:t>
      </w:r>
      <w:r w:rsidR="000474BF">
        <w:t>,</w:t>
      </w:r>
      <w:r>
        <w:t xml:space="preserve"> καθώς και τις δράσεις του Τομέα (Προκηρύξεις). Θα περιέχει τα αποτελέσματα που έχουν προκύψει από τις εργασίες της πλατφόρμας, καθώς και τα εργαλεία εφαρμογής και προϋπολογισμούς της εγκεκριμένης Στρατηγικής Έξυπνης Εξειδίκευσης (RIS3).</w:t>
      </w:r>
    </w:p>
    <w:p w:rsidR="00077986" w:rsidRDefault="00077986" w:rsidP="002B247F">
      <w:pPr>
        <w:pStyle w:val="ListParagraph"/>
        <w:numPr>
          <w:ilvl w:val="0"/>
          <w:numId w:val="33"/>
        </w:numPr>
      </w:pPr>
      <w:r>
        <w:t>Η εξέταση και εφόσον θεωρηθεί σκόπιμο, επικαιροποίηση και τεκμηρίωση του Κειμένου Βάσης και των περιεχόμενων προτεραιοτήτων στον συγκεκριμένο τομέα με εφαρμογή της διαδικασίας επιχειρηματικής ανακάλυψης.</w:t>
      </w:r>
    </w:p>
    <w:p w:rsidR="00077986" w:rsidRDefault="00077986" w:rsidP="002B247F">
      <w:pPr>
        <w:pStyle w:val="ListParagraph"/>
        <w:numPr>
          <w:ilvl w:val="0"/>
          <w:numId w:val="33"/>
        </w:numPr>
      </w:pPr>
      <w:r>
        <w:t xml:space="preserve"> Η αξιολόγηση των αποτελεσμάτων του Σχεδίου Δράσης (Action Plan) με στόχο την πιθανή αναθεώρηση του, μέσω διορθωτικών παρεμβάσεων.</w:t>
      </w:r>
    </w:p>
    <w:p w:rsidR="00077986" w:rsidRDefault="00077986" w:rsidP="002B247F">
      <w:pPr>
        <w:pStyle w:val="ListParagraph"/>
        <w:numPr>
          <w:ilvl w:val="0"/>
          <w:numId w:val="33"/>
        </w:numPr>
      </w:pPr>
      <w:r>
        <w:t>Εισηγήσεις και προτάσεις προς την ΓΓΕΤ για τη βέλτιστη εφαρμογή της διαδικασίας της επιχειρηματικής ανακάλυψης στον τομέα «Βιοεπιστήμες, Υγεία και Φάρμακα» και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w:t>
      </w:r>
    </w:p>
    <w:p w:rsidR="00077986" w:rsidRDefault="00077986" w:rsidP="002B247F">
      <w:pPr>
        <w:pStyle w:val="ListParagraph"/>
        <w:numPr>
          <w:ilvl w:val="0"/>
          <w:numId w:val="33"/>
        </w:numPr>
      </w:pPr>
      <w:r>
        <w:t>Η συμμετοχή στις συναντήσεις της πλατφόρμας «Βιοεπιστήμες, Υγεία και Φάρμακα» σε πλήρη σύνθεση και για την οριστική διαβούλευση των προτεινόμενων ενεργειών και αποτελεσμάτων.</w:t>
      </w:r>
    </w:p>
    <w:p w:rsidR="00077986" w:rsidRDefault="00077986" w:rsidP="002B247F">
      <w:pPr>
        <w:pStyle w:val="ListParagraph"/>
        <w:numPr>
          <w:ilvl w:val="0"/>
          <w:numId w:val="33"/>
        </w:numPr>
      </w:pPr>
      <w:r>
        <w:t xml:space="preserve">Η </w:t>
      </w:r>
      <w:r w:rsidR="00D92B08">
        <w:t>ε</w:t>
      </w:r>
      <w:r w:rsidR="00D92B08" w:rsidRPr="00DB3A57">
        <w:t>πίβλεψη</w:t>
      </w:r>
      <w:r w:rsidR="000474BF">
        <w:t>,</w:t>
      </w:r>
      <w:r>
        <w:t xml:space="preserve"> κάθε δυο έτη, Αναφοράς Προόδου σχετικά με την αποτελεσματικότητα των δράσεων που θα έχουν προκηρυχθεί καθώς και εξέταση άλλων θεμάτων που αφορούν στην εξέλιξη του τομέα «Βιοεπιστήμες, Υγεία και Φάρμακα».</w:t>
      </w:r>
    </w:p>
    <w:p w:rsidR="009750EF" w:rsidRDefault="00E66DA2" w:rsidP="001B2DD1">
      <w:pPr>
        <w:pStyle w:val="ListParagraph"/>
        <w:numPr>
          <w:ilvl w:val="0"/>
          <w:numId w:val="13"/>
        </w:numPr>
      </w:pPr>
      <w:r w:rsidRPr="009750EF">
        <w:lastRenderedPageBreak/>
        <w:t>Στο πλαίσιο προκήρυξης, Ενιαίας Δράσης Κρατικών Ενισχύσεων ΕΤΑΚ «ΕΡΕΥΝΩ – ΔΗΜΙΟΥΡΓΩ – ΚΑΙΝΟΤΟΜΩ» της Προγραμματικής Περιόδου 201</w:t>
      </w:r>
      <w:r w:rsidR="00DB3236">
        <w:t xml:space="preserve">4-2020» </w:t>
      </w:r>
      <w:r w:rsidR="00D05847">
        <w:t xml:space="preserve">πραγματοποιήθηκε στις </w:t>
      </w:r>
      <w:r w:rsidRPr="009750EF">
        <w:t>2</w:t>
      </w:r>
      <w:r>
        <w:t>6</w:t>
      </w:r>
      <w:r w:rsidR="00D05847">
        <w:t xml:space="preserve"> Σεπτεμβρίου </w:t>
      </w:r>
      <w:r w:rsidR="00373726">
        <w:t>2016, στο</w:t>
      </w:r>
      <w:r w:rsidRPr="009750EF">
        <w:t xml:space="preserve"> Ελληνικ</w:t>
      </w:r>
      <w:r w:rsidR="000474BF">
        <w:t>ό</w:t>
      </w:r>
      <w:r w:rsidRPr="009750EF">
        <w:t xml:space="preserve"> Ινστιτούτο Παστέρ</w:t>
      </w:r>
      <w:r w:rsidR="000474BF">
        <w:t>,</w:t>
      </w:r>
      <w:r>
        <w:t xml:space="preserve"> στην </w:t>
      </w:r>
      <w:r w:rsidR="00373726">
        <w:t>Αθήνα</w:t>
      </w:r>
      <w:r w:rsidR="000474BF">
        <w:t>,</w:t>
      </w:r>
      <w:r w:rsidR="00373726">
        <w:t xml:space="preserve"> </w:t>
      </w:r>
      <w:r w:rsidRPr="009750EF">
        <w:t xml:space="preserve">συνάντηση της </w:t>
      </w:r>
      <w:r w:rsidR="009750EF" w:rsidRPr="009750EF">
        <w:t>Ολομέλειας της Πλατφόρμας «ΥΓΕΙΑ &amp; ΦΑΡΜΑΚΑ» σχετικά με τη διαμόρφωση Ε&amp;Τ προτεραιοτήτων του τομέα, στο πλαίσιο επικείμενης προκήρυξης Ενιαίας Δράσης Κρατικών Ενισχύσεων ΕΤΑΚ «ΕΡΕΥΝΩ – ΔΗΜΙΟΥΡΓΩ – ΚΑΙΝΟΤΟΜΩ» της τρέχουσας Προγραμματικής Περιόδου 2014-2020»</w:t>
      </w:r>
      <w:r>
        <w:t>.</w:t>
      </w:r>
    </w:p>
    <w:p w:rsidR="00D05847" w:rsidRDefault="00E66DA2" w:rsidP="001B2DD1">
      <w:pPr>
        <w:pStyle w:val="ListParagraph"/>
        <w:numPr>
          <w:ilvl w:val="0"/>
          <w:numId w:val="13"/>
        </w:numPr>
      </w:pPr>
      <w:r w:rsidRPr="00E66DA2">
        <w:t>Στο πλαίσιο του σχεδιασμού των δράσεων της Προγραμματικής Περιόδου 2014 - 2020 πραγματοποιήθηκ</w:t>
      </w:r>
      <w:r w:rsidR="00D05847">
        <w:t xml:space="preserve">αν οι εξής συναντήσεις της συμβουλευτικής ομάδας </w:t>
      </w:r>
      <w:r w:rsidR="00B76228">
        <w:t>εργασίας</w:t>
      </w:r>
      <w:r w:rsidR="00D05847">
        <w:t>:</w:t>
      </w:r>
    </w:p>
    <w:p w:rsidR="00D05847" w:rsidRDefault="000474BF" w:rsidP="002B247F">
      <w:pPr>
        <w:pStyle w:val="ListParagraph"/>
        <w:numPr>
          <w:ilvl w:val="0"/>
          <w:numId w:val="33"/>
        </w:numPr>
      </w:pPr>
      <w:r>
        <w:t>Σ</w:t>
      </w:r>
      <w:r w:rsidR="00D05847" w:rsidRPr="00E66DA2">
        <w:t>τις 21 Απριλίου 2016</w:t>
      </w:r>
      <w:r w:rsidR="00D05847">
        <w:t xml:space="preserve">, πραγματοποιήθηκε </w:t>
      </w:r>
      <w:r w:rsidR="00E66DA2" w:rsidRPr="00E66DA2">
        <w:t xml:space="preserve">η </w:t>
      </w:r>
      <w:r w:rsidR="00D05847">
        <w:t>εναρκτήρια συνάντηση της σ</w:t>
      </w:r>
      <w:r w:rsidR="00E66DA2" w:rsidRPr="00E66DA2">
        <w:t>υμβουλε</w:t>
      </w:r>
      <w:r w:rsidR="00D05847">
        <w:t>υτικής ομάδας.</w:t>
      </w:r>
      <w:r w:rsidR="00D05847" w:rsidRPr="00D05847">
        <w:t xml:space="preserve"> Αντικείμενο της συνάντησης, μεταξύ άλλων ήταν η ενημέρωση των μελών της Ομάδας Εργασίας του τομέα στο σχεδιασμό και την εφαρμογή της επιχειρηματικής ανακάλυψης για την προγραμματική περίοδο 2014 – 2020, στην μέχρι</w:t>
      </w:r>
      <w:r w:rsidR="00D05847">
        <w:t xml:space="preserve"> τότε</w:t>
      </w:r>
      <w:r w:rsidR="00D05847" w:rsidRPr="00D05847">
        <w:t xml:space="preserve"> δραστηριότητα της πλατφόρμας «Υγεία και Φάρμακα» της ΓΓΕΤ για τη διαμόρφωση της ισχύουσας Στρατηγικής Έρευνας και Καινοτομίας για την Έξυπνη Εξειδίκευση, καθώς επίσης στο σχεδιασμό των επόμενων βημάτων μέσα από την λειτουργία της Συμβουλευτικής Ομάδας Εργασίας για την ανάδειξη ερευνητικών δράσεων, που </w:t>
      </w:r>
      <w:r w:rsidR="00373726" w:rsidRPr="00D05847">
        <w:t>αφορ</w:t>
      </w:r>
      <w:r w:rsidR="00373726">
        <w:t>ούσαν</w:t>
      </w:r>
      <w:r w:rsidR="00D05847" w:rsidRPr="00D05847">
        <w:t xml:space="preserve"> στον εν λόγω τομέα. Έγινε συζήτηση σχετικά με την πρόταση δημιουργίας πιλοτικής δράσης στον τομέα, καθώς επίσης προσπάθεια επιλογής συγκεκριμένων προτεραιοτήτων για την ανάδειξη αυτής της πιλοτικής δράσης</w:t>
      </w:r>
    </w:p>
    <w:p w:rsidR="00D05847" w:rsidRDefault="000474BF" w:rsidP="002B247F">
      <w:pPr>
        <w:pStyle w:val="ListParagraph"/>
        <w:numPr>
          <w:ilvl w:val="0"/>
          <w:numId w:val="33"/>
        </w:numPr>
      </w:pPr>
      <w:r>
        <w:t>Σ</w:t>
      </w:r>
      <w:r w:rsidR="00D05847">
        <w:t>τις</w:t>
      </w:r>
      <w:r w:rsidR="00E66DA2" w:rsidRPr="00E66DA2">
        <w:t xml:space="preserve">19 Μαΐου 2016, </w:t>
      </w:r>
      <w:r w:rsidR="00D05847">
        <w:t>πραγματοποιήθηκε η 2</w:t>
      </w:r>
      <w:r w:rsidR="00D05847" w:rsidRPr="000474BF">
        <w:rPr>
          <w:vertAlign w:val="superscript"/>
        </w:rPr>
        <w:t>η</w:t>
      </w:r>
      <w:r>
        <w:t xml:space="preserve"> </w:t>
      </w:r>
      <w:r w:rsidR="00D05847">
        <w:t>συνάντηση</w:t>
      </w:r>
      <w:r w:rsidRPr="000474BF">
        <w:t xml:space="preserve"> </w:t>
      </w:r>
      <w:r>
        <w:t>της σ</w:t>
      </w:r>
      <w:r w:rsidRPr="00E66DA2">
        <w:t>υμβουλε</w:t>
      </w:r>
      <w:r>
        <w:t>υτικής ομάδας</w:t>
      </w:r>
      <w:r w:rsidR="00D05847">
        <w:t>. Αντικείμενο της συνάντησης, μεταξύ άλλων ήταν η ενημέρωση των μελών της συμβουλευτικής ομάδας εργασίας του τομέα για τις εξελίξεις σχεδιασμού προκηρύξεων δράσεων. Επίσης</w:t>
      </w:r>
      <w:r w:rsidR="00E838B2" w:rsidRPr="00E838B2">
        <w:t>,</w:t>
      </w:r>
      <w:r w:rsidR="00D05847">
        <w:t xml:space="preserve"> </w:t>
      </w:r>
      <w:r w:rsidR="00373726">
        <w:t>λόγω της επικείμενης προκήρυξης</w:t>
      </w:r>
      <w:r w:rsidR="00D05847">
        <w:t xml:space="preserve"> της δράσης «ΕΡΕΥΝΩ – ΔΗΜΙΟΥΡΓΩ – ΚΑΙΝΟΤΟΜΩ», έγινε προσπάθεια ανάδειξης και προτεραιοποίησης θεματικών περιοχών, που αφορούσαν στον εν λόγω τομέα.</w:t>
      </w:r>
    </w:p>
    <w:p w:rsidR="00E66DA2" w:rsidRDefault="00E838B2" w:rsidP="002B247F">
      <w:pPr>
        <w:pStyle w:val="ListParagraph"/>
        <w:numPr>
          <w:ilvl w:val="0"/>
          <w:numId w:val="33"/>
        </w:numPr>
      </w:pPr>
      <w:r>
        <w:t>Την</w:t>
      </w:r>
      <w:r w:rsidR="00D05847">
        <w:t xml:space="preserve"> </w:t>
      </w:r>
      <w:r w:rsidR="00E66DA2" w:rsidRPr="00E66DA2">
        <w:t>1</w:t>
      </w:r>
      <w:r w:rsidR="00E66DA2" w:rsidRPr="00E838B2">
        <w:rPr>
          <w:vertAlign w:val="superscript"/>
        </w:rPr>
        <w:t>η</w:t>
      </w:r>
      <w:r w:rsidR="00E66DA2" w:rsidRPr="00E66DA2">
        <w:t xml:space="preserve"> Ιουλίου 2016</w:t>
      </w:r>
      <w:r w:rsidR="00B76228">
        <w:t xml:space="preserve"> πραγματοποιήθηκε </w:t>
      </w:r>
      <w:r w:rsidR="00E66DA2" w:rsidRPr="00E66DA2">
        <w:t xml:space="preserve"> η 3</w:t>
      </w:r>
      <w:r w:rsidR="00E66DA2" w:rsidRPr="00E838B2">
        <w:rPr>
          <w:vertAlign w:val="superscript"/>
        </w:rPr>
        <w:t>η</w:t>
      </w:r>
      <w:r>
        <w:t xml:space="preserve"> </w:t>
      </w:r>
      <w:r w:rsidR="00E66DA2" w:rsidRPr="00E66DA2">
        <w:t>συνάντηση της συμβουλευτικής ομάδας</w:t>
      </w:r>
      <w:r>
        <w:t>.</w:t>
      </w:r>
    </w:p>
    <w:p w:rsidR="009750EF" w:rsidRPr="006C79D6" w:rsidRDefault="00E66DA2" w:rsidP="00EB5844">
      <w:pPr>
        <w:rPr>
          <w:b/>
          <w:u w:val="single"/>
        </w:rPr>
      </w:pPr>
      <w:r w:rsidRPr="006C79D6">
        <w:rPr>
          <w:b/>
          <w:u w:val="single"/>
        </w:rPr>
        <w:t>Περιβάλλον και Βιώσιμη Ανάπτυξη</w:t>
      </w:r>
    </w:p>
    <w:p w:rsidR="00E66DA2" w:rsidRDefault="00E838B2" w:rsidP="001B2DD1">
      <w:pPr>
        <w:pStyle w:val="ListParagraph"/>
        <w:numPr>
          <w:ilvl w:val="0"/>
          <w:numId w:val="14"/>
        </w:numPr>
      </w:pPr>
      <w:r>
        <w:t>Στις</w:t>
      </w:r>
      <w:r w:rsidR="00E66DA2" w:rsidRPr="00E66DA2">
        <w:t xml:space="preserve"> 8 Ιουλίου 2013</w:t>
      </w:r>
      <w:r>
        <w:t xml:space="preserve"> π</w:t>
      </w:r>
      <w:r w:rsidRPr="00E66DA2">
        <w:t>ραγματοποιήθηκε</w:t>
      </w:r>
      <w:r w:rsidR="00E66DA2" w:rsidRPr="00E66DA2">
        <w:t xml:space="preserve"> η 1</w:t>
      </w:r>
      <w:r w:rsidR="00E66DA2" w:rsidRPr="00E838B2">
        <w:rPr>
          <w:vertAlign w:val="superscript"/>
        </w:rPr>
        <w:t>η</w:t>
      </w:r>
      <w:r>
        <w:t xml:space="preserve"> </w:t>
      </w:r>
      <w:r w:rsidR="00E66DA2" w:rsidRPr="00E66DA2">
        <w:t xml:space="preserve">συνάντηση της Ομάδας Εργασίας, στο πλαίσιο της Νέας Προγραμματικής Περιόδου 2014-2020 για τη διαμόρφωση Ερευνητικών και Τεχνολογικών προτεραιοτήτων και για τη διερεύνηση δημιουργίας Τεχνολογικής Πλατφόρμας στον τομέα του Περιβάλλοντος και της Βιώσιμης Ανάπτυξης. </w:t>
      </w:r>
    </w:p>
    <w:p w:rsidR="00337301" w:rsidRDefault="00337301" w:rsidP="001B2DD1">
      <w:pPr>
        <w:pStyle w:val="ListParagraph"/>
        <w:numPr>
          <w:ilvl w:val="0"/>
          <w:numId w:val="14"/>
        </w:numPr>
      </w:pPr>
      <w:r>
        <w:t>Στις 22 Ιανουαρίου 2014, πραγματοποιήθηκε η 2</w:t>
      </w:r>
      <w:r w:rsidRPr="00E838B2">
        <w:rPr>
          <w:vertAlign w:val="superscript"/>
        </w:rPr>
        <w:t>η</w:t>
      </w:r>
      <w:r w:rsidR="00E838B2">
        <w:t xml:space="preserve"> </w:t>
      </w:r>
      <w:r>
        <w:t>διευρυμένη συνάντηση της Ομάδας Εργασίας της πλατφόρμας του Περιβάλλοντος και της Βιώσιμης Ανάπτυξης, για τη διαμόρφωση Ερευνητικών και Τεχνολογικών προτεραιοτήτων στο πλαίσιο της Νέας Προγραμματικής Περιόδου 2014 - 2020. Σκοπός της συνάντησης μεταξύ άλλων ήταν η διεύρυνση του διαλόγου μεταξύ των εμπλεκομένων φορέων στην προσπάθεια ανάδειξης ερευνητικών προτεραιοτήτων και στη δημιουργία σχεδίου δράσεων που αφορούν στον τομέα «ΠΕΡΙΒΑΛΛΟΝ &amp; ΒΙΩΣΙΜΗ ΑΝΑΠΤΥΞΗ» σύμφωνα με τη στρατηγική της «ευφυούς» εξειδίκευσης της ΓΓΕΤ στο πλαίσιο του σχεδιασμού και κατάρτισης του Εθνικού Αναπτυξιακού Προγραμματισμού για την περίοδο 2014 – 2020.</w:t>
      </w:r>
    </w:p>
    <w:p w:rsidR="009750EF" w:rsidRDefault="00DB3236" w:rsidP="001B2DD1">
      <w:pPr>
        <w:pStyle w:val="ListParagraph"/>
        <w:numPr>
          <w:ilvl w:val="0"/>
          <w:numId w:val="14"/>
        </w:numPr>
      </w:pPr>
      <w:r>
        <w:t>Στις 2</w:t>
      </w:r>
      <w:r w:rsidR="00E838B2">
        <w:t xml:space="preserve"> Μαρτίου 2</w:t>
      </w:r>
      <w:r>
        <w:t xml:space="preserve">016 εκδόθηκε η Απόφαση </w:t>
      </w:r>
      <w:r w:rsidR="00E66DA2">
        <w:t>Σύσταση</w:t>
      </w:r>
      <w:r>
        <w:t>ς</w:t>
      </w:r>
      <w:r w:rsidR="00E66DA2">
        <w:t xml:space="preserve"> και συγκρότηση</w:t>
      </w:r>
      <w:r>
        <w:t>ς της</w:t>
      </w:r>
      <w:r w:rsidR="00E66DA2">
        <w:t xml:space="preserve"> συμβουλευτικής ομάδας εργασίας της πλατφόρμας «Περιβάλλον και Βιώσιμη Ανάπτυξη» στο πλαίσιο της Στρατηγικής Έρευνας και Καινοτομίας για την Έξυπνη Εξειδίκευση της προγραμματικής περιόδου 2014-2020.</w:t>
      </w:r>
      <w:r>
        <w:t xml:space="preserve"> Σύμφωνα με την Απόφαση, το έργο της ομάδας θα ήταν:</w:t>
      </w:r>
    </w:p>
    <w:p w:rsidR="00DB3236" w:rsidRPr="00DB3236" w:rsidRDefault="00DB3236" w:rsidP="002B247F">
      <w:pPr>
        <w:pStyle w:val="ListParagraph"/>
        <w:numPr>
          <w:ilvl w:val="0"/>
          <w:numId w:val="33"/>
        </w:numPr>
      </w:pPr>
      <w:r w:rsidRPr="00DB3236">
        <w:t xml:space="preserve">Η Προετοιμασία Πιλοτικής Δράσης στον Τομέα «Περιβάλλον και Βιώσιμη Ανάπτυξη» μετά από </w:t>
      </w:r>
      <w:r w:rsidR="003667A1">
        <w:t xml:space="preserve">την </w:t>
      </w:r>
      <w:r w:rsidRPr="00DB3236">
        <w:t xml:space="preserve">εφαρμογή της διαδικασίας της επιχειρηματικής ανακάλυψης. </w:t>
      </w:r>
    </w:p>
    <w:p w:rsidR="00DB3236" w:rsidRPr="00DB3236" w:rsidRDefault="00DB3236" w:rsidP="002B247F">
      <w:pPr>
        <w:pStyle w:val="ListParagraph"/>
        <w:numPr>
          <w:ilvl w:val="0"/>
          <w:numId w:val="33"/>
        </w:numPr>
      </w:pPr>
      <w:r>
        <w:t>Η π</w:t>
      </w:r>
      <w:r w:rsidRPr="00DB3236">
        <w:t xml:space="preserve">ροετοιμασία </w:t>
      </w:r>
      <w:r w:rsidRPr="00DB3236">
        <w:rPr>
          <w:b/>
        </w:rPr>
        <w:t>Σχεδίου Δράσης</w:t>
      </w:r>
      <w:r w:rsidRPr="00DB3236">
        <w:t xml:space="preserve"> (Action Plan) του Τομέα «Περιβάλλον και Βιώσιμη Ανάπτυξη» που θα ενσωματώνει τους στόχους, τους δείκτες που θα χρησιμοποιηθούν, το χρονοδιάγραμμα παρεμβάσεων καθώς και τις δράσεις του Τομέα (Προκηρύξεις). Θα περιέχει τα αποτελέσματα που έχουν προκύψει από τις εργασίες της πλατφόρμας, καθώς και τα εργαλεία εφαρμογής και προϋπολογισμούς της εγκεκριμένης Στρατηγικής Έξυπνης Εξειδίκευσης (RIS3). </w:t>
      </w:r>
    </w:p>
    <w:p w:rsidR="00DB3236" w:rsidRPr="00DB3236" w:rsidRDefault="00DB3236" w:rsidP="002B247F">
      <w:pPr>
        <w:pStyle w:val="ListParagraph"/>
        <w:numPr>
          <w:ilvl w:val="0"/>
          <w:numId w:val="33"/>
        </w:numPr>
      </w:pPr>
      <w:r>
        <w:lastRenderedPageBreak/>
        <w:t xml:space="preserve">Η εξέταση, </w:t>
      </w:r>
      <w:r w:rsidRPr="00DB3236">
        <w:t>επικαιροποίηση και τεκμηρίωση του Κειμένου Βάσης και των περιεχόμενων πρ</w:t>
      </w:r>
      <w:r>
        <w:t>οτεραιοτήτων στον συγκεκριμένο Τ</w:t>
      </w:r>
      <w:r w:rsidRPr="00DB3236">
        <w:t xml:space="preserve">ομέα με εφαρμογή της διαδικασίας επιχειρηματικής ανακάλυψης. </w:t>
      </w:r>
    </w:p>
    <w:p w:rsidR="00DB3236" w:rsidRPr="00DB3236" w:rsidRDefault="00DB3236" w:rsidP="002B247F">
      <w:pPr>
        <w:pStyle w:val="ListParagraph"/>
        <w:numPr>
          <w:ilvl w:val="0"/>
          <w:numId w:val="33"/>
        </w:numPr>
      </w:pPr>
      <w:r>
        <w:t>Η α</w:t>
      </w:r>
      <w:r w:rsidRPr="00DB3236">
        <w:t>ξιολόγηση των αποτελεσμάτων του Σχεδίου Δράσης (Action Plan) με στόχο την πιθανή αναθεώρησ</w:t>
      </w:r>
      <w:r w:rsidR="003667A1">
        <w:t>ή</w:t>
      </w:r>
      <w:r w:rsidRPr="00DB3236">
        <w:t xml:space="preserve"> του, μέσω διορθωτικών παρεμβάσεων. </w:t>
      </w:r>
    </w:p>
    <w:p w:rsidR="00DB3236" w:rsidRPr="00DB3236" w:rsidRDefault="00DB3236" w:rsidP="002B247F">
      <w:pPr>
        <w:pStyle w:val="ListParagraph"/>
        <w:numPr>
          <w:ilvl w:val="0"/>
          <w:numId w:val="33"/>
        </w:numPr>
      </w:pPr>
      <w:r>
        <w:t xml:space="preserve">Η διατύπωση εισηγήσεων </w:t>
      </w:r>
      <w:r w:rsidRPr="00DB3236">
        <w:t>προς την ΓΓΕΤ για τη βέλτιστη εφαρμογή της διαδικασίας της ε</w:t>
      </w:r>
      <w:r w:rsidR="000F1A64">
        <w:t>πιχειρηματικής ανακάλυψης στον Τ</w:t>
      </w:r>
      <w:r w:rsidRPr="00DB3236">
        <w:t xml:space="preserve">ομέα «Περιβάλλον και Βιώσιμη Ανάπτυξη» και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 </w:t>
      </w:r>
    </w:p>
    <w:p w:rsidR="00DB3236" w:rsidRPr="00DB3236" w:rsidRDefault="000F1A64" w:rsidP="002B247F">
      <w:pPr>
        <w:pStyle w:val="ListParagraph"/>
        <w:numPr>
          <w:ilvl w:val="0"/>
          <w:numId w:val="33"/>
        </w:numPr>
      </w:pPr>
      <w:r>
        <w:t xml:space="preserve">Η </w:t>
      </w:r>
      <w:r w:rsidR="00DB3236" w:rsidRPr="00DB3236">
        <w:t xml:space="preserve">Συμμετοχή στις συναντήσεις της πλατφόρμας σε πλήρη σύνθεση και για την οριστική διαβούλευση των προτεινόμενων ενεργειών και αποτελεσμάτων. </w:t>
      </w:r>
    </w:p>
    <w:p w:rsidR="00DB3236" w:rsidRPr="00DB3236" w:rsidRDefault="000F1A64" w:rsidP="002B247F">
      <w:pPr>
        <w:pStyle w:val="ListParagraph"/>
        <w:numPr>
          <w:ilvl w:val="0"/>
          <w:numId w:val="33"/>
        </w:numPr>
      </w:pPr>
      <w:r>
        <w:t xml:space="preserve">Η </w:t>
      </w:r>
      <w:r w:rsidR="00D92B08">
        <w:t>ε</w:t>
      </w:r>
      <w:r w:rsidR="00D92B08" w:rsidRPr="00DB3A57">
        <w:t xml:space="preserve">πίβλεψη </w:t>
      </w:r>
      <w:r w:rsidR="00DB3236" w:rsidRPr="00DB3236">
        <w:t xml:space="preserve">κάθε δυο έτη, </w:t>
      </w:r>
      <w:r>
        <w:t>μιας</w:t>
      </w:r>
      <w:r w:rsidR="00DB3236" w:rsidRPr="00DB3236">
        <w:t xml:space="preserve"> Αναφοράς Προόδου σχετικά με την αποτελεσματικότητα των δράσεων που έχουν προκηρυχθεί καθώς και εξέταση άλλων θεμάτων που αφορούν στην εξέλιξη του </w:t>
      </w:r>
      <w:r>
        <w:t>Τομέα.</w:t>
      </w:r>
      <w:r w:rsidR="00DB3236" w:rsidRPr="00DB3236">
        <w:t xml:space="preserve"> </w:t>
      </w:r>
    </w:p>
    <w:p w:rsidR="00337301" w:rsidRDefault="00337301" w:rsidP="001B2DD1">
      <w:pPr>
        <w:pStyle w:val="ListParagraph"/>
        <w:numPr>
          <w:ilvl w:val="0"/>
          <w:numId w:val="14"/>
        </w:numPr>
      </w:pPr>
      <w:r w:rsidRPr="00337301">
        <w:t xml:space="preserve">Στο πλαίσιο </w:t>
      </w:r>
      <w:r w:rsidR="00DB3A57">
        <w:t>της</w:t>
      </w:r>
      <w:r w:rsidRPr="00337301">
        <w:t xml:space="preserve"> προκήρυξης, Ενιαίας Δράσης Κρατικών Ενισχύσεων ΕΤΑΚ «ΕΡΕΥΝΩ – ΔΗΜΙΟΥΡΓΩ – ΚΑΙΝΟΤΟΜΩ» της Προγραμματικής Περιόδου 2014-2020» πραγματοποιήθηκε στις 4 Ιουλίου 2016, συνάντηση της Πλατφόρμας «ΠΕΡΙΒΑΛΛΟΝ &amp; ΒΙΩΣΙΜΗ ΑΝΑΠΤΥΞΗ» αναφορικά με τη διαμόρφωση προτεραιοτήτων Έρευνας και Τεχνολογίας </w:t>
      </w:r>
      <w:r w:rsidR="003667A1">
        <w:t>για</w:t>
      </w:r>
      <w:r w:rsidRPr="00337301">
        <w:t xml:space="preserve"> τον εν λόγω τομέα. Αντικείμενο της συνάντησης ήταν η παρουσίαση ερευνητικών προτεραιοτήτων και δράσεων που αφορούν στον τομέα «ΠΕΡΙΒΑΛΛΟΝ και ΒΙΩΣΙΜΗ ΑΝΑΠΤΥΞΗ» σύμφωνα με τη στρατηγική της «ευφυούς» εξειδίκευσης, στο πλαίσιο του Εθνικού Αναπτυξιακού Προγραμματισμού για την περίοδο 2014 – 2020, και αναφορικά με την ως άνω αναφερόμενη  επικείμενη προκήρυξη Ενιαίας Δράσης Κρατικών Ενισχύσεων ΕΤΑΚ.</w:t>
      </w:r>
    </w:p>
    <w:p w:rsidR="00337301" w:rsidRPr="00337301" w:rsidRDefault="00337301" w:rsidP="001B2DD1">
      <w:pPr>
        <w:pStyle w:val="ListParagraph"/>
        <w:numPr>
          <w:ilvl w:val="0"/>
          <w:numId w:val="14"/>
        </w:numPr>
      </w:pPr>
      <w:r w:rsidRPr="00337301">
        <w:t xml:space="preserve">Στο πλαίσιο του σχεδιασμού των δράσεων της Προγραμματικής Περιόδου 2014 - 2020 πραγματοποιήθηκε η Εναρκτήρια Συνάντηση της Συμβουλευτικής Ομάδας Εργασίας της πλατφόρμας «Περιβάλλον και Βιώσιμη Ανάπτυξη» στις 11 Μαρτίου 2016. </w:t>
      </w:r>
      <w:r w:rsidR="003667A1">
        <w:t>Σ</w:t>
      </w:r>
      <w:r w:rsidRPr="00337301">
        <w:t xml:space="preserve">τις 17 Ιουνίου 2016 πραγματοποιήθηκε </w:t>
      </w:r>
      <w:r w:rsidR="003667A1">
        <w:t xml:space="preserve">η </w:t>
      </w:r>
      <w:r w:rsidRPr="00337301">
        <w:t>2</w:t>
      </w:r>
      <w:r w:rsidRPr="003667A1">
        <w:rPr>
          <w:vertAlign w:val="superscript"/>
        </w:rPr>
        <w:t>η</w:t>
      </w:r>
      <w:r w:rsidR="003667A1">
        <w:t xml:space="preserve"> </w:t>
      </w:r>
      <w:r w:rsidRPr="00337301">
        <w:t>Συνάντηση της Συμβουλευτικής Ομάδας Εργασίας της πλατφόρμας «Περιβάλλον και Βιώσιμη Ανάπτυξη».</w:t>
      </w:r>
    </w:p>
    <w:p w:rsidR="00337301" w:rsidRPr="006C79D6" w:rsidRDefault="00337301" w:rsidP="000A58EF">
      <w:pPr>
        <w:spacing w:before="0" w:after="160" w:line="259" w:lineRule="auto"/>
        <w:jc w:val="left"/>
        <w:rPr>
          <w:b/>
          <w:u w:val="single"/>
        </w:rPr>
      </w:pPr>
      <w:r w:rsidRPr="006C79D6">
        <w:rPr>
          <w:b/>
          <w:u w:val="single"/>
        </w:rPr>
        <w:t xml:space="preserve">Ενέργεια </w:t>
      </w:r>
      <w:r w:rsidR="003667A1">
        <w:rPr>
          <w:b/>
          <w:u w:val="single"/>
        </w:rPr>
        <w:t xml:space="preserve"> </w:t>
      </w:r>
    </w:p>
    <w:p w:rsidR="00500CB8" w:rsidRDefault="003667A1" w:rsidP="001B2DD1">
      <w:pPr>
        <w:pStyle w:val="ListParagraph"/>
        <w:numPr>
          <w:ilvl w:val="0"/>
          <w:numId w:val="15"/>
        </w:numPr>
      </w:pPr>
      <w:r>
        <w:t>Σ</w:t>
      </w:r>
      <w:r w:rsidR="00337301" w:rsidRPr="00337301">
        <w:t>τις 15 Νοεμβρίου  2013</w:t>
      </w:r>
      <w:r>
        <w:t>,</w:t>
      </w:r>
      <w:r w:rsidR="00337301" w:rsidRPr="00337301">
        <w:t xml:space="preserve"> </w:t>
      </w:r>
      <w:r>
        <w:t>π</w:t>
      </w:r>
      <w:r w:rsidRPr="00337301">
        <w:t xml:space="preserve">ραγματοποιήθηκε </w:t>
      </w:r>
      <w:r w:rsidR="00337301" w:rsidRPr="00337301">
        <w:t>η 1</w:t>
      </w:r>
      <w:r w:rsidR="00337301" w:rsidRPr="003667A1">
        <w:rPr>
          <w:vertAlign w:val="superscript"/>
        </w:rPr>
        <w:t>η</w:t>
      </w:r>
      <w:r>
        <w:t xml:space="preserve"> </w:t>
      </w:r>
      <w:r w:rsidR="00337301" w:rsidRPr="00337301">
        <w:t xml:space="preserve">συνάντηση της πλατφόρμας για τον τομέα της  ΕΝΕΡΓΕΙΑΣ. </w:t>
      </w:r>
    </w:p>
    <w:p w:rsidR="00500CB8" w:rsidRDefault="00500CB8" w:rsidP="001B2DD1">
      <w:pPr>
        <w:pStyle w:val="ListParagraph"/>
        <w:numPr>
          <w:ilvl w:val="0"/>
          <w:numId w:val="15"/>
        </w:numPr>
      </w:pPr>
      <w:r w:rsidRPr="00500CB8">
        <w:t>Ο προσδιορισμός των προτεραιοτήτων στον τομέα της  Ενέργειας βασίστηκε σε μια διαδικασία διαβούλευσης στην οποία συμμετείχαν 30 μέλη της Πλατφόρμας  Ενέργειας.</w:t>
      </w:r>
      <w:r>
        <w:t xml:space="preserve"> </w:t>
      </w:r>
      <w:r w:rsidRPr="00500CB8">
        <w:t>Μεταξύ 08-05-2014 και 28-05-2014</w:t>
      </w:r>
      <w:r w:rsidR="003667A1">
        <w:t>,</w:t>
      </w:r>
      <w:r w:rsidRPr="00500CB8">
        <w:t xml:space="preserve"> έλαβε χώρα ο 2</w:t>
      </w:r>
      <w:r w:rsidRPr="003667A1">
        <w:rPr>
          <w:vertAlign w:val="superscript"/>
        </w:rPr>
        <w:t>ος</w:t>
      </w:r>
      <w:r w:rsidR="003667A1">
        <w:t xml:space="preserve"> </w:t>
      </w:r>
      <w:r w:rsidRPr="00500CB8">
        <w:t>γύρος διαβούλευσης για την ανάδειξη των προτεραιοτήτων στον τομέα της Ενέργειας, μέσω ενός ηλεκτρονικού  ερωτηματολογίου  με «κλειστές» ερωτήσεις.</w:t>
      </w:r>
    </w:p>
    <w:p w:rsidR="00F101E2" w:rsidRPr="00F101E2" w:rsidRDefault="00F101E2" w:rsidP="001B2DD1">
      <w:pPr>
        <w:pStyle w:val="ListParagraph"/>
        <w:numPr>
          <w:ilvl w:val="0"/>
          <w:numId w:val="15"/>
        </w:numPr>
      </w:pPr>
      <w:r>
        <w:t>Στις 22</w:t>
      </w:r>
      <w:r w:rsidR="003667A1">
        <w:t xml:space="preserve"> Μαρτίου 2</w:t>
      </w:r>
      <w:r>
        <w:t xml:space="preserve">016 εκδόθηκε Απόφαση </w:t>
      </w:r>
      <w:r w:rsidR="00DB3A57">
        <w:t xml:space="preserve">του Γενικού Γραμματέα Ε&amp;Τ </w:t>
      </w:r>
      <w:r>
        <w:t>για τη</w:t>
      </w:r>
      <w:r w:rsidR="00337301">
        <w:t xml:space="preserve"> Σύσταση και συγκρότηση συμβουλευτικής ομάδας εργασίας της πλατφόρμας «Ενέργεια» στο πλαίσιο της Στρατηγικής Έρευνας και Καινοτομίας για την Έξυπνη Εξειδίκευση της προγραμματικής περιόδου 2014-2020.</w:t>
      </w:r>
      <w:r>
        <w:t xml:space="preserve"> Σύμφωνα με την Απόφαση, το έργο της συμβουλευτικής ομάδας εργασίας θα ήταν το ακόλουθο:</w:t>
      </w:r>
    </w:p>
    <w:p w:rsidR="00F101E2" w:rsidRPr="00F101E2" w:rsidRDefault="00F101E2" w:rsidP="002B247F">
      <w:pPr>
        <w:pStyle w:val="ListParagraph"/>
        <w:numPr>
          <w:ilvl w:val="0"/>
          <w:numId w:val="33"/>
        </w:numPr>
      </w:pPr>
      <w:r>
        <w:t>Η π</w:t>
      </w:r>
      <w:r w:rsidRPr="00F101E2">
        <w:t xml:space="preserve">ροετοιμασία Πιλοτικής Δράσης στον Τομέα «Ενέργεια» μετά από εφαρμογή της διαδικασίας της επιχειρηματικής ανακάλυψης. </w:t>
      </w:r>
    </w:p>
    <w:p w:rsidR="00F101E2" w:rsidRPr="00F101E2" w:rsidRDefault="00F101E2" w:rsidP="002B247F">
      <w:pPr>
        <w:pStyle w:val="ListParagraph"/>
        <w:numPr>
          <w:ilvl w:val="0"/>
          <w:numId w:val="33"/>
        </w:numPr>
      </w:pPr>
      <w:r>
        <w:t>Η π</w:t>
      </w:r>
      <w:r w:rsidRPr="00F101E2">
        <w:t xml:space="preserve">ροετοιμασία Σχεδίου Δράσης (Action Plan) του Τομέα «Ενέργεια» που θα ενσωματώνει τους στόχους, τους δείκτες που θα χρησιμοποιηθούν, το χρονοδιάγραμμα παρεμβάσεων καθώς και τις δράσεις του Τομέα (Προκηρύξεις). Θα περιέχει τα αποτελέσματα που έχουν προκύψει από τις εργασίες της πλατφόρμας, καθώς και τα εργαλεία εφαρμογής και προϋπολογισμούς της εγκεκριμένης Στρατηγικής Έξυπνης Εξειδίκευσης (RIS3). </w:t>
      </w:r>
    </w:p>
    <w:p w:rsidR="00F101E2" w:rsidRPr="00F101E2" w:rsidRDefault="00F101E2" w:rsidP="002B247F">
      <w:pPr>
        <w:pStyle w:val="ListParagraph"/>
        <w:numPr>
          <w:ilvl w:val="0"/>
          <w:numId w:val="33"/>
        </w:numPr>
      </w:pPr>
      <w:r>
        <w:lastRenderedPageBreak/>
        <w:t>Η ε</w:t>
      </w:r>
      <w:r w:rsidRPr="00F101E2">
        <w:t xml:space="preserve">ξέταση και εφόσον θεωρηθεί σκόπιμο, επικαιροποίηση και τεκμηρίωση του Κειμένου Βάσης και των περιεχόμενων προτεραιοτήτων στον συγκεκριμένο τομέα με εφαρμογή της διαδικασίας επιχειρηματικής ανακάλυψης. </w:t>
      </w:r>
    </w:p>
    <w:p w:rsidR="00F101E2" w:rsidRPr="00F101E2" w:rsidRDefault="00F101E2" w:rsidP="002B247F">
      <w:pPr>
        <w:pStyle w:val="ListParagraph"/>
        <w:numPr>
          <w:ilvl w:val="0"/>
          <w:numId w:val="33"/>
        </w:numPr>
      </w:pPr>
      <w:r>
        <w:rPr>
          <w:vanish/>
        </w:rPr>
        <w:t>Η α</w:t>
      </w:r>
      <w:r w:rsidR="003667A1">
        <w:t>Α</w:t>
      </w:r>
      <w:r w:rsidRPr="00F101E2">
        <w:t xml:space="preserve">ξιολόγηση των αποτελεσμάτων του Σχεδίου Δράσης (Action Plan) με στόχο την πιθανή αναθεώρηση του, μέσω διορθωτικών παρεμβάσεων. </w:t>
      </w:r>
    </w:p>
    <w:p w:rsidR="00F101E2" w:rsidRPr="00F101E2" w:rsidRDefault="00F101E2" w:rsidP="002B247F">
      <w:pPr>
        <w:pStyle w:val="ListParagraph"/>
        <w:numPr>
          <w:ilvl w:val="0"/>
          <w:numId w:val="33"/>
        </w:numPr>
      </w:pPr>
      <w:r w:rsidRPr="00F101E2">
        <w:t xml:space="preserve">Εισηγήσεις και προτάσεις προς την ΓΓΕΤ για τη βέλτιστη εφαρμογή της διαδικασίας της επιχειρηματικής ανακάλυψης στον τομέα «Ενέργεια» και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 </w:t>
      </w:r>
    </w:p>
    <w:p w:rsidR="00F101E2" w:rsidRPr="00F101E2" w:rsidRDefault="00F101E2" w:rsidP="002B247F">
      <w:pPr>
        <w:pStyle w:val="ListParagraph"/>
        <w:numPr>
          <w:ilvl w:val="0"/>
          <w:numId w:val="33"/>
        </w:numPr>
      </w:pPr>
      <w:r>
        <w:t>Η σ</w:t>
      </w:r>
      <w:r w:rsidRPr="00F101E2">
        <w:t xml:space="preserve">υμμετοχή στις συναντήσεις της πλατφόρμας «Ενέργεια» σε πλήρη σύνθεση και για την οριστική διαβούλευση των προτεινόμενων ενεργειών και αποτελεσμάτων. </w:t>
      </w:r>
    </w:p>
    <w:p w:rsidR="00F101E2" w:rsidRPr="00F101E2" w:rsidRDefault="00F101E2" w:rsidP="002B247F">
      <w:pPr>
        <w:pStyle w:val="ListParagraph"/>
        <w:numPr>
          <w:ilvl w:val="0"/>
          <w:numId w:val="33"/>
        </w:numPr>
      </w:pPr>
      <w:r>
        <w:t>Η ε</w:t>
      </w:r>
      <w:r w:rsidRPr="00F101E2">
        <w:t xml:space="preserve">πίβλεψη κάθε δυο έτη, της Αναφοράς Προόδου σχετικά με την αποτελεσματικότητα των δράσεων που έχουν προκηρυχθεί καθώς και εξέταση άλλων θεμάτων που αφορούν στην εξέλιξη του τομέα «Ενέργεια». </w:t>
      </w:r>
    </w:p>
    <w:p w:rsidR="00F101E2" w:rsidRPr="00F101E2" w:rsidRDefault="00F101E2" w:rsidP="002B247F">
      <w:pPr>
        <w:pStyle w:val="ListParagraph"/>
        <w:numPr>
          <w:ilvl w:val="0"/>
          <w:numId w:val="33"/>
        </w:numPr>
      </w:pPr>
      <w:r w:rsidRPr="00F101E2">
        <w:t xml:space="preserve">Άλλα αντικείμενα κατά την κρίση της ΓΓΕΤ. </w:t>
      </w:r>
    </w:p>
    <w:p w:rsidR="00F101E2" w:rsidRDefault="00F101E2" w:rsidP="003667A1">
      <w:pPr>
        <w:ind w:left="720"/>
      </w:pPr>
      <w:r w:rsidRPr="00F101E2">
        <w:t>Στις εργασίες της συμβουλευτικής ομάδας μπορούν να συμμετάσχουν έπειτα από πρόσκληση, στελέχη Υπουργείων και Περιφερειών.</w:t>
      </w:r>
    </w:p>
    <w:p w:rsidR="001B2C96" w:rsidRDefault="001B2C96" w:rsidP="001B2DD1">
      <w:pPr>
        <w:pStyle w:val="ListParagraph"/>
        <w:numPr>
          <w:ilvl w:val="0"/>
          <w:numId w:val="15"/>
        </w:numPr>
      </w:pPr>
      <w:r>
        <w:t xml:space="preserve">Στο πλαίσιο </w:t>
      </w:r>
      <w:r w:rsidR="003667A1">
        <w:t xml:space="preserve">της </w:t>
      </w:r>
      <w:r>
        <w:t>προκήρυξης, Ενιαίας Δράσης Κρατικών Ενισχύσεων ΕΤΑΚ «ΕΡΕΥΝΩ – ΔΗΜΙΟΥΡΓΩ – ΚΑΙΝΟΤΟΜΩ» της Προγραμματικής Περιόδου 2014-2020» πραγματοποιήθηκε στις 19 Ιουλίου 2016 στην Αθήνα</w:t>
      </w:r>
      <w:r w:rsidR="003667A1">
        <w:t>,</w:t>
      </w:r>
      <w:r>
        <w:t xml:space="preserve"> συνάντηση της Πλατφόρμας «ΕΝΕΡΓΕΙΑ» αναφορικά με τη διαμόρφωση προτεραιοτήτων Έρευνας και Τεχνολογίας </w:t>
      </w:r>
      <w:r w:rsidR="003667A1">
        <w:t>για</w:t>
      </w:r>
      <w:r>
        <w:t xml:space="preserve"> τον εν λόγω τομέα. Αντικείμενο της συνάντησης ήταν η παρουσίαση ερευνητικών προτεραιοτήτων και δράσεων που αφορούν στον τομέα «ΕΝΕΡΓΕΙΑ» σύμφωνα με την στρατηγική της «ευφυούς» εξειδίκευσης, στο πλαίσιο του Εθνικού Αναπτυξιακού Προγραμματισμού για την περίοδο 2014 – 2020, και αναφορικά με την ως άνω αναφερόμενη  επικείμενη προκήρυξη Ενιαίας Δράσης Κρατικών Ενισχύσεων ΕΤΑΚ.</w:t>
      </w:r>
    </w:p>
    <w:p w:rsidR="001B2C96" w:rsidRDefault="001B2C96" w:rsidP="001B2DD1">
      <w:pPr>
        <w:pStyle w:val="ListParagraph"/>
        <w:numPr>
          <w:ilvl w:val="0"/>
          <w:numId w:val="15"/>
        </w:numPr>
      </w:pPr>
      <w:r w:rsidRPr="001B2C96">
        <w:t xml:space="preserve">Στο πλαίσιο του σχεδιασμού των δράσεων της Προγραμματικής Περιόδου 2014 - 2020 πραγματοποιήθηκε Εναρκτήρια Συνάντηση της Συμβουλευτικής Ομάδας Εργασίας της πλατφόρμας «Ενέργεια» </w:t>
      </w:r>
      <w:r>
        <w:t>στις</w:t>
      </w:r>
      <w:r w:rsidRPr="001B2C96">
        <w:t xml:space="preserve"> 20 Μαρτίου 2016.</w:t>
      </w:r>
      <w:r>
        <w:t xml:space="preserve"> </w:t>
      </w:r>
      <w:r w:rsidR="003667A1">
        <w:t>Σ</w:t>
      </w:r>
      <w:r w:rsidRPr="00337301">
        <w:t xml:space="preserve">τις </w:t>
      </w:r>
      <w:r>
        <w:t>31 Μαΐου</w:t>
      </w:r>
      <w:r w:rsidRPr="00337301">
        <w:t xml:space="preserve"> 2016</w:t>
      </w:r>
      <w:r w:rsidR="003667A1">
        <w:t>,</w:t>
      </w:r>
      <w:r w:rsidRPr="00337301">
        <w:t xml:space="preserve"> πραγματοποιήθηκε 2</w:t>
      </w:r>
      <w:r w:rsidRPr="003667A1">
        <w:rPr>
          <w:vertAlign w:val="superscript"/>
        </w:rPr>
        <w:t>η</w:t>
      </w:r>
      <w:r w:rsidR="003667A1">
        <w:t xml:space="preserve"> </w:t>
      </w:r>
      <w:r w:rsidRPr="00337301">
        <w:t>Συνάντηση της Συμβουλευτικής Ομάδας Εργασίας της πλατφόρμας «</w:t>
      </w:r>
      <w:r w:rsidRPr="001B2C96">
        <w:t>Ενέργεια</w:t>
      </w:r>
      <w:r>
        <w:t>»</w:t>
      </w:r>
      <w:r w:rsidR="003667A1">
        <w:t>.</w:t>
      </w:r>
    </w:p>
    <w:p w:rsidR="001B2C96" w:rsidRPr="006C79D6" w:rsidRDefault="001B2C96" w:rsidP="001B2C96">
      <w:pPr>
        <w:rPr>
          <w:b/>
          <w:u w:val="single"/>
        </w:rPr>
      </w:pPr>
      <w:r w:rsidRPr="006C79D6">
        <w:rPr>
          <w:b/>
          <w:u w:val="single"/>
        </w:rPr>
        <w:t>Μεταφορές και εφοδιαστική αλυσίδα</w:t>
      </w:r>
    </w:p>
    <w:p w:rsidR="001B2C96" w:rsidRPr="00D50A6C" w:rsidRDefault="003667A1" w:rsidP="001B2DD1">
      <w:pPr>
        <w:pStyle w:val="ListParagraph"/>
        <w:numPr>
          <w:ilvl w:val="0"/>
          <w:numId w:val="16"/>
        </w:numPr>
      </w:pPr>
      <w:r>
        <w:t>Στ</w:t>
      </w:r>
      <w:r w:rsidR="00D50A6C" w:rsidRPr="00D50A6C">
        <w:t>ις 21 Μαρτίου 2014</w:t>
      </w:r>
      <w:r>
        <w:t>,</w:t>
      </w:r>
      <w:r w:rsidR="00D50A6C" w:rsidRPr="00D50A6C">
        <w:t xml:space="preserve"> </w:t>
      </w:r>
      <w:r>
        <w:t>π</w:t>
      </w:r>
      <w:r w:rsidRPr="00D50A6C">
        <w:t xml:space="preserve">ραγματοποιήθηκε </w:t>
      </w:r>
      <w:r w:rsidR="00D50A6C" w:rsidRPr="00D50A6C">
        <w:t>η 1</w:t>
      </w:r>
      <w:r w:rsidR="00D50A6C" w:rsidRPr="003667A1">
        <w:rPr>
          <w:vertAlign w:val="superscript"/>
        </w:rPr>
        <w:t>η</w:t>
      </w:r>
      <w:r>
        <w:t xml:space="preserve"> </w:t>
      </w:r>
      <w:r w:rsidR="00D50A6C" w:rsidRPr="00D50A6C">
        <w:t>συνάντηση της πλατφόρμας για τον τομέα των ΜΕΤΑΦΟΡΩΝ &amp; LOGISTICS. Αντικείμενο της συζήτησης μεταξύ άλλων ήταν η ανάδειξη ερευνητικών προτεραιοτήτων και δημιουργία σχεδίου δράσεων στον τομέα των «Μεταφορών &amp; Logistics» σύμφωνα με την στρατηγική της «ευφυούς» εξειδίκευσης της ΓΓΕΤ στο πλαίσιο του σχεδιασμού και κατάρτισης του Εθνικού Αναπτυξιακού Προγραμματισμού για την περίοδο 2014 – 2020.</w:t>
      </w:r>
    </w:p>
    <w:p w:rsidR="001A4C3D" w:rsidRPr="001A4C3D" w:rsidRDefault="001A4C3D" w:rsidP="001B2DD1">
      <w:pPr>
        <w:pStyle w:val="ListParagraph"/>
        <w:numPr>
          <w:ilvl w:val="0"/>
          <w:numId w:val="16"/>
        </w:numPr>
      </w:pPr>
      <w:r>
        <w:t xml:space="preserve">Στις </w:t>
      </w:r>
      <w:r w:rsidR="001B2C96">
        <w:t>2</w:t>
      </w:r>
      <w:r w:rsidR="003667A1">
        <w:t xml:space="preserve"> Μαρτίου </w:t>
      </w:r>
      <w:r w:rsidR="001B2C96">
        <w:t>2016</w:t>
      </w:r>
      <w:r w:rsidR="003667A1">
        <w:t>,</w:t>
      </w:r>
      <w:r>
        <w:t xml:space="preserve"> εκδόθηκε από τον Γενικό Γραμματέα Ε&amp;Τ</w:t>
      </w:r>
      <w:r w:rsidR="00FB1E0F">
        <w:t xml:space="preserve">, </w:t>
      </w:r>
      <w:r>
        <w:t xml:space="preserve">Απόφαση για τη </w:t>
      </w:r>
      <w:r w:rsidR="001B2C96">
        <w:t>Σύσταση και συγκρότηση συμβουλευτικής ομάδας εργασίας της πλατφόρμας «Μεταφορές – Εφοδιαστική Αλυσίδα» στο πλαίσιο της Στρατηγικής Έρευνας και Καινοτομίας για την Έξυπνη Εξειδίκευση της νέας προγραμματικής περιόδου 2014-2020.</w:t>
      </w:r>
      <w:r>
        <w:t xml:space="preserve"> Σύμφωνα με την Απόφαση το έργο της ομάδας εργασίας θα ήταν:</w:t>
      </w:r>
    </w:p>
    <w:p w:rsidR="001A4C3D" w:rsidRPr="001A4C3D" w:rsidRDefault="001A4C3D" w:rsidP="002B247F">
      <w:pPr>
        <w:pStyle w:val="ListParagraph"/>
        <w:numPr>
          <w:ilvl w:val="0"/>
          <w:numId w:val="33"/>
        </w:numPr>
      </w:pPr>
      <w:r>
        <w:t>Η π</w:t>
      </w:r>
      <w:r w:rsidRPr="001A4C3D">
        <w:t xml:space="preserve">ροετοιμασία Πιλοτικής Δράσης στον Τομέα «Μεταφορές &amp; Εφοδιαστική Αλυσίδα» μετά από εφαρμογή της διαδικασίας της Επιχειρηματικής Ανακάλυψης. </w:t>
      </w:r>
    </w:p>
    <w:p w:rsidR="001A4C3D" w:rsidRPr="001A4C3D" w:rsidRDefault="001A4C3D" w:rsidP="002B247F">
      <w:pPr>
        <w:pStyle w:val="ListParagraph"/>
        <w:numPr>
          <w:ilvl w:val="0"/>
          <w:numId w:val="33"/>
        </w:numPr>
      </w:pPr>
      <w:r>
        <w:t>Η π</w:t>
      </w:r>
      <w:r w:rsidRPr="001A4C3D">
        <w:t xml:space="preserve">ροετοιμασία Σχεδίου Δράσης (Action Plan) του Τομέα «Μεταφορές και Εφοδιαστική Αλυσίδα» που θα ενσωματώνει τους στόχους, τους δείκτες που θα χρησιμοποιηθούν, το χρονοδιάγραμμα παρεμβάσεων καθώς και τις δράσεις του Τομέα (Προκηρύξεις). Θα περιέχει τα αποτελέσματα που έχουν προκύψει από τις εργασίες της πλατφόρμας, καθώς και τα εγκεκριμένα εργαλεία εφαρμογής και προϋπολογισμούς της εγκεκριμένης Στρατηγικής Έξυπνης Εξειδίκευσης (RIS3). </w:t>
      </w:r>
    </w:p>
    <w:p w:rsidR="001A4C3D" w:rsidRPr="001A4C3D" w:rsidRDefault="001A4C3D" w:rsidP="002B247F">
      <w:pPr>
        <w:pStyle w:val="ListParagraph"/>
        <w:numPr>
          <w:ilvl w:val="0"/>
          <w:numId w:val="33"/>
        </w:numPr>
      </w:pPr>
      <w:r>
        <w:lastRenderedPageBreak/>
        <w:t>Η ε</w:t>
      </w:r>
      <w:r w:rsidRPr="001A4C3D">
        <w:t xml:space="preserve">ξέταση και εφόσον θεωρηθεί σκόπιμο, επικαιροποίηση και τεκμηρίωση του Κειμένου Βάσης και των περιεχόμενων προτεραιοτήτων στον συγκεκριμένο τομέα με εφαρμογή της διαδικασίας Επιχειρηματικής Ανακάλυψης. </w:t>
      </w:r>
    </w:p>
    <w:p w:rsidR="001A4C3D" w:rsidRPr="001A4C3D" w:rsidRDefault="001A4C3D" w:rsidP="002B247F">
      <w:pPr>
        <w:pStyle w:val="ListParagraph"/>
        <w:numPr>
          <w:ilvl w:val="0"/>
          <w:numId w:val="33"/>
        </w:numPr>
      </w:pPr>
      <w:r>
        <w:t>Η α</w:t>
      </w:r>
      <w:r w:rsidRPr="001A4C3D">
        <w:t xml:space="preserve">ξιολόγηση των αποτελεσμάτων του Σχεδίου Δράσης (Action Plan) με στόχο την πιθανή αναθεώρηση του, μέσω διορθωτικών παρεμβάσεων. </w:t>
      </w:r>
    </w:p>
    <w:p w:rsidR="001A4C3D" w:rsidRPr="001A4C3D" w:rsidRDefault="001A4C3D" w:rsidP="002B247F">
      <w:pPr>
        <w:pStyle w:val="ListParagraph"/>
        <w:numPr>
          <w:ilvl w:val="0"/>
          <w:numId w:val="33"/>
        </w:numPr>
      </w:pPr>
      <w:r w:rsidRPr="001A4C3D">
        <w:t xml:space="preserve">Εισηγήσεις και προτάσεις προς την ΓΓΕΤ για τη βέλτιστη εφαρμογή της διαδικασίας της επιχειρηματικής ανακάλυψης στον τομέα «Μεταφορές – Εφοδιαστική Αλυσίδα»,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 </w:t>
      </w:r>
    </w:p>
    <w:p w:rsidR="001A4C3D" w:rsidRPr="001A4C3D" w:rsidRDefault="001A4C3D" w:rsidP="002B247F">
      <w:pPr>
        <w:pStyle w:val="ListParagraph"/>
        <w:numPr>
          <w:ilvl w:val="0"/>
          <w:numId w:val="33"/>
        </w:numPr>
      </w:pPr>
      <w:r>
        <w:t>Η σ</w:t>
      </w:r>
      <w:r w:rsidRPr="001A4C3D">
        <w:t xml:space="preserve">υμμετοχή στις συναντήσεις της πλατφόρμας «Μεταφορές και Εφοδιαστική Αλυσίδα» σε πλήρη σύνθεση και για την οριστική διαβούλευση των προτεινόμενων ενεργειών και αποτελεσμάτων. </w:t>
      </w:r>
    </w:p>
    <w:p w:rsidR="001A4C3D" w:rsidRPr="001A4C3D" w:rsidRDefault="001A4C3D" w:rsidP="002B247F">
      <w:pPr>
        <w:pStyle w:val="ListParagraph"/>
        <w:numPr>
          <w:ilvl w:val="0"/>
          <w:numId w:val="33"/>
        </w:numPr>
      </w:pPr>
      <w:r>
        <w:t>Η ε</w:t>
      </w:r>
      <w:r w:rsidRPr="001A4C3D">
        <w:t xml:space="preserve">πίβλεψη κάθε δυο έτη, της Αναφοράς Προόδου σχετικά με την αποτελεσματικότητα των δράσεων που έχουν προκηρυχθεί καθώς και εξέταση άλλων θεμάτων που αφορούν στην εξέλιξη του τομέα «Μεταφορές - Εφοδιαστική Αλυσίδα». </w:t>
      </w:r>
    </w:p>
    <w:p w:rsidR="001A4C3D" w:rsidRPr="001A4C3D" w:rsidRDefault="001A4C3D" w:rsidP="002B247F">
      <w:pPr>
        <w:pStyle w:val="ListParagraph"/>
        <w:numPr>
          <w:ilvl w:val="0"/>
          <w:numId w:val="33"/>
        </w:numPr>
      </w:pPr>
      <w:r w:rsidRPr="001A4C3D">
        <w:t xml:space="preserve">Άλλα αντικείμενα κατά την κρίση της ΓΓΕΤ. </w:t>
      </w:r>
    </w:p>
    <w:p w:rsidR="001A4C3D" w:rsidRDefault="001A4C3D" w:rsidP="003667A1">
      <w:pPr>
        <w:ind w:left="720"/>
      </w:pPr>
      <w:r w:rsidRPr="001A4C3D">
        <w:t>Στις εργασίες της συμβουλευτικής ομάδας μπορούν να συμμετάσχουν έπειτα από πρόσκληση, στελέχη Υπουργείων και Περιφερειών.</w:t>
      </w:r>
    </w:p>
    <w:p w:rsidR="00D50A6C" w:rsidRDefault="00D50A6C" w:rsidP="001B2DD1">
      <w:pPr>
        <w:pStyle w:val="ListParagraph"/>
        <w:numPr>
          <w:ilvl w:val="0"/>
          <w:numId w:val="16"/>
        </w:numPr>
      </w:pPr>
      <w:r w:rsidRPr="00D50A6C">
        <w:t xml:space="preserve">Στο πλαίσιο </w:t>
      </w:r>
      <w:r w:rsidR="00DB3A57">
        <w:t xml:space="preserve">της </w:t>
      </w:r>
      <w:r w:rsidRPr="00D50A6C">
        <w:t>προκήρυξης, Ενιαίας Δράσης Κρατικών Ενισχύσεων ΕΤΑΚ «ΕΡΕΥΝΩ – ΔΗΜΙΟΥΡΓΩ – ΚΑΙΝΟΤΟΜΩ» της Προγραμματικής Περιόδου 2014-2020» πραγματοποιήθηκε την Τετάρτη 27 Ιουλίου 2016 στην Αθήνα</w:t>
      </w:r>
      <w:r w:rsidR="003667A1">
        <w:t>,</w:t>
      </w:r>
      <w:r w:rsidRPr="00D50A6C">
        <w:t xml:space="preserve"> συνάντηση της Πλατφόρμας «ΜΕΤΑΦΟΡΕΣ &amp; ΕΦΟΔΙΑΣΤΙΚΗ ΑΛΥΣΙΔΑ» για τη διαμόρφωση προτεραιοτήτων Έρευνας και Τεχνολογίας αναφορικά με τον εν λόγω τομέα. Αντικείμενο της συνάντησης ήταν η παρουσίαση ερευνητικών προτεραιοτήτων και δράσεων που αφορούν στον τομέα «ΜΕΤΑΦΟΡΕΣ &amp; ΕΦΟΔΙΑΣΤΙΚΗ ΑΛΥΣΙΔΑ» σύμφωνα με τη στρατηγική της «ευφυούς» εξειδίκευσης, στο πλαίσιο του Εθνικού Αναπτυξιακού Προγραμματισμού για την περίοδο 2014 – 2020, και αναφορικά με την ως άνω αναφερόμενη επικείμενη προκήρυξη Ενιαίας Δράσης Κρατικών Ενισχύσεων ΕΤΑΚ.</w:t>
      </w:r>
    </w:p>
    <w:p w:rsidR="00D50A6C" w:rsidRDefault="00D50A6C" w:rsidP="001B2DD1">
      <w:pPr>
        <w:pStyle w:val="ListParagraph"/>
        <w:numPr>
          <w:ilvl w:val="0"/>
          <w:numId w:val="16"/>
        </w:numPr>
      </w:pPr>
      <w:r w:rsidRPr="00D50A6C">
        <w:t xml:space="preserve">Στο πλαίσιο του σχεδιασμού των δράσεων της Προγραμματικής Περιόδου 2014 - 2020 πραγματοποιήθηκε η Εναρκτήρια Συνάντηση της Συμβουλευτικής Ομάδας Εργασίας της πλατφόρμας «Μεταφορές &amp; Εφοδιαστική Αλυσίδα» </w:t>
      </w:r>
      <w:r>
        <w:t>στις</w:t>
      </w:r>
      <w:r w:rsidRPr="00D50A6C">
        <w:t xml:space="preserve"> 11 Μαρτίου 2016.</w:t>
      </w:r>
      <w:r>
        <w:t xml:space="preserve"> Στις 22 Απριλίου 2016 πραγματοποιήθηκε </w:t>
      </w:r>
      <w:r w:rsidRPr="00D50A6C">
        <w:t>η 2</w:t>
      </w:r>
      <w:r w:rsidRPr="003667A1">
        <w:rPr>
          <w:vertAlign w:val="superscript"/>
        </w:rPr>
        <w:t>η</w:t>
      </w:r>
      <w:r w:rsidR="003667A1">
        <w:t xml:space="preserve"> </w:t>
      </w:r>
      <w:r w:rsidRPr="00D50A6C">
        <w:t xml:space="preserve">Συνάντηση </w:t>
      </w:r>
      <w:r>
        <w:t xml:space="preserve">και στις </w:t>
      </w:r>
      <w:r w:rsidRPr="00D50A6C">
        <w:t>22 Ιουνίου 2016</w:t>
      </w:r>
      <w:r>
        <w:t xml:space="preserve"> η 3</w:t>
      </w:r>
      <w:r w:rsidRPr="00D50A6C">
        <w:rPr>
          <w:vertAlign w:val="superscript"/>
        </w:rPr>
        <w:t>η</w:t>
      </w:r>
      <w:r>
        <w:t xml:space="preserve"> </w:t>
      </w:r>
      <w:r w:rsidRPr="00D50A6C">
        <w:t>Συνάντηση της Συμβουλευτικής Ομάδας Εργασίας της πλατφόρμας «Μεταφορές &amp; Εφοδιαστική Αλυσίδα»</w:t>
      </w:r>
    </w:p>
    <w:p w:rsidR="006B7D9D" w:rsidRPr="006C79D6" w:rsidRDefault="006B7D9D" w:rsidP="00D50A6C">
      <w:pPr>
        <w:rPr>
          <w:b/>
          <w:u w:val="single"/>
        </w:rPr>
      </w:pPr>
      <w:r w:rsidRPr="006C79D6">
        <w:rPr>
          <w:b/>
          <w:u w:val="single"/>
        </w:rPr>
        <w:t>Αγροδιατροφή</w:t>
      </w:r>
    </w:p>
    <w:p w:rsidR="00D50A6C" w:rsidRDefault="00DB3A57" w:rsidP="001B2DD1">
      <w:pPr>
        <w:pStyle w:val="ListParagraph"/>
        <w:numPr>
          <w:ilvl w:val="0"/>
          <w:numId w:val="16"/>
        </w:numPr>
      </w:pPr>
      <w:r>
        <w:t>Η 1</w:t>
      </w:r>
      <w:r w:rsidRPr="00DB3A57">
        <w:rPr>
          <w:vertAlign w:val="superscript"/>
        </w:rPr>
        <w:t>η</w:t>
      </w:r>
      <w:r>
        <w:t xml:space="preserve"> </w:t>
      </w:r>
      <w:r w:rsidR="00D50A6C" w:rsidRPr="006B7D9D">
        <w:t>συνάντηση Εργασίας για τη διαμόρφωση των προτεραιοτήτων Έρευνας και Καινοτομίας αναφορικά με τον τομέα της πρωτογενούς Αγροτικής παραγωγής των Τροφίμων και της Αγροβιοτεχνολογίας πραγματοποιήθηκε </w:t>
      </w:r>
      <w:r w:rsidR="006B7D9D" w:rsidRPr="006B7D9D">
        <w:t>στις</w:t>
      </w:r>
      <w:r w:rsidR="00D50A6C" w:rsidRPr="006B7D9D">
        <w:rPr>
          <w:b/>
          <w:bCs/>
        </w:rPr>
        <w:t xml:space="preserve"> </w:t>
      </w:r>
      <w:r w:rsidR="00D50A6C" w:rsidRPr="006B7D9D">
        <w:t xml:space="preserve">2 Αυγούστου 2013 </w:t>
      </w:r>
      <w:r w:rsidR="006B7D9D" w:rsidRPr="006B7D9D">
        <w:t xml:space="preserve">στην </w:t>
      </w:r>
      <w:r w:rsidR="00D50A6C" w:rsidRPr="006B7D9D">
        <w:t>Αθήνα.</w:t>
      </w:r>
      <w:r w:rsidR="006B7D9D" w:rsidRPr="006B7D9D">
        <w:t xml:space="preserve"> </w:t>
      </w:r>
      <w:r w:rsidR="00D50A6C" w:rsidRPr="006B7D9D">
        <w:t>Στη συνάντηση εργασίας συμμετείχαν οι εκπρόσωποι από τον παραγωγικό χώρο που αντιπροσωπεύουν την αλυσίδα του συμπλέγματος του τομέα Αγροτικής παραγωγής, των Τροφίμων και της Αγροβιοτεχνολογίας, με κύρια κριτήρια την δυναμική των κλάδων και την καινοτομικότητα που παρουσιάζουν στην παραγωγική διαδικασία.</w:t>
      </w:r>
    </w:p>
    <w:p w:rsidR="006B7D9D" w:rsidRDefault="006B7D9D" w:rsidP="001B2DD1">
      <w:pPr>
        <w:pStyle w:val="ListParagraph"/>
        <w:numPr>
          <w:ilvl w:val="0"/>
          <w:numId w:val="16"/>
        </w:numPr>
      </w:pPr>
      <w:r w:rsidRPr="006B7D9D">
        <w:t>Η 2</w:t>
      </w:r>
      <w:r w:rsidRPr="003667A1">
        <w:rPr>
          <w:vertAlign w:val="superscript"/>
        </w:rPr>
        <w:t>η</w:t>
      </w:r>
      <w:r w:rsidR="003667A1">
        <w:t xml:space="preserve"> </w:t>
      </w:r>
      <w:r w:rsidRPr="006B7D9D">
        <w:t xml:space="preserve">συνάντηση Εργασίας για τη διαμόρφωση των προτεραιοτήτων Έρευνας και Καινοτομίας αναφορικά με τον τομέα της πρωτογενούς Αγροτικής παραγωγής των Τροφίμων και της Αγροβιοτεχνολογίας πραγματοποιήθηκε </w:t>
      </w:r>
      <w:r>
        <w:t>στις</w:t>
      </w:r>
      <w:r w:rsidRPr="006B7D9D">
        <w:t xml:space="preserve"> 16 Οκτωβρίου 2013.</w:t>
      </w:r>
    </w:p>
    <w:p w:rsidR="00D50A6C" w:rsidRDefault="00DB3A57" w:rsidP="001B2DD1">
      <w:pPr>
        <w:pStyle w:val="ListParagraph"/>
        <w:numPr>
          <w:ilvl w:val="0"/>
          <w:numId w:val="16"/>
        </w:numPr>
      </w:pPr>
      <w:r>
        <w:t>Στις 2</w:t>
      </w:r>
      <w:r w:rsidR="003667A1">
        <w:t xml:space="preserve"> Μαρτίου </w:t>
      </w:r>
      <w:r>
        <w:t>2016 εκδόθηκε Απόφαση του Γενικού Γραμματέα Ε&amp;Τ για τη</w:t>
      </w:r>
      <w:r w:rsidR="00D50A6C">
        <w:t xml:space="preserve"> Σύσταση και συγκρότηση συμβουλευτικής ομάδας εργασίας της πλατφόρμας «Αγροδιατροφή» στο πλαίσιο της Στρατηγικής Έρευνας και Καινοτομίας για την Έξυπνη Εξειδίκευση της προγραμματικής περιόδου 2014-2020.</w:t>
      </w:r>
      <w:r>
        <w:t xml:space="preserve"> Σύμφωνα με την Απόφαση το έργο της ομάδας θα ήταν:</w:t>
      </w:r>
    </w:p>
    <w:p w:rsidR="00DB3A57" w:rsidRPr="00DB3A57" w:rsidRDefault="00DB3A57" w:rsidP="002B247F">
      <w:pPr>
        <w:pStyle w:val="ListParagraph"/>
        <w:numPr>
          <w:ilvl w:val="0"/>
          <w:numId w:val="33"/>
        </w:numPr>
      </w:pPr>
      <w:r>
        <w:lastRenderedPageBreak/>
        <w:t>Η π</w:t>
      </w:r>
      <w:r w:rsidRPr="00DB3A57">
        <w:t xml:space="preserve">ροετοιμασία Πιλοτικής Δράσης στον Τομέα «Αγροδιατροφή» μετά από εφαρμογή της διαδικασίας της επιχειρηματικής ανακάλυψης. </w:t>
      </w:r>
    </w:p>
    <w:p w:rsidR="00DB3A57" w:rsidRPr="00DB3A57" w:rsidRDefault="00DB3A57" w:rsidP="002B247F">
      <w:pPr>
        <w:pStyle w:val="ListParagraph"/>
        <w:numPr>
          <w:ilvl w:val="0"/>
          <w:numId w:val="33"/>
        </w:numPr>
      </w:pPr>
      <w:r>
        <w:t>Η π</w:t>
      </w:r>
      <w:r w:rsidRPr="00DB3A57">
        <w:t xml:space="preserve">ροετοιμασία Σχεδίου Δράσης (Action Plan) του Τομέα «Αγροδιατροφή» που θα ενσωματώνει τους στόχους, τους δείκτες που θα χρησιμοποιηθούν, το χρονοδιάγραμμα παρεμβάσεων καθώς και τις δράσεις του Τομέα (Προκηρύξεις). Θα περιέχει τα αποτελέσματα που έχουν προκύψει από τις εργασίες της πλατφόρμας, καθώς και τα εργαλεία εφαρμογής και προϋπολογισμούς της εγκεκριμένης Στρατηγικής Έξυπνης Εξειδίκευσης (RIS3). </w:t>
      </w:r>
    </w:p>
    <w:p w:rsidR="00DB3A57" w:rsidRPr="00DB3A57" w:rsidRDefault="00DB3A57" w:rsidP="002B247F">
      <w:pPr>
        <w:pStyle w:val="ListParagraph"/>
        <w:numPr>
          <w:ilvl w:val="0"/>
          <w:numId w:val="33"/>
        </w:numPr>
      </w:pPr>
      <w:r>
        <w:t>Η ε</w:t>
      </w:r>
      <w:r w:rsidRPr="00DB3A57">
        <w:t xml:space="preserve">ξέταση και εφόσον θεωρηθεί σκόπιμο, επικαιροποίηση και τεκμηρίωση του Κειμένου Βάσης και των περιεχόμενων προτεραιοτήτων στον συγκεκριμένο τομέα με εφαρμογή της διαδικασίας επιχειρηματικής ανακάλυψης. </w:t>
      </w:r>
    </w:p>
    <w:p w:rsidR="00DB3A57" w:rsidRPr="00DB3A57" w:rsidRDefault="00DB3A57" w:rsidP="002B247F">
      <w:pPr>
        <w:pStyle w:val="ListParagraph"/>
        <w:numPr>
          <w:ilvl w:val="0"/>
          <w:numId w:val="33"/>
        </w:numPr>
      </w:pPr>
      <w:r>
        <w:t>Η α</w:t>
      </w:r>
      <w:r w:rsidRPr="00DB3A57">
        <w:t xml:space="preserve">ξιολόγηση των αποτελεσμάτων του Σχεδίου Δράσης (Action Plan) με στόχο την πιθανή αναθεώρηση του, μέσω διορθωτικών παρεμβάσεων. </w:t>
      </w:r>
    </w:p>
    <w:p w:rsidR="00DB3A57" w:rsidRPr="00DB3A57" w:rsidRDefault="00DB3A57" w:rsidP="002B247F">
      <w:pPr>
        <w:pStyle w:val="ListParagraph"/>
        <w:numPr>
          <w:ilvl w:val="0"/>
          <w:numId w:val="33"/>
        </w:numPr>
      </w:pPr>
      <w:r w:rsidRPr="00DB3A57">
        <w:t xml:space="preserve">Εισηγήσεις και προτάσεις προς την ΓΓΕΤ για τη βέλτιστη εφαρμογή της διαδικασίας της επιχειρηματικής ανακάλυψης στον τομέα «Αγροδιατροφή» και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 </w:t>
      </w:r>
    </w:p>
    <w:p w:rsidR="00DB3A57" w:rsidRPr="00DB3A57" w:rsidRDefault="00DB3A57" w:rsidP="002B247F">
      <w:pPr>
        <w:pStyle w:val="ListParagraph"/>
        <w:numPr>
          <w:ilvl w:val="0"/>
          <w:numId w:val="33"/>
        </w:numPr>
      </w:pPr>
      <w:r>
        <w:t>Η σ</w:t>
      </w:r>
      <w:r w:rsidRPr="00DB3A57">
        <w:t xml:space="preserve">υμμετοχή στις συναντήσεις της πλατφόρμας «Αγροδιατροφή» σε πλήρη σύνθεση και για την οριστική διαβούλευση των προτεινόμενων ενεργειών και αποτελεσμάτων. </w:t>
      </w:r>
    </w:p>
    <w:p w:rsidR="00DB3A57" w:rsidRPr="00DB3A57" w:rsidRDefault="00DB3A57" w:rsidP="002B247F">
      <w:pPr>
        <w:pStyle w:val="ListParagraph"/>
        <w:numPr>
          <w:ilvl w:val="0"/>
          <w:numId w:val="33"/>
        </w:numPr>
      </w:pPr>
      <w:r>
        <w:t>Η ε</w:t>
      </w:r>
      <w:r w:rsidRPr="00DB3A57">
        <w:t xml:space="preserve">πίβλεψη κάθε δυο έτη, της Αναφοράς Προόδου σχετικά με την αποτελεσματικότητα των δράσεων που έχουν προκηρυχθεί καθώς και εξέταση άλλων θεμάτων που αφορούν στην εξέλιξη του τομέα «Αγροδιατροφή». </w:t>
      </w:r>
    </w:p>
    <w:p w:rsidR="00DB3A57" w:rsidRPr="00DB3A57" w:rsidRDefault="00DB3A57" w:rsidP="002B247F">
      <w:pPr>
        <w:pStyle w:val="ListParagraph"/>
        <w:numPr>
          <w:ilvl w:val="0"/>
          <w:numId w:val="33"/>
        </w:numPr>
      </w:pPr>
      <w:r w:rsidRPr="00DB3A57">
        <w:t xml:space="preserve">Άλλα αντικείμενα κατά την κρίση της ΓΓΕΤ. </w:t>
      </w:r>
    </w:p>
    <w:p w:rsidR="00DB3A57" w:rsidRDefault="00DB3A57" w:rsidP="003667A1">
      <w:pPr>
        <w:ind w:left="1080"/>
      </w:pPr>
      <w:r w:rsidRPr="00DB3A57">
        <w:t>Στις εργασίες της συμβουλευτικής ομάδας μπορούν να συμμετάσχουν έπειτα από πρόσκληση, στελέχη Υπουργείων και Περιφερειών.</w:t>
      </w:r>
    </w:p>
    <w:p w:rsidR="006B7D9D" w:rsidRPr="006B7D9D" w:rsidRDefault="006B7D9D" w:rsidP="001B2DD1">
      <w:pPr>
        <w:pStyle w:val="ListParagraph"/>
        <w:numPr>
          <w:ilvl w:val="0"/>
          <w:numId w:val="16"/>
        </w:numPr>
      </w:pPr>
      <w:r>
        <w:t xml:space="preserve">Στο πλαίσιο </w:t>
      </w:r>
      <w:r w:rsidR="00DB3A57">
        <w:t xml:space="preserve">της </w:t>
      </w:r>
      <w:r>
        <w:t xml:space="preserve">πρόσκλησης, Ενιαίας Δράσης Κρατικών Ενισχύσεων ΕΤΑΚ «ΕΡΕΥΝΩ – ΔΗΜΙΟΥΡΓΩ – ΚΑΙΝΟΤΟΜΩ» της Προγραμματικής Περιόδου 2014 -2020», πραγματοποιήθηκε στις 5 Ιουλίου 2016 στην Αθήνα συνάντηση της Πλατφόρμας «ΑΓΡΟΔΙΑΤΡΟΦΗΣ» για τη διαμόρφωση προτεραιοτήτων Έρευνας και Τεχνολογίας </w:t>
      </w:r>
      <w:r w:rsidR="003667A1">
        <w:t>για</w:t>
      </w:r>
      <w:r>
        <w:t xml:space="preserve"> τον εν λόγω τομέα. Αντικείμενο της συνάντησης ήταν η παρουσίαση ερευνητικών προτεραιοτήτων και δράσεων που αφορούν στον τομέα «ΑΓΡΟΔΙΑΤΡΟΦΗΣ» σύμφωνα με τη στρατηγική της «ευφυούς» εξειδίκευσης, στο πλαίσιο του Εθνικού Αναπτυξιακού Προγραμματισμού για την περίοδο 2014 – 2020, και αναφορικά με την ως άνω αναφερόμενη επικείμενη προκήρυξη Ενιαίας Δράσης Κρατικών Ενισχύσεων ΕΤΑΚ. Στη συνέχεια ακολούθησε σχετική συζήτηση επί των προτεινόμενων </w:t>
      </w:r>
      <w:r w:rsidR="008B5B19">
        <w:t>προτεραιοτήτων</w:t>
      </w:r>
      <w:r>
        <w:t>.</w:t>
      </w:r>
    </w:p>
    <w:p w:rsidR="006B7D9D" w:rsidRDefault="006B7D9D" w:rsidP="001B2DD1">
      <w:pPr>
        <w:pStyle w:val="ListParagraph"/>
        <w:numPr>
          <w:ilvl w:val="0"/>
          <w:numId w:val="16"/>
        </w:numPr>
      </w:pPr>
      <w:r w:rsidRPr="006B7D9D">
        <w:t xml:space="preserve">Στο πλαίσιο του σχεδιασμού των δράσεων της Προγραμματικής Περιόδου 2014 - 2020 πραγματοποιήθηκε η Εναρκτήρια Συνάντηση της Συμβουλευτικής Ομάδας Εργασίας της πλατφόρμας «Αγροδιατροφή» </w:t>
      </w:r>
      <w:r>
        <w:t>στις</w:t>
      </w:r>
      <w:r w:rsidRPr="006B7D9D">
        <w:t xml:space="preserve"> 10 Μαρτίου 2016</w:t>
      </w:r>
      <w:r>
        <w:t xml:space="preserve">. Στις </w:t>
      </w:r>
      <w:r w:rsidRPr="006B7D9D">
        <w:t>12 Απριλίου 2016</w:t>
      </w:r>
      <w:r w:rsidR="003667A1">
        <w:t>,</w:t>
      </w:r>
      <w:r>
        <w:t xml:space="preserve"> </w:t>
      </w:r>
      <w:r w:rsidRPr="006B7D9D">
        <w:t xml:space="preserve">πραγματοποιήθηκε η </w:t>
      </w:r>
      <w:r>
        <w:t>2</w:t>
      </w:r>
      <w:r w:rsidRPr="006B7D9D">
        <w:rPr>
          <w:vertAlign w:val="superscript"/>
        </w:rPr>
        <w:t>η</w:t>
      </w:r>
      <w:r>
        <w:t xml:space="preserve"> </w:t>
      </w:r>
      <w:r w:rsidRPr="006B7D9D">
        <w:t>Συνάντηση της Συμβουλευτικής Ομάδας</w:t>
      </w:r>
      <w:r>
        <w:t>.</w:t>
      </w:r>
    </w:p>
    <w:p w:rsidR="00D50A6C" w:rsidRPr="006C79D6" w:rsidRDefault="006B7D9D" w:rsidP="00D50A6C">
      <w:pPr>
        <w:rPr>
          <w:b/>
          <w:u w:val="single"/>
        </w:rPr>
      </w:pPr>
      <w:r w:rsidRPr="006C79D6">
        <w:rPr>
          <w:b/>
          <w:u w:val="single"/>
        </w:rPr>
        <w:t>Πολιτισμός, Τουρισμός και Δημιουργική Βιομηχανία</w:t>
      </w:r>
    </w:p>
    <w:p w:rsidR="00202712" w:rsidRDefault="00202712" w:rsidP="001B2DD1">
      <w:pPr>
        <w:pStyle w:val="ListParagraph"/>
        <w:numPr>
          <w:ilvl w:val="0"/>
          <w:numId w:val="16"/>
        </w:numPr>
      </w:pPr>
      <w:r w:rsidRPr="00202712">
        <w:t xml:space="preserve">Στις 17 </w:t>
      </w:r>
      <w:r w:rsidR="008B5B19" w:rsidRPr="00202712">
        <w:t>Φεβρουαρίου</w:t>
      </w:r>
      <w:r w:rsidRPr="00202712">
        <w:t xml:space="preserve">  2014 πραγματοποιήθηκε η 1</w:t>
      </w:r>
      <w:r w:rsidRPr="003667A1">
        <w:rPr>
          <w:vertAlign w:val="superscript"/>
        </w:rPr>
        <w:t>η</w:t>
      </w:r>
      <w:r w:rsidR="003667A1">
        <w:t xml:space="preserve"> </w:t>
      </w:r>
      <w:r w:rsidRPr="00202712">
        <w:t xml:space="preserve">συνάντηση της πλατφόρμας για τον τομέα του Τουρισμού. Στη συνάντηση συμμετείχαν εκπρόσωποι κυβερνητικών φορέων με αρμοδιότητα πολιτικής στον τομέα Τουρισμού και τον τομέα Πολιτισμού, εκπρόσωποι των κοινωνικών εταίρων του τομέα, Ερευνητικών Κέντρων, ΑΕΙ/ΤΕΙ με δραστηριότητα στον τομέα του Τουρισμού, επιχειρήσεις καθώς και εκπρόσωποι Περιφερειών και μη κερδοσκοπικών φορέων που δραστηριοποιούνται στον τουρισμό. </w:t>
      </w:r>
    </w:p>
    <w:p w:rsidR="006B7D9D" w:rsidRPr="006B7D9D" w:rsidRDefault="0039173C" w:rsidP="001B2DD1">
      <w:pPr>
        <w:pStyle w:val="ListParagraph"/>
        <w:numPr>
          <w:ilvl w:val="0"/>
          <w:numId w:val="16"/>
        </w:numPr>
      </w:pPr>
      <w:r>
        <w:t>Στις 23</w:t>
      </w:r>
      <w:r w:rsidR="003667A1">
        <w:t xml:space="preserve"> Μαΐου </w:t>
      </w:r>
      <w:r>
        <w:t>2016 εκδόθηκε Απόφαση του Γενικού Γραμματέα Ε&amp;Τ για τη</w:t>
      </w:r>
      <w:r w:rsidR="006B7D9D" w:rsidRPr="006B7D9D">
        <w:t xml:space="preserve"> Σύσταση και συγκρό</w:t>
      </w:r>
      <w:r>
        <w:t>τηση συμβουλευτικής ομάδας του (υπο)Τ</w:t>
      </w:r>
      <w:r w:rsidR="006B7D9D" w:rsidRPr="006B7D9D">
        <w:t>ομέα οπτικοακουστικών-πολυμέσων-κινηματογράφου</w:t>
      </w:r>
      <w:r w:rsidR="003667A1">
        <w:t>.</w:t>
      </w:r>
    </w:p>
    <w:p w:rsidR="006B7D9D" w:rsidRPr="006B7D9D" w:rsidRDefault="0039173C" w:rsidP="001B2DD1">
      <w:pPr>
        <w:pStyle w:val="ListParagraph"/>
        <w:numPr>
          <w:ilvl w:val="0"/>
          <w:numId w:val="16"/>
        </w:numPr>
      </w:pPr>
      <w:r>
        <w:lastRenderedPageBreak/>
        <w:t xml:space="preserve">Στις </w:t>
      </w:r>
      <w:r w:rsidR="006B7D9D" w:rsidRPr="006B7D9D">
        <w:t>11</w:t>
      </w:r>
      <w:r w:rsidR="003667A1">
        <w:t xml:space="preserve"> Ιουλίου </w:t>
      </w:r>
      <w:r w:rsidR="006B7D9D" w:rsidRPr="006B7D9D">
        <w:t xml:space="preserve">2016 </w:t>
      </w:r>
      <w:r>
        <w:t>εκδόθηκε Απόφαση του Γενικού Γραμματέα Ε&amp;Τ για τη</w:t>
      </w:r>
      <w:r w:rsidRPr="006B7D9D">
        <w:t xml:space="preserve"> </w:t>
      </w:r>
      <w:r w:rsidR="006B7D9D" w:rsidRPr="006B7D9D">
        <w:t xml:space="preserve">Σύσταση και συγκρότηση συμβουλευτικής ομάδας του </w:t>
      </w:r>
      <w:r>
        <w:t>(υπο)</w:t>
      </w:r>
      <w:r w:rsidR="006B7D9D" w:rsidRPr="006B7D9D">
        <w:t xml:space="preserve">τομέα </w:t>
      </w:r>
      <w:r w:rsidR="008B5B19" w:rsidRPr="006B7D9D">
        <w:t>Τεχνολογικών</w:t>
      </w:r>
      <w:r w:rsidR="009F6D0E">
        <w:t xml:space="preserve"> </w:t>
      </w:r>
      <w:r w:rsidR="008B5B19" w:rsidRPr="006B7D9D">
        <w:t>Εφαρμογών</w:t>
      </w:r>
      <w:r w:rsidR="003667A1">
        <w:t>.</w:t>
      </w:r>
    </w:p>
    <w:p w:rsidR="006B7D9D" w:rsidRDefault="0039173C" w:rsidP="001B2DD1">
      <w:pPr>
        <w:pStyle w:val="ListParagraph"/>
        <w:numPr>
          <w:ilvl w:val="0"/>
          <w:numId w:val="16"/>
        </w:numPr>
      </w:pPr>
      <w:r>
        <w:t xml:space="preserve">Στις </w:t>
      </w:r>
      <w:r w:rsidR="006B7D9D" w:rsidRPr="006B7D9D">
        <w:t>8</w:t>
      </w:r>
      <w:r w:rsidR="003667A1">
        <w:t xml:space="preserve"> Σεπτεμβρίου </w:t>
      </w:r>
      <w:r w:rsidR="006B7D9D" w:rsidRPr="006B7D9D">
        <w:t>2016</w:t>
      </w:r>
      <w:r w:rsidRPr="0039173C">
        <w:t xml:space="preserve"> </w:t>
      </w:r>
      <w:r>
        <w:t>εκδόθηκε Απόφαση του Γενικού Γραμματέα Ε&amp;Τ για τη</w:t>
      </w:r>
      <w:r w:rsidR="006B7D9D" w:rsidRPr="006B7D9D">
        <w:t xml:space="preserve"> Σύσταση και συγκρότηση συμβουλευτικής ομάδας του </w:t>
      </w:r>
      <w:r>
        <w:t>(υπο)</w:t>
      </w:r>
      <w:r w:rsidR="006B7D9D" w:rsidRPr="006B7D9D">
        <w:t>τομέα Design</w:t>
      </w:r>
      <w:r w:rsidR="003667A1">
        <w:t>.</w:t>
      </w:r>
    </w:p>
    <w:p w:rsidR="0039173C" w:rsidRPr="0039173C" w:rsidRDefault="0039173C" w:rsidP="003667A1">
      <w:pPr>
        <w:pStyle w:val="ListParagraph"/>
        <w:numPr>
          <w:ilvl w:val="0"/>
          <w:numId w:val="16"/>
        </w:numPr>
      </w:pPr>
      <w:r>
        <w:t>Έργο των συμβουλευτικών ομάδων, ανά υποτομέα,  θα ήταν το ακόλουθο:</w:t>
      </w:r>
    </w:p>
    <w:p w:rsidR="0039173C" w:rsidRPr="0039173C" w:rsidRDefault="0039173C" w:rsidP="002B247F">
      <w:pPr>
        <w:pStyle w:val="ListParagraph"/>
        <w:numPr>
          <w:ilvl w:val="0"/>
          <w:numId w:val="33"/>
        </w:numPr>
      </w:pPr>
      <w:r>
        <w:t>Η π</w:t>
      </w:r>
      <w:r w:rsidRPr="0039173C">
        <w:t xml:space="preserve">ροετοιμασία προκήρυξης δράσεων του υποτομέα μετά από εφαρμογή της διαδικασίας της επιχειρηματικής ανακάλυψης. </w:t>
      </w:r>
    </w:p>
    <w:p w:rsidR="0039173C" w:rsidRPr="0039173C" w:rsidRDefault="0039173C" w:rsidP="002B247F">
      <w:pPr>
        <w:pStyle w:val="ListParagraph"/>
        <w:numPr>
          <w:ilvl w:val="0"/>
          <w:numId w:val="33"/>
        </w:numPr>
      </w:pPr>
      <w:r>
        <w:t>Η σ</w:t>
      </w:r>
      <w:r w:rsidRPr="0039173C">
        <w:t xml:space="preserve">υμβολή στην προετοιμασία Σχεδίου Δράσης (Action Plan) του υποτομέα που θα ενσωματώνει τους στόχους, τους δείκτες που θα χρησιμοποιηθούν, το χρονοδιάγραμμα παρεμβάσεων καθώς και τις δράσεις του Τομέα (Προκηρύξεις). Θα περιέχει τα αποτελέσματα που έχουν προκύψει από τις εργασίες της πλατφόρμας, καθώς και τα εργαλεία εφαρμογής και προϋπολογισμούς της εγκεκριμένης Στρατηγικής Έξυπνης Εξειδίκευσης (RIS3). </w:t>
      </w:r>
    </w:p>
    <w:p w:rsidR="0039173C" w:rsidRPr="0039173C" w:rsidRDefault="0039173C" w:rsidP="002B247F">
      <w:pPr>
        <w:pStyle w:val="ListParagraph"/>
        <w:numPr>
          <w:ilvl w:val="0"/>
          <w:numId w:val="33"/>
        </w:numPr>
      </w:pPr>
      <w:r>
        <w:t>Η ε</w:t>
      </w:r>
      <w:r w:rsidRPr="0039173C">
        <w:t xml:space="preserve">ξέταση και εφόσον θεωρηθεί σκόπιμο, επικαιροποίηση και τεκμηρίωση του Κειμένου Βάσης και των περιεχόμενων προτεραιοτήτων στον συγκεκριμένο τομέα με εφαρμογή της διαδικασίας επιχειρηματικής ανακάλυψης. </w:t>
      </w:r>
    </w:p>
    <w:p w:rsidR="0039173C" w:rsidRPr="0039173C" w:rsidRDefault="0039173C" w:rsidP="002B247F">
      <w:pPr>
        <w:pStyle w:val="ListParagraph"/>
        <w:numPr>
          <w:ilvl w:val="0"/>
          <w:numId w:val="33"/>
        </w:numPr>
      </w:pPr>
      <w:r>
        <w:t>Η α</w:t>
      </w:r>
      <w:r w:rsidRPr="0039173C">
        <w:t>ξιολόγηση των αποτελεσμάτων του Σχεδίου Δράσης (Action Plan) με στόχο την πιθανή αναθεώρησ</w:t>
      </w:r>
      <w:r w:rsidR="000E6F23">
        <w:t>ή</w:t>
      </w:r>
      <w:r w:rsidRPr="0039173C">
        <w:t xml:space="preserve"> του, μέσω διορθωτικών παρεμβάσεων. </w:t>
      </w:r>
    </w:p>
    <w:p w:rsidR="0039173C" w:rsidRPr="0039173C" w:rsidRDefault="0039173C" w:rsidP="002B247F">
      <w:pPr>
        <w:pStyle w:val="ListParagraph"/>
        <w:numPr>
          <w:ilvl w:val="0"/>
          <w:numId w:val="33"/>
        </w:numPr>
      </w:pPr>
      <w:r w:rsidRPr="0039173C">
        <w:t xml:space="preserve">Εισηγήσεις και προτάσεις προς την ΓΓΕΤ για τη βέλτιστη εφαρμογή της διαδικασίας της επιχειρηματικής ανακάλυψης του υποτομέα και προετοιμασία σχετικών ερωτηματολογίων προς τα μέλη της πλατφόρμας και εξαγωγή συμπερασμάτων συνδυάζοντας τις απαντήσεις των ερωτηματολογίων και τις συνεδριάσεις των μελών της πλατφόρμας. </w:t>
      </w:r>
    </w:p>
    <w:p w:rsidR="0039173C" w:rsidRPr="0039173C" w:rsidRDefault="0039173C" w:rsidP="002B247F">
      <w:pPr>
        <w:pStyle w:val="ListParagraph"/>
        <w:numPr>
          <w:ilvl w:val="0"/>
          <w:numId w:val="33"/>
        </w:numPr>
      </w:pPr>
      <w:r>
        <w:t>Η σ</w:t>
      </w:r>
      <w:r w:rsidRPr="0039173C">
        <w:t xml:space="preserve">υμμετοχή στις συναντήσεις της πλατφόρμας «Πολιτισμός, Τουρισμός, Δημιουργικές Βιομηχανίες» σε πλήρη σύνθεση και για την οριστική διαβούλευση των προτεινόμενων ενεργειών και αποτελεσμάτων. </w:t>
      </w:r>
    </w:p>
    <w:p w:rsidR="0039173C" w:rsidRPr="0039173C" w:rsidRDefault="0039173C" w:rsidP="002B247F">
      <w:pPr>
        <w:pStyle w:val="ListParagraph"/>
        <w:numPr>
          <w:ilvl w:val="0"/>
          <w:numId w:val="33"/>
        </w:numPr>
      </w:pPr>
      <w:r>
        <w:t>Η ε</w:t>
      </w:r>
      <w:r w:rsidRPr="0039173C">
        <w:t xml:space="preserve">πίβλεψη κάθε δυο έτη, της Αναφοράς Προόδου σχετικά με την αποτελεσματικότητα των δράσεων που έχουν προκηρυχθεί καθώς και εξέταση άλλων θεμάτων που αφορούν στην εξέλιξη των Τεχνολογικών Εφαρμογών στον τομέα «Πολιτισμός, Τουρισμός, Δημιουργικές Βιομηχανίες». </w:t>
      </w:r>
    </w:p>
    <w:p w:rsidR="00202712" w:rsidRDefault="00202712" w:rsidP="001B2DD1">
      <w:pPr>
        <w:pStyle w:val="ListParagraph"/>
        <w:numPr>
          <w:ilvl w:val="0"/>
          <w:numId w:val="16"/>
        </w:numPr>
      </w:pPr>
      <w:r>
        <w:t>Στο πλαίσιο της εφαρμογής  της διαδικασίας  της «Επιχειρηματικής Ανακάλυψης»  στους τομείς  «ΠΟΛΙΤΙΣΜΟΣ-ΤΟΥΡΙΣΜΟΣ –ΠΟΛΙΤΙΣΤΙΚΕΣ /ΔΗΜΙΟΥΡΓΙΚΕΣ ΒΙΟΜΗΧΑΝΙΕΣ (ΠΤΔΒ) πραγματοποιήθηκε  συνάντηση  της Ολομέλειας  της  αντίστοιχης  Πλατφόρμας  στις 30 Σεπτεμβρίου 2016, στην Αθήνα. Σκοπός της συνάντησης είναι η διαμόρφωση  των προτεραιοτήτων Έρευνας και Τεχνολογίας των εν λόγω τομέων που θα ενσωματωθούν στην επικείμενη προκήρυξη της Ενιαίας Δράσης Κρατικών Ενισχύσεων Έρευνας Τεχνολογικής Ανάπτυξης Καινοτομίας (ΕΤΑΚ) «ΕΡΕΥΝΩ – ΔΗΜΙΟΥΡΓΩ – ΚΑΙΝΟΤΟΜΩ», της τρέχουσας Προγραμματικής Περιόδου 2014-2020.</w:t>
      </w:r>
    </w:p>
    <w:p w:rsidR="00202712" w:rsidRDefault="00202712" w:rsidP="001B2DD1">
      <w:pPr>
        <w:pStyle w:val="ListParagraph"/>
        <w:numPr>
          <w:ilvl w:val="0"/>
          <w:numId w:val="16"/>
        </w:numPr>
      </w:pPr>
      <w:r>
        <w:t>Στις</w:t>
      </w:r>
      <w:r w:rsidRPr="00202712">
        <w:t xml:space="preserve"> 9 Ιουνίου 2016, πραγματοποιήθηκε η πρώτη συνάντηση εργασίας </w:t>
      </w:r>
      <w:r>
        <w:t xml:space="preserve">και στις </w:t>
      </w:r>
      <w:r w:rsidRPr="00202712">
        <w:t>21 Ιουνίου 2016, η δεύτερη συνάντηση εργασίας του τομέα «Τεχνολογικών Εφαρμογών», της πλατφόρμας «Πολιτισμός -  Τουρισμός - Δημιουργικές Βιομηχανίες.</w:t>
      </w:r>
    </w:p>
    <w:p w:rsidR="00202712" w:rsidRPr="00202712" w:rsidRDefault="00202712" w:rsidP="001B2DD1">
      <w:pPr>
        <w:pStyle w:val="ListParagraph"/>
        <w:numPr>
          <w:ilvl w:val="0"/>
          <w:numId w:val="16"/>
        </w:numPr>
      </w:pPr>
      <w:r>
        <w:t>Στις</w:t>
      </w:r>
      <w:r w:rsidRPr="00202712">
        <w:t xml:space="preserve"> 26 Απριλίου 2016, πραγματοποιήθηκε η πρώτη συνάντηση εργασίας </w:t>
      </w:r>
      <w:r>
        <w:t xml:space="preserve">και στις </w:t>
      </w:r>
      <w:r w:rsidRPr="00202712">
        <w:t>11 Μαΐου 2016,  η δεύτερη συνάντηση εργασίας του τομέα Οπτικοακουστικών-Πολυμέσων-Κινηματογράφου</w:t>
      </w:r>
      <w:r w:rsidR="00381BC6">
        <w:t xml:space="preserve">, της πλατφόρμας «Πολιτισμός - </w:t>
      </w:r>
      <w:r w:rsidRPr="00202712">
        <w:t>Τουρισμός - Δημιουργικές Βιομηχανίες</w:t>
      </w:r>
      <w:r w:rsidR="0052042E">
        <w:t>»</w:t>
      </w:r>
      <w:r w:rsidRPr="00202712">
        <w:t>.</w:t>
      </w:r>
    </w:p>
    <w:p w:rsidR="00202712" w:rsidRPr="006C79D6" w:rsidRDefault="00202712" w:rsidP="00202712">
      <w:pPr>
        <w:rPr>
          <w:b/>
          <w:u w:val="single"/>
        </w:rPr>
      </w:pPr>
      <w:r w:rsidRPr="006C79D6">
        <w:rPr>
          <w:b/>
          <w:u w:val="single"/>
        </w:rPr>
        <w:t>Υλικά και κατασκευές</w:t>
      </w:r>
    </w:p>
    <w:p w:rsidR="00BB65A2" w:rsidRDefault="00404268" w:rsidP="001B2DD1">
      <w:pPr>
        <w:pStyle w:val="ListParagraph"/>
        <w:numPr>
          <w:ilvl w:val="0"/>
          <w:numId w:val="17"/>
        </w:numPr>
      </w:pPr>
      <w:r>
        <w:t xml:space="preserve">Στις </w:t>
      </w:r>
      <w:r w:rsidR="000E6F23">
        <w:t xml:space="preserve">7 Δεκεμβρίου 2015, </w:t>
      </w:r>
      <w:r>
        <w:t xml:space="preserve">εκδόθηκε Απόφαση για τη </w:t>
      </w:r>
      <w:r w:rsidR="0014374A">
        <w:t>Σύσταση και συγκρότηση συμβουλευτικής ομάδας εργασίας της πλατφόρμας «Υλικά-Κατασκευές» στο πλαίσιο της Στρατηγικής Έρευνας και Καινοτομίας για την Έξυπνη Εξειδίκευση της νέας προγραμματικής περιόδου 2014-2020.</w:t>
      </w:r>
      <w:r w:rsidR="00BB65A2">
        <w:t xml:space="preserve"> Έργο της συμβουλευτικής ομάδας εργασίας θα ήταν:</w:t>
      </w:r>
    </w:p>
    <w:p w:rsidR="00BB65A2" w:rsidRDefault="00BB65A2" w:rsidP="002B247F">
      <w:pPr>
        <w:pStyle w:val="ListParagraph"/>
        <w:numPr>
          <w:ilvl w:val="0"/>
          <w:numId w:val="33"/>
        </w:numPr>
      </w:pPr>
      <w:r>
        <w:t xml:space="preserve">Η προετοιμασία συνοπτικού κειμένου βάσης για κάθε υπο-ομάδα εργασίας και για την πλατφόρμα συνολικά, το οποίο θα περιέχει τα αποτελέσματα που προκύπτουν από τις εργασίες </w:t>
      </w:r>
      <w:r>
        <w:lastRenderedPageBreak/>
        <w:t>της πλατφόρμας, τα διατομεακά θέματα που άπτονται του περιεχομένου άλλων πλατφορμών της ΓΓΕΤ (και άλλων παρόμοιων πρωτοβουλιών), καθώς και των περιφερειακών RIS3, κατά τη διάρκεια εφαρμογής της στρατηγικής Έξυπνης Εξειδίκευσης 2014-2020.</w:t>
      </w:r>
    </w:p>
    <w:p w:rsidR="00BB65A2" w:rsidRDefault="00BB65A2" w:rsidP="002B247F">
      <w:pPr>
        <w:pStyle w:val="ListParagraph"/>
        <w:numPr>
          <w:ilvl w:val="0"/>
          <w:numId w:val="33"/>
        </w:numPr>
      </w:pPr>
      <w:r>
        <w:t>Εισηγήσεις και προτάσεις προς την ΓΓΕΤ για τη βέλτιστη εφαρμογή της διαδικασίας επιχειρηματικής ανακάλυψης στον τομέα «Υλικά-κατασκευές» και προετοιμασία-επεξεργασία σχετικών ερωτηματολογίων.</w:t>
      </w:r>
    </w:p>
    <w:p w:rsidR="00BB65A2" w:rsidRDefault="00BB65A2" w:rsidP="002B247F">
      <w:pPr>
        <w:pStyle w:val="ListParagraph"/>
        <w:numPr>
          <w:ilvl w:val="0"/>
          <w:numId w:val="33"/>
        </w:numPr>
      </w:pPr>
      <w:r>
        <w:t>Η συμμετοχή στις συναντήσεις της πλατφόρμας σε πλήρη σύνθεση και στις υπο- ομάδες εργασίας για οριστική διαβούλευση των αποτελεσμάτων.</w:t>
      </w:r>
    </w:p>
    <w:p w:rsidR="00BB65A2" w:rsidRDefault="00BB65A2" w:rsidP="002B247F">
      <w:pPr>
        <w:pStyle w:val="ListParagraph"/>
        <w:numPr>
          <w:ilvl w:val="0"/>
          <w:numId w:val="33"/>
        </w:numPr>
      </w:pPr>
      <w:r>
        <w:t>Η αποδελτίωση των αποτελεσμάτων των διαβουλεύσεων της πλατφόρμας και εξαγωγή συμπερασμάτων από τις συζητήσεις και τα ερωτηματολόγια.</w:t>
      </w:r>
    </w:p>
    <w:p w:rsidR="00BB65A2" w:rsidRDefault="00BB65A2" w:rsidP="002B247F">
      <w:pPr>
        <w:pStyle w:val="ListParagraph"/>
        <w:numPr>
          <w:ilvl w:val="0"/>
          <w:numId w:val="33"/>
        </w:numPr>
      </w:pPr>
      <w:r>
        <w:t>Η προετοιμασία κειμένου εργασίας για τον τομέα και τους υπο-τομείς των «Υλικών-Κατασκευές», το οποίο θα περιέχει τις προτεραιότητες του τομέα, τους στόχους, τους δείκτες που θα χρησιμοποιηθούν, το χρονοδιάγραμμα των παρεμβάσεων, καθώς και τις δράσεις του τομέα (προκηρύξεις), συμπεριλαμβανομένων των μέσων εφαρμογής και του προϋπολογισμού.</w:t>
      </w:r>
    </w:p>
    <w:p w:rsidR="00BB65A2" w:rsidRDefault="00BB65A2" w:rsidP="002B247F">
      <w:pPr>
        <w:pStyle w:val="ListParagraph"/>
        <w:numPr>
          <w:ilvl w:val="0"/>
          <w:numId w:val="33"/>
        </w:numPr>
      </w:pPr>
      <w:r>
        <w:t>Η παρακολούθηση της προόδου υλοποίησης των δράσεων του τομέα στη βάση στοιχείων που θα προσκομίζει η ΓΓΕΤ. Οργάνωση συναντήσεων – τηλεδιασκέψεων ανάλογα με τις απαιτήσεις.</w:t>
      </w:r>
    </w:p>
    <w:p w:rsidR="00BB65A2" w:rsidRDefault="00BB65A2" w:rsidP="002B247F">
      <w:pPr>
        <w:pStyle w:val="ListParagraph"/>
        <w:numPr>
          <w:ilvl w:val="0"/>
          <w:numId w:val="33"/>
        </w:numPr>
      </w:pPr>
      <w:r>
        <w:t>Η επίβλεψη της κατάρτισης κάθε δυο έτη ή όποτε κριθεί σκόπιμο, της έκθεσης σχετικά με την εξέλιξη του τομέα και την αποτελεσματικότητα των δράσεων που έχουν προκηρυχθεί, καθώς και άλλα θέματα που αφορούν στην εξέλιξη του τομέα.</w:t>
      </w:r>
    </w:p>
    <w:p w:rsidR="00BB65A2" w:rsidRDefault="00BB65A2" w:rsidP="002B247F">
      <w:pPr>
        <w:pStyle w:val="ListParagraph"/>
        <w:numPr>
          <w:ilvl w:val="0"/>
          <w:numId w:val="33"/>
        </w:numPr>
      </w:pPr>
      <w:r>
        <w:t>Η διατύπωση προτάσεων για την επικαιροποίηση ή και αναθεώρηση της στρατηγικής του τομέα</w:t>
      </w:r>
    </w:p>
    <w:p w:rsidR="00BB65A2" w:rsidRDefault="00BB65A2" w:rsidP="002B247F">
      <w:pPr>
        <w:pStyle w:val="ListParagraph"/>
        <w:numPr>
          <w:ilvl w:val="0"/>
          <w:numId w:val="33"/>
        </w:numPr>
      </w:pPr>
      <w:r>
        <w:t>Άλλα αντικείμενα κατά την κρίση της ΓΓΕΤ.</w:t>
      </w:r>
    </w:p>
    <w:p w:rsidR="006B7D9D" w:rsidRDefault="000E6F23" w:rsidP="001B2DD1">
      <w:pPr>
        <w:pStyle w:val="ListParagraph"/>
        <w:numPr>
          <w:ilvl w:val="0"/>
          <w:numId w:val="17"/>
        </w:numPr>
      </w:pPr>
      <w:r>
        <w:t>Σ</w:t>
      </w:r>
      <w:r w:rsidR="0014374A" w:rsidRPr="0014374A">
        <w:t xml:space="preserve">τις 18 Νοεμβρίου 2015 </w:t>
      </w:r>
      <w:r>
        <w:t>π</w:t>
      </w:r>
      <w:r w:rsidRPr="0014374A">
        <w:t xml:space="preserve">ραγματοποιήθηκε </w:t>
      </w:r>
      <w:r w:rsidR="0014374A" w:rsidRPr="0014374A">
        <w:t xml:space="preserve">η </w:t>
      </w:r>
      <w:r w:rsidR="0014374A">
        <w:t>1</w:t>
      </w:r>
      <w:r w:rsidR="0014374A" w:rsidRPr="0014374A">
        <w:t>η συνάντηση της συμβουλευτικής ομάδας</w:t>
      </w:r>
      <w:r w:rsidR="0014374A">
        <w:t xml:space="preserve">, </w:t>
      </w:r>
      <w:r w:rsidR="0014374A" w:rsidRPr="0014374A">
        <w:t>στις 23 Μαρτίου 2016 η 2</w:t>
      </w:r>
      <w:r w:rsidR="0014374A" w:rsidRPr="000E6F23">
        <w:rPr>
          <w:vertAlign w:val="superscript"/>
        </w:rPr>
        <w:t>η</w:t>
      </w:r>
      <w:r>
        <w:t xml:space="preserve"> </w:t>
      </w:r>
      <w:r w:rsidR="0014374A" w:rsidRPr="0014374A">
        <w:t>συνάντηση της συμβουλευτικής ομάδας</w:t>
      </w:r>
      <w:r w:rsidR="0014374A">
        <w:t xml:space="preserve"> και στις</w:t>
      </w:r>
      <w:r w:rsidR="0014374A" w:rsidRPr="0014374A">
        <w:t xml:space="preserve"> 10 </w:t>
      </w:r>
      <w:r w:rsidR="001D742B" w:rsidRPr="0014374A">
        <w:t>Μαΐου</w:t>
      </w:r>
      <w:r w:rsidR="0014374A" w:rsidRPr="0014374A">
        <w:t xml:space="preserve"> 2016 η 3</w:t>
      </w:r>
      <w:r w:rsidR="0014374A" w:rsidRPr="000E6F23">
        <w:rPr>
          <w:vertAlign w:val="superscript"/>
        </w:rPr>
        <w:t>η</w:t>
      </w:r>
      <w:r>
        <w:t xml:space="preserve"> </w:t>
      </w:r>
      <w:r w:rsidR="0014374A" w:rsidRPr="0014374A">
        <w:t>συνάντηση της συμβουλευτικής ομάδας.</w:t>
      </w:r>
    </w:p>
    <w:p w:rsidR="0014374A" w:rsidRPr="0014374A" w:rsidRDefault="0014374A" w:rsidP="000E6F23">
      <w:pPr>
        <w:ind w:left="360"/>
      </w:pPr>
    </w:p>
    <w:p w:rsidR="000E6F23" w:rsidRDefault="000E6F23">
      <w:pPr>
        <w:spacing w:before="0" w:after="160" w:line="259" w:lineRule="auto"/>
        <w:jc w:val="left"/>
        <w:rPr>
          <w:rFonts w:eastAsia="Times New Roman"/>
          <w:b/>
          <w:kern w:val="28"/>
          <w:sz w:val="28"/>
          <w:szCs w:val="44"/>
        </w:rPr>
      </w:pPr>
      <w:r>
        <w:br w:type="page"/>
      </w:r>
    </w:p>
    <w:p w:rsidR="00EB5844" w:rsidRDefault="00EB5844" w:rsidP="00EB5844">
      <w:pPr>
        <w:pStyle w:val="Heading1"/>
      </w:pPr>
      <w:bookmarkStart w:id="80" w:name="_Toc22645137"/>
      <w:r>
        <w:lastRenderedPageBreak/>
        <w:t>Κύριες προκλήσεις και τρόποι αντιμετώπισης</w:t>
      </w:r>
      <w:bookmarkEnd w:id="80"/>
    </w:p>
    <w:p w:rsidR="007E78E2" w:rsidRDefault="007E78E2" w:rsidP="007E78E2">
      <w:pPr>
        <w:rPr>
          <w:szCs w:val="18"/>
        </w:rPr>
      </w:pPr>
      <w:r w:rsidRPr="00D84FC4">
        <w:rPr>
          <w:szCs w:val="18"/>
        </w:rPr>
        <w:t xml:space="preserve">Οι κύριες προκλήσεις για την επιτυχή υλοποίηση των Δράσεων της RIS3, κυρίως αυτών που εντάσσονται στο ΕΠΑνΕΚ, αφορούν σε θέματα διαχείρισης (1-5), καθώς και σε θέματα ποιοτικής διάστασης του σχεδιασμού και της υλοποίησης των συγκριμένων δράσεων (6-8). </w:t>
      </w:r>
      <w:r>
        <w:rPr>
          <w:szCs w:val="18"/>
        </w:rPr>
        <w:t xml:space="preserve">Στη συνέχεια, παρατίθεται ανάλυση των προκλήσεων-κρίσιμων ζητημάτων για την ορθή και αποτελεσματική υλοποίηση της στρατηγικής </w:t>
      </w:r>
      <w:r>
        <w:rPr>
          <w:szCs w:val="18"/>
          <w:lang w:val="en-US"/>
        </w:rPr>
        <w:t>RIS</w:t>
      </w:r>
      <w:r w:rsidRPr="00652FA4">
        <w:rPr>
          <w:szCs w:val="18"/>
        </w:rPr>
        <w:t>3</w:t>
      </w:r>
      <w:r>
        <w:rPr>
          <w:szCs w:val="18"/>
        </w:rPr>
        <w:t xml:space="preserve">, ενώ ακολουθεί και η διατύπωση τρόπων αντιμετώπισης αυτών, οι οποίοι αποτελούν ταυτόχρονα και συστάσεις που </w:t>
      </w:r>
      <w:r w:rsidRPr="00D84FC4">
        <w:rPr>
          <w:rFonts w:cstheme="minorHAnsi"/>
          <w:szCs w:val="18"/>
        </w:rPr>
        <w:t xml:space="preserve">μπορούν να ληφθούν υπόψη κατά τη διαδικασία αναθεώρησης της </w:t>
      </w:r>
      <w:r w:rsidRPr="00D84FC4">
        <w:rPr>
          <w:rFonts w:cstheme="minorHAnsi"/>
          <w:szCs w:val="18"/>
          <w:lang w:val="en-US"/>
        </w:rPr>
        <w:t>RIS</w:t>
      </w:r>
      <w:r w:rsidRPr="00D84FC4">
        <w:rPr>
          <w:rFonts w:cstheme="minorHAnsi"/>
          <w:szCs w:val="18"/>
        </w:rPr>
        <w:t>3 το 2019</w:t>
      </w:r>
      <w:r>
        <w:rPr>
          <w:rFonts w:cstheme="minorHAnsi"/>
          <w:szCs w:val="18"/>
        </w:rPr>
        <w:t>.</w:t>
      </w:r>
    </w:p>
    <w:p w:rsidR="007E78E2" w:rsidRDefault="007E78E2" w:rsidP="007E78E2">
      <w:pPr>
        <w:rPr>
          <w:rFonts w:cstheme="minorHAnsi"/>
          <w:b/>
          <w:bCs/>
          <w:szCs w:val="18"/>
        </w:rPr>
      </w:pPr>
      <w:r>
        <w:rPr>
          <w:rFonts w:cstheme="minorHAnsi"/>
          <w:b/>
          <w:bCs/>
          <w:szCs w:val="18"/>
        </w:rPr>
        <w:t>Ειδικές Προκλήσεις</w:t>
      </w:r>
    </w:p>
    <w:p w:rsidR="007E78E2" w:rsidRPr="00D84FC4" w:rsidRDefault="007E78E2" w:rsidP="007E78E2">
      <w:pPr>
        <w:pStyle w:val="ListParagraph"/>
        <w:numPr>
          <w:ilvl w:val="0"/>
          <w:numId w:val="46"/>
        </w:numPr>
        <w:ind w:left="180" w:hanging="180"/>
        <w:contextualSpacing/>
        <w:rPr>
          <w:rFonts w:cstheme="minorHAnsi"/>
          <w:i/>
          <w:iCs/>
          <w:szCs w:val="18"/>
          <w:u w:val="single"/>
        </w:rPr>
      </w:pPr>
      <w:r w:rsidRPr="00D84FC4">
        <w:rPr>
          <w:rFonts w:cstheme="minorHAnsi"/>
          <w:i/>
          <w:iCs/>
          <w:szCs w:val="18"/>
          <w:u w:val="single"/>
        </w:rPr>
        <w:t>Περιβάλλον των Δράσεων</w:t>
      </w:r>
    </w:p>
    <w:p w:rsidR="007E78E2" w:rsidRPr="00DF6929" w:rsidRDefault="007E78E2" w:rsidP="007E78E2">
      <w:pPr>
        <w:pStyle w:val="ListParagraph"/>
        <w:numPr>
          <w:ilvl w:val="0"/>
          <w:numId w:val="17"/>
        </w:numPr>
        <w:rPr>
          <w:szCs w:val="18"/>
        </w:rPr>
      </w:pPr>
      <w:r w:rsidRPr="00DF6929">
        <w:rPr>
          <w:szCs w:val="18"/>
        </w:rPr>
        <w:t xml:space="preserve">Ο ειδικός θεσμικός και διαχειριστικός χαρακτήρας των δράσεων, ειδικά εκείνων που εμπίπτουν στο θεσμικό πλαίσιο εφαρμογής των κρατικών ενισχύσεων. Συχνά οι διαδικασίες (πχ. έγκριση και παρακολούθηση του καθεστώτος ενίσχυσης, αξιοποίηση του ΠΣΚΕ), που απαιτούνται για την ωρίμανση και υλοποίηση των αντίστοιχων δράσεων παρουσιάζουν περιπλοκότητα και απαιτούν ειδική τεχνογνωσία ώστε να προληφθούν τυχόν αστοχίες στο σχεδιασμό και </w:t>
      </w:r>
      <w:r>
        <w:rPr>
          <w:szCs w:val="18"/>
        </w:rPr>
        <w:t>σ</w:t>
      </w:r>
      <w:r w:rsidRPr="00DF6929">
        <w:rPr>
          <w:szCs w:val="18"/>
        </w:rPr>
        <w:t>την υλοποίηση.</w:t>
      </w:r>
    </w:p>
    <w:p w:rsidR="007E78E2" w:rsidRPr="00DF6929" w:rsidRDefault="007E78E2" w:rsidP="007E78E2">
      <w:pPr>
        <w:pStyle w:val="ListParagraph"/>
        <w:numPr>
          <w:ilvl w:val="0"/>
          <w:numId w:val="17"/>
        </w:numPr>
        <w:rPr>
          <w:szCs w:val="18"/>
        </w:rPr>
      </w:pPr>
      <w:r w:rsidRPr="00DF6929">
        <w:rPr>
          <w:szCs w:val="18"/>
        </w:rPr>
        <w:t>Το υφιστάμενο οικονομικό περιβάλλον και η έλλειψη ρευστότητας που δυσχεραίνει στους φορείς (δικαιούχους) να προ-χρηματοδοτήσουν τα έργα τους. Για την άμβλυνση αυτής της δυσκολίας και για τις πράξεις που εντάσσονται στο ΕΠΑΝΕΚ προβλέπεται η δυνατότητα χορήγηση προκαταβολής έναντι ισόποσης εγγυητικής επιστολής ή με ή μέσω ειδικού καταπιστευτικού λογαριασμού (ΥΑ 62550/10.6.2016).</w:t>
      </w:r>
    </w:p>
    <w:p w:rsidR="007E78E2" w:rsidRPr="000B53F8" w:rsidRDefault="007E78E2" w:rsidP="007E78E2">
      <w:pPr>
        <w:pStyle w:val="ListParagraph"/>
        <w:numPr>
          <w:ilvl w:val="0"/>
          <w:numId w:val="46"/>
        </w:numPr>
        <w:ind w:left="180" w:hanging="180"/>
        <w:contextualSpacing/>
        <w:rPr>
          <w:rFonts w:cstheme="minorHAnsi"/>
          <w:i/>
          <w:iCs/>
          <w:szCs w:val="18"/>
          <w:u w:val="single"/>
        </w:rPr>
      </w:pPr>
      <w:r>
        <w:rPr>
          <w:rFonts w:cstheme="minorHAnsi"/>
          <w:i/>
          <w:iCs/>
          <w:szCs w:val="18"/>
          <w:u w:val="single"/>
        </w:rPr>
        <w:t>Ε</w:t>
      </w:r>
      <w:r w:rsidRPr="000B53F8">
        <w:rPr>
          <w:rFonts w:cstheme="minorHAnsi"/>
          <w:i/>
          <w:iCs/>
          <w:szCs w:val="18"/>
          <w:u w:val="single"/>
        </w:rPr>
        <w:t>πιχειρησιακή ικανότητα ΕΦΔ και Δικαιούχων</w:t>
      </w:r>
    </w:p>
    <w:p w:rsidR="007E78E2" w:rsidRPr="00DF6929" w:rsidRDefault="007E78E2" w:rsidP="007E78E2">
      <w:pPr>
        <w:pStyle w:val="ListParagraph"/>
        <w:numPr>
          <w:ilvl w:val="0"/>
          <w:numId w:val="17"/>
        </w:numPr>
        <w:rPr>
          <w:rFonts w:cstheme="minorHAnsi"/>
          <w:szCs w:val="18"/>
        </w:rPr>
      </w:pPr>
      <w:r w:rsidRPr="00DF6929">
        <w:rPr>
          <w:rFonts w:cstheme="minorHAnsi"/>
          <w:szCs w:val="18"/>
        </w:rPr>
        <w:t>Η επιχειρησιακή ικανότητα των δύο ΕΦΔ (ΓΓΕΤ και ΕΥΔΕ ΕΤΑΚ) να διαχειριστούν ένα πλήθος δράσεων που θα αυξηθούν στο μέλλον, σε συνδυασμό με τον αριθμό των δικαιούχων-επιχειρήσεων που θα πρέπει να υποστηριχθούν στην παρακολούθηση των έργων. Στο επίπεδο αυτό απαιτείται:</w:t>
      </w:r>
    </w:p>
    <w:p w:rsidR="007E78E2" w:rsidRPr="00DF6929" w:rsidRDefault="007E78E2" w:rsidP="007E78E2">
      <w:pPr>
        <w:pStyle w:val="ListParagraph"/>
        <w:numPr>
          <w:ilvl w:val="0"/>
          <w:numId w:val="33"/>
        </w:numPr>
        <w:rPr>
          <w:rFonts w:cstheme="minorHAnsi"/>
          <w:szCs w:val="18"/>
        </w:rPr>
      </w:pPr>
      <w:r w:rsidRPr="00DF6929">
        <w:rPr>
          <w:rFonts w:cstheme="minorHAnsi"/>
          <w:szCs w:val="18"/>
        </w:rPr>
        <w:t>Επαρκής στελέχωση των ΕΦΔ τόσο σε επίπεδο αριθμού στελεχών</w:t>
      </w:r>
      <w:r>
        <w:rPr>
          <w:rFonts w:cstheme="minorHAnsi"/>
          <w:szCs w:val="18"/>
        </w:rPr>
        <w:t>,</w:t>
      </w:r>
      <w:r w:rsidRPr="00DF6929">
        <w:rPr>
          <w:rFonts w:cstheme="minorHAnsi"/>
          <w:szCs w:val="18"/>
        </w:rPr>
        <w:t xml:space="preserve"> όσο και σε επίπεδο απόκτησης από ένα ευρύτερο πλήθος στελεχών ειδικών γνώσεων (διαχείρισης έργων κρατικών ενισχύσεων, διαχείρισης ΠΣΚΕ-ΟΠΣ ΕΣΠΑ, </w:t>
      </w:r>
      <w:r w:rsidRPr="006E795F">
        <w:rPr>
          <w:rFonts w:cstheme="minorHAnsi"/>
          <w:szCs w:val="18"/>
          <w:lang w:val="en-GB"/>
        </w:rPr>
        <w:t>project</w:t>
      </w:r>
      <w:r w:rsidRPr="00643698">
        <w:rPr>
          <w:rFonts w:cstheme="minorHAnsi"/>
          <w:szCs w:val="18"/>
        </w:rPr>
        <w:t xml:space="preserve"> </w:t>
      </w:r>
      <w:r w:rsidRPr="006E795F">
        <w:rPr>
          <w:rFonts w:cstheme="minorHAnsi"/>
          <w:szCs w:val="18"/>
          <w:lang w:val="en-GB"/>
        </w:rPr>
        <w:t>management</w:t>
      </w:r>
      <w:r w:rsidRPr="00DF6929">
        <w:rPr>
          <w:rFonts w:cstheme="minorHAnsi"/>
          <w:szCs w:val="18"/>
        </w:rPr>
        <w:t>). Ειδικά στα στάδια αξιολόγησης των προτάσεων έργων και διενέργειας πιστοποιήσεων (διοικητικών ή επιτόπιων) για την πληρωμή των έργων ο διαχειριστικός φόρτος των αρμόδιων μονάδων των ΕΦΔ αναμένεται να είναι ιδιαίτερα αυξημένος.</w:t>
      </w:r>
    </w:p>
    <w:p w:rsidR="007E78E2" w:rsidRPr="00DF6929" w:rsidRDefault="007E78E2" w:rsidP="007E78E2">
      <w:pPr>
        <w:ind w:left="1080"/>
        <w:rPr>
          <w:rFonts w:cstheme="minorHAnsi"/>
          <w:szCs w:val="18"/>
        </w:rPr>
      </w:pPr>
      <w:r w:rsidRPr="00DF6929">
        <w:rPr>
          <w:rFonts w:cstheme="minorHAnsi"/>
          <w:szCs w:val="18"/>
        </w:rPr>
        <w:t>Ως εκ τούτου οι ΕΦΔ πρέπει  να λάβουν υπόψη τους κατά το χρονοπρογραμματισμό των δράσεων τις περιόδους υψηλών αναγκών ανθρώπινων πόρων και να επιλέξ</w:t>
      </w:r>
      <w:r>
        <w:rPr>
          <w:rFonts w:cstheme="minorHAnsi"/>
          <w:szCs w:val="18"/>
        </w:rPr>
        <w:t>ουν</w:t>
      </w:r>
      <w:r w:rsidRPr="00DF6929">
        <w:rPr>
          <w:rFonts w:cstheme="minorHAnsi"/>
          <w:szCs w:val="18"/>
        </w:rPr>
        <w:t xml:space="preserve"> τρόπους κάλυψης των αναγκών αυτών είτε εσωτερικά</w:t>
      </w:r>
      <w:r>
        <w:rPr>
          <w:rFonts w:cstheme="minorHAnsi"/>
          <w:szCs w:val="18"/>
        </w:rPr>
        <w:t>,</w:t>
      </w:r>
      <w:r w:rsidRPr="00DF6929">
        <w:rPr>
          <w:rFonts w:cstheme="minorHAnsi"/>
          <w:szCs w:val="18"/>
        </w:rPr>
        <w:t xml:space="preserve"> είτε με την ανάθεση εργασιών σε τρίτους (πχ. εξωτερικούς εμπειρογνώμονες- αξιολογητές, πιστοποιητές).</w:t>
      </w:r>
    </w:p>
    <w:p w:rsidR="007E78E2" w:rsidRPr="00DF6929" w:rsidRDefault="007E78E2" w:rsidP="007E78E2">
      <w:pPr>
        <w:pStyle w:val="ListParagraph"/>
        <w:numPr>
          <w:ilvl w:val="0"/>
          <w:numId w:val="33"/>
        </w:numPr>
        <w:rPr>
          <w:rFonts w:cstheme="minorHAnsi"/>
          <w:szCs w:val="18"/>
        </w:rPr>
      </w:pPr>
      <w:r>
        <w:rPr>
          <w:rFonts w:cstheme="minorHAnsi"/>
          <w:szCs w:val="18"/>
        </w:rPr>
        <w:t>Ε</w:t>
      </w:r>
      <w:r w:rsidRPr="00DF6929">
        <w:rPr>
          <w:rFonts w:cstheme="minorHAnsi"/>
          <w:szCs w:val="18"/>
        </w:rPr>
        <w:t>παρκής υποδομή, εξοπλισμός και εργαλεία (οδηγοί, τυποποιημένα έντυπα, συστήματα παρακολούθησης εκτός ΠΣΚΕ) για τη διαχείριση των δράσεων.</w:t>
      </w:r>
    </w:p>
    <w:p w:rsidR="007E78E2" w:rsidRPr="00DF6929" w:rsidRDefault="007E78E2" w:rsidP="007E78E2">
      <w:pPr>
        <w:pStyle w:val="ListParagraph"/>
        <w:numPr>
          <w:ilvl w:val="0"/>
          <w:numId w:val="17"/>
        </w:numPr>
        <w:rPr>
          <w:rFonts w:cstheme="minorHAnsi"/>
          <w:szCs w:val="18"/>
        </w:rPr>
      </w:pPr>
      <w:r w:rsidRPr="00DF6929">
        <w:rPr>
          <w:rFonts w:cstheme="minorHAnsi"/>
          <w:szCs w:val="18"/>
        </w:rPr>
        <w:t>Η επιχειρησιακή ικανότητα των δικαιούχων να ανταποκριθούν στις υποχρεώσεις διαχείρισης που προσδιορίζονται στις αποφάσεις χρηματοδότησης και στο ΣΔΕ. Όπως έχει δείξει η εμπειρία από παρόμοιες δράσεις που έχουν υλοποιηθεί στο παρελθόν, οι δυνητικοί δικαιούχοι (κυρίως οι επιχειρήσεις) αντιμετωπίζουν δυσκολίες</w:t>
      </w:r>
      <w:r>
        <w:rPr>
          <w:rFonts w:cstheme="minorHAnsi"/>
          <w:szCs w:val="18"/>
        </w:rPr>
        <w:t xml:space="preserve"> στην κατανόηση και ως εκ τούτου στην εφαρμογή </w:t>
      </w:r>
      <w:r w:rsidRPr="00DF6929">
        <w:rPr>
          <w:rFonts w:cstheme="minorHAnsi"/>
          <w:szCs w:val="18"/>
        </w:rPr>
        <w:t xml:space="preserve"> </w:t>
      </w:r>
      <w:r>
        <w:rPr>
          <w:rFonts w:cstheme="minorHAnsi"/>
          <w:szCs w:val="18"/>
        </w:rPr>
        <w:t xml:space="preserve">των </w:t>
      </w:r>
      <w:r w:rsidRPr="00DF6929">
        <w:rPr>
          <w:rFonts w:cstheme="minorHAnsi"/>
          <w:szCs w:val="18"/>
        </w:rPr>
        <w:t>παραπάνω υποχρεώσε</w:t>
      </w:r>
      <w:r>
        <w:rPr>
          <w:rFonts w:cstheme="minorHAnsi"/>
          <w:szCs w:val="18"/>
        </w:rPr>
        <w:t>ων</w:t>
      </w:r>
      <w:r w:rsidRPr="00DF6929">
        <w:rPr>
          <w:rFonts w:cstheme="minorHAnsi"/>
          <w:szCs w:val="18"/>
        </w:rPr>
        <w:t>. Υπενθυμίζεται ότι οι δικαιούχοι πράξεων κρατικών ενισχύσεων δεν εμπίπτουν στην απαίτηση επιβεβαίωσης της διαχειριστικής τους ικανότητας. Έτσι, οι ΕΦΔ θα πρέπει να αναπτύξουν τα κατάλληλα εργαλεία υποστήριξης των δικαιούχων για την εκπλήρωση των υποχρεώσεων που προκύπτουν από την εφαρμογή των σχετικών δράσεων (ενδεικτικά: ανάπτυξη οδηγών εφαρμογής, λειτουργία help desk χρήσης ΠΣΚΕ, παρουσιάσεις δράσεων τόσο κατά την προκήρυξη όσο και κατά την υλοποίησή τους).</w:t>
      </w:r>
    </w:p>
    <w:p w:rsidR="007E78E2" w:rsidRDefault="007E78E2" w:rsidP="007E78E2">
      <w:pPr>
        <w:spacing w:before="0" w:after="160" w:line="259" w:lineRule="auto"/>
        <w:jc w:val="left"/>
        <w:rPr>
          <w:rFonts w:cstheme="minorHAnsi"/>
          <w:szCs w:val="18"/>
          <w:u w:val="single"/>
        </w:rPr>
      </w:pPr>
      <w:r>
        <w:rPr>
          <w:rFonts w:cstheme="minorHAnsi"/>
          <w:szCs w:val="18"/>
          <w:u w:val="single"/>
        </w:rPr>
        <w:br w:type="page"/>
      </w:r>
    </w:p>
    <w:p w:rsidR="007E78E2" w:rsidRPr="000B53F8" w:rsidRDefault="007E78E2" w:rsidP="007E78E2">
      <w:pPr>
        <w:pStyle w:val="ListParagraph"/>
        <w:numPr>
          <w:ilvl w:val="0"/>
          <w:numId w:val="46"/>
        </w:numPr>
        <w:ind w:left="180" w:hanging="180"/>
        <w:contextualSpacing/>
        <w:rPr>
          <w:rFonts w:cstheme="minorHAnsi"/>
          <w:i/>
          <w:iCs/>
          <w:szCs w:val="18"/>
          <w:u w:val="single"/>
        </w:rPr>
      </w:pPr>
      <w:r w:rsidRPr="000B53F8">
        <w:rPr>
          <w:rFonts w:cstheme="minorHAnsi"/>
          <w:i/>
          <w:iCs/>
          <w:szCs w:val="18"/>
          <w:u w:val="single"/>
        </w:rPr>
        <w:lastRenderedPageBreak/>
        <w:t>Προγραμματισμ</w:t>
      </w:r>
      <w:r>
        <w:rPr>
          <w:rFonts w:cstheme="minorHAnsi"/>
          <w:i/>
          <w:iCs/>
          <w:szCs w:val="18"/>
          <w:u w:val="single"/>
        </w:rPr>
        <w:t xml:space="preserve">ός </w:t>
      </w:r>
      <w:r w:rsidRPr="000B53F8">
        <w:rPr>
          <w:rFonts w:cstheme="minorHAnsi"/>
          <w:i/>
          <w:iCs/>
          <w:szCs w:val="18"/>
          <w:u w:val="single"/>
        </w:rPr>
        <w:t>ωρίμανσης – υλοποίηση των Δράσεων</w:t>
      </w:r>
    </w:p>
    <w:p w:rsidR="007E78E2" w:rsidRPr="00DF6929" w:rsidRDefault="007E78E2" w:rsidP="007E78E2">
      <w:pPr>
        <w:pStyle w:val="ListParagraph"/>
        <w:numPr>
          <w:ilvl w:val="0"/>
          <w:numId w:val="17"/>
        </w:numPr>
        <w:rPr>
          <w:rFonts w:cstheme="minorHAnsi"/>
          <w:szCs w:val="18"/>
        </w:rPr>
      </w:pPr>
      <w:r w:rsidRPr="00DF6929">
        <w:rPr>
          <w:rFonts w:cstheme="minorHAnsi"/>
          <w:szCs w:val="18"/>
        </w:rPr>
        <w:t xml:space="preserve">Ο ορθός προγραμματισμός έκδοσης των σχετικών Προσκλήσεων προκειμένου να μην υπάρχουν αλληλεπικαλύψεις με παρόμοιες «ανταγωνιστικές» δράσεις που έχουν είδη προκηρυχθεί ή </w:t>
      </w:r>
      <w:r>
        <w:rPr>
          <w:rFonts w:cstheme="minorHAnsi"/>
          <w:szCs w:val="18"/>
        </w:rPr>
        <w:t xml:space="preserve">βρίσκονται σε φάση υλοποίησης </w:t>
      </w:r>
      <w:r w:rsidRPr="00DF6929">
        <w:rPr>
          <w:rFonts w:cstheme="minorHAnsi"/>
          <w:szCs w:val="18"/>
        </w:rPr>
        <w:t xml:space="preserve">(πχ. στο πλαίσιο των Περιφερειακών ΕΠ) γεγονός που θα λειτουργούσε αποθαρρυντικά όσον αφορά </w:t>
      </w:r>
      <w:r>
        <w:rPr>
          <w:rFonts w:cstheme="minorHAnsi"/>
          <w:szCs w:val="18"/>
        </w:rPr>
        <w:t>σ</w:t>
      </w:r>
      <w:r w:rsidRPr="00DF6929">
        <w:rPr>
          <w:rFonts w:cstheme="minorHAnsi"/>
          <w:szCs w:val="18"/>
        </w:rPr>
        <w:t>τη συμμετοχή των δυνητικών δικαιούχων, για διάφορους λόγους</w:t>
      </w:r>
      <w:r>
        <w:rPr>
          <w:rFonts w:cstheme="minorHAnsi"/>
          <w:szCs w:val="18"/>
        </w:rPr>
        <w:t xml:space="preserve">, </w:t>
      </w:r>
      <w:r w:rsidRPr="00DF6929">
        <w:rPr>
          <w:rFonts w:cstheme="minorHAnsi"/>
          <w:szCs w:val="18"/>
        </w:rPr>
        <w:t>πχ. χαμηλότερο ποσοστό επιχορήγησης, υπέρβαση του ορίου de minimis, αδυναμία διάθεσης ίδιων πόρων για την κάλυψη της ιδιωτικής συμμετοχής.</w:t>
      </w:r>
    </w:p>
    <w:p w:rsidR="007E78E2" w:rsidRPr="00DF6929" w:rsidRDefault="007E78E2" w:rsidP="007E78E2">
      <w:pPr>
        <w:pStyle w:val="ListParagraph"/>
        <w:numPr>
          <w:ilvl w:val="0"/>
          <w:numId w:val="17"/>
        </w:numPr>
        <w:rPr>
          <w:rFonts w:cstheme="minorHAnsi"/>
          <w:szCs w:val="18"/>
        </w:rPr>
      </w:pPr>
      <w:r w:rsidRPr="00DF6929">
        <w:rPr>
          <w:rFonts w:cstheme="minorHAnsi"/>
          <w:szCs w:val="18"/>
        </w:rPr>
        <w:t>Η τήρηση των χρονοδιαγραμμάτων που αφορούν στον «κύκλο ζωής» των προκηρυγμένων δράσεων (ωρίμανση, έκδοση Πρόσκλησης, Αξιολόγηση, Έκδοση αποφάσεων ένταξης/ χρηματοδότησης, υλοποίηση/πιστοποίηση, ολοκλήρωση) δεδομένου ότι οι πιθανές αποκλίσεις είναι δυνατό να δημιουργήσουν απρόβλεπτη διαχειριστική επιβάρυνση στους ΕΦΔ (πχ. η παρέλευση σημαντικού χρονικού διαστήματος από τη λήξη της ημερομηνίας υποβολής των προτάσεων έργων μέχρι την έκδοση των αντίστοιχων αποφάσεων χρηματοδότησης δημιουργεί προϋποθέσεις υποβολής αιτημάτων τροποποίησης ήδη με την έναρξη των έργων).</w:t>
      </w:r>
    </w:p>
    <w:p w:rsidR="007E78E2" w:rsidRPr="000B53F8" w:rsidRDefault="007E78E2" w:rsidP="007E78E2">
      <w:pPr>
        <w:pStyle w:val="ListParagraph"/>
        <w:numPr>
          <w:ilvl w:val="0"/>
          <w:numId w:val="46"/>
        </w:numPr>
        <w:ind w:left="187" w:hanging="187"/>
        <w:contextualSpacing/>
        <w:rPr>
          <w:rFonts w:cstheme="minorHAnsi"/>
          <w:i/>
          <w:iCs/>
          <w:szCs w:val="18"/>
          <w:u w:val="single"/>
        </w:rPr>
      </w:pPr>
      <w:r w:rsidRPr="000B53F8">
        <w:rPr>
          <w:rFonts w:cstheme="minorHAnsi"/>
          <w:i/>
          <w:iCs/>
          <w:szCs w:val="18"/>
          <w:u w:val="single"/>
        </w:rPr>
        <w:t>Τεχνικά-Επιχειρησιακά Θέματα</w:t>
      </w:r>
    </w:p>
    <w:p w:rsidR="007E78E2" w:rsidRPr="00DF6929" w:rsidRDefault="007E78E2" w:rsidP="007E78E2">
      <w:pPr>
        <w:pStyle w:val="ListParagraph"/>
        <w:numPr>
          <w:ilvl w:val="0"/>
          <w:numId w:val="17"/>
        </w:numPr>
        <w:rPr>
          <w:rFonts w:cstheme="minorHAnsi"/>
          <w:szCs w:val="18"/>
        </w:rPr>
      </w:pPr>
      <w:r w:rsidRPr="00DF6929">
        <w:rPr>
          <w:rFonts w:cstheme="minorHAnsi"/>
          <w:szCs w:val="18"/>
        </w:rPr>
        <w:t xml:space="preserve">Η αξιοποίηση του ΠΣΚΕ ως εργαλείου παρακολούθησης του κύκλου ζωής της Δράσης. Σύμφωνα με το αρ. 57 του Ν.4314/14 </w:t>
      </w:r>
      <w:r w:rsidRPr="006E795F">
        <w:rPr>
          <w:rFonts w:cstheme="minorHAnsi"/>
          <w:i/>
          <w:iCs/>
          <w:szCs w:val="18"/>
        </w:rPr>
        <w:t>«η χρήση του ΠΣΚΕ είναι υποχρεωτική για το σύνολο των φορέων που υλοποιούν μέτρα ενίσχυσης και στήριξης της επιχειρηματικότητας που συγχρηματοδοτούνται από τα ΕΔΕΤ».</w:t>
      </w:r>
      <w:r w:rsidRPr="00DF6929">
        <w:rPr>
          <w:rFonts w:cstheme="minorHAnsi"/>
          <w:szCs w:val="18"/>
        </w:rPr>
        <w:t xml:space="preserve"> Υπενθυμίζεται ότι το ΠΣΚΕ περιλαμβάνει το σύνολο των διαδικασιών του κύκλου ζωής της δράσης. Στο πλαίσιο αυτό, η συνεργασία των δύο ΕΦΔ με την αρμόδια υπηρεσία παραγωγικής λειτουργίας του ΠΣΚΕ (ΕΥΚΕ σε συνεργασία με τη ΜΟΔ ΑΕ) για την «εισαγωγή» των δράσεων στο ΠΣΚΕ είναι κρίσιμη, προκειμένου να σχεδιασθούν έγκαιρα και </w:t>
      </w:r>
      <w:r>
        <w:rPr>
          <w:rFonts w:cstheme="minorHAnsi"/>
          <w:szCs w:val="18"/>
        </w:rPr>
        <w:t xml:space="preserve">να </w:t>
      </w:r>
      <w:r w:rsidRPr="00DF6929">
        <w:rPr>
          <w:rFonts w:cstheme="minorHAnsi"/>
          <w:szCs w:val="18"/>
        </w:rPr>
        <w:t>εισαχθούν στο ΠΣΚΕ όλες οι λειτουργικές ενότητες που απαιτούνται για την παρακολούθηση των διαδοχικών σταδίων του «κύκλου ζωής» της δράσης και για τη διεπαφή με το ΟΠΣ ΕΣΠΑ.</w:t>
      </w:r>
    </w:p>
    <w:p w:rsidR="007E78E2" w:rsidRPr="00DF6929" w:rsidRDefault="007E78E2" w:rsidP="007E78E2">
      <w:pPr>
        <w:pStyle w:val="ListParagraph"/>
        <w:numPr>
          <w:ilvl w:val="0"/>
          <w:numId w:val="17"/>
        </w:numPr>
        <w:contextualSpacing/>
        <w:rPr>
          <w:rFonts w:cstheme="minorHAnsi"/>
          <w:szCs w:val="18"/>
          <w:u w:val="single"/>
        </w:rPr>
      </w:pPr>
      <w:r w:rsidRPr="00DF6929">
        <w:rPr>
          <w:rFonts w:cstheme="minorHAnsi"/>
          <w:szCs w:val="18"/>
        </w:rPr>
        <w:t>Η αξιολόγηση των προτάσεων (αιτημάτων χρηματοδότησης) απαιτεί την αξιοποίηση ενός σημαντικού αριθμού εμπειρογνωμόνων με ειδικές γνώσεις και εμπειρία στις θεματικές προτεραιότητες που θέτει η εκάστοτε Πρόσκληση. Συνεπώς, ο ΕΦΔ θα πρέπει έγκαιρα να μεριμνήσει για την οργάνωση (περιλαμβανομένης της αξιολόγησης των αιτήσεων εισαγωγής) του Μητρώου Αξιολογητών.</w:t>
      </w:r>
    </w:p>
    <w:p w:rsidR="007E78E2" w:rsidRPr="000B53F8" w:rsidRDefault="007E78E2" w:rsidP="007E78E2">
      <w:pPr>
        <w:pStyle w:val="ListParagraph"/>
        <w:numPr>
          <w:ilvl w:val="0"/>
          <w:numId w:val="46"/>
        </w:numPr>
        <w:ind w:left="180" w:hanging="180"/>
        <w:contextualSpacing/>
        <w:rPr>
          <w:rFonts w:cstheme="minorHAnsi"/>
          <w:i/>
          <w:iCs/>
          <w:szCs w:val="18"/>
          <w:u w:val="single"/>
        </w:rPr>
      </w:pPr>
      <w:r>
        <w:rPr>
          <w:rFonts w:cstheme="minorHAnsi"/>
          <w:i/>
          <w:iCs/>
          <w:szCs w:val="18"/>
          <w:u w:val="single"/>
        </w:rPr>
        <w:t>Π</w:t>
      </w:r>
      <w:r w:rsidRPr="000B53F8">
        <w:rPr>
          <w:rFonts w:cstheme="minorHAnsi"/>
          <w:i/>
          <w:iCs/>
          <w:szCs w:val="18"/>
          <w:u w:val="single"/>
        </w:rPr>
        <w:t>αρακολούθηση</w:t>
      </w:r>
    </w:p>
    <w:p w:rsidR="007E78E2" w:rsidRPr="00DF6929" w:rsidRDefault="007E78E2" w:rsidP="007E78E2">
      <w:pPr>
        <w:rPr>
          <w:rFonts w:cstheme="minorHAnsi"/>
          <w:szCs w:val="18"/>
          <w:u w:val="single"/>
        </w:rPr>
      </w:pPr>
      <w:r w:rsidRPr="00DF6929">
        <w:rPr>
          <w:rFonts w:cstheme="minorHAnsi"/>
          <w:szCs w:val="18"/>
        </w:rPr>
        <w:t xml:space="preserve">Σημαντική πρόκληση για τη στρατηγική έξυπνης εξειδίκευσης αποτελεί επίσης και ο μηχανισμός παρακολούθησης που θα καθοδηγεί  την προσαρμογή και την εφαρμογή διορθωτικών κινήσεων τόσο σε επίπεδο στόχων, όσο και σε επίπεδο διαδικασίας για την ανάπτυξη και εκτέλεση της RIS3. Στην προσέγγιση που ακολουθείται για την «Παρακολούθηση της προόδου υλοποίησης της Εθνικής RIS3 2014-2020», προβλέπεται η </w:t>
      </w:r>
      <w:r w:rsidRPr="00DF6929">
        <w:rPr>
          <w:rFonts w:cstheme="minorHAnsi"/>
          <w:b/>
          <w:szCs w:val="18"/>
        </w:rPr>
        <w:t>διαμόρφωση ενός συστήματος δεικτών</w:t>
      </w:r>
      <w:r w:rsidRPr="00DF6929">
        <w:rPr>
          <w:rFonts w:cstheme="minorHAnsi"/>
          <w:szCs w:val="18"/>
        </w:rPr>
        <w:t xml:space="preserve"> που θα λαμβάνει υπόψη του αφενός το θεωρητικό υπόβαθρο για την παρακολούθηση της RIS3 και αφετέρου τις υπηρεσιακές δεσμεύσεις και υποχρεώσεις της ΓΓΕΤ. Οι Δείκτες που προβλέπονται από την RIS3 και το «Ενιαίο Σύστημα Δεικτών Παρακολούθησης του ΕΣΠΑ 2014-2020» είναι η αναγκαία και βασική πηγή για τη διαμόρφωση του Συστήματος Παρακολούθησης. Οι Δείκτες αυτοί αφορούν στο ΕΣΠΑ, όπου από την πρόοδο της υλοποίησης των έργων και των δράσεων των Επιχειρησιακών Προγραμμάτων συνάγεται η πρόοδος της RIS3. Επιπρόσθετα, θα εξεταστούν οι Δείκτες που προβλέπει το </w:t>
      </w:r>
      <w:r w:rsidRPr="00AC1838">
        <w:rPr>
          <w:rFonts w:cstheme="minorHAnsi"/>
          <w:szCs w:val="18"/>
          <w:lang w:val="en-GB"/>
        </w:rPr>
        <w:t>Research</w:t>
      </w:r>
      <w:r w:rsidRPr="00643698">
        <w:rPr>
          <w:rFonts w:cstheme="minorHAnsi"/>
          <w:szCs w:val="18"/>
        </w:rPr>
        <w:t xml:space="preserve"> </w:t>
      </w:r>
      <w:r w:rsidRPr="00AC1838">
        <w:rPr>
          <w:rFonts w:cstheme="minorHAnsi"/>
          <w:szCs w:val="18"/>
          <w:lang w:val="en-GB"/>
        </w:rPr>
        <w:t>Innovation</w:t>
      </w:r>
      <w:r w:rsidRPr="00643698">
        <w:rPr>
          <w:rFonts w:cstheme="minorHAnsi"/>
          <w:szCs w:val="18"/>
        </w:rPr>
        <w:t xml:space="preserve"> </w:t>
      </w:r>
      <w:r w:rsidRPr="00AC1838">
        <w:rPr>
          <w:rFonts w:cstheme="minorHAnsi"/>
          <w:szCs w:val="18"/>
          <w:lang w:val="en-GB"/>
        </w:rPr>
        <w:t>Observatory</w:t>
      </w:r>
      <w:r w:rsidRPr="00DF6929">
        <w:rPr>
          <w:rFonts w:cstheme="minorHAnsi"/>
          <w:szCs w:val="18"/>
        </w:rPr>
        <w:t xml:space="preserve"> οι οποίοι διαμορφώνουν την εικόνα της καινοτομίας στη χώρα.</w:t>
      </w:r>
    </w:p>
    <w:p w:rsidR="007E78E2" w:rsidRPr="000B53F8" w:rsidRDefault="007E78E2" w:rsidP="007E78E2">
      <w:pPr>
        <w:pStyle w:val="ListParagraph"/>
        <w:numPr>
          <w:ilvl w:val="0"/>
          <w:numId w:val="46"/>
        </w:numPr>
        <w:ind w:left="180" w:hanging="180"/>
        <w:contextualSpacing/>
        <w:rPr>
          <w:rFonts w:cstheme="minorHAnsi"/>
          <w:i/>
          <w:iCs/>
          <w:szCs w:val="18"/>
          <w:u w:val="single"/>
        </w:rPr>
      </w:pPr>
      <w:r w:rsidRPr="000B53F8">
        <w:rPr>
          <w:rFonts w:cstheme="minorHAnsi"/>
          <w:i/>
          <w:iCs/>
          <w:szCs w:val="18"/>
          <w:u w:val="single"/>
        </w:rPr>
        <w:t xml:space="preserve">Τομείς προτεραιότητας της </w:t>
      </w:r>
      <w:r w:rsidRPr="00D84FC4">
        <w:rPr>
          <w:rFonts w:cstheme="minorHAnsi"/>
          <w:i/>
          <w:iCs/>
          <w:szCs w:val="18"/>
          <w:u w:val="single"/>
        </w:rPr>
        <w:t>RIS</w:t>
      </w:r>
      <w:r w:rsidRPr="000B53F8">
        <w:rPr>
          <w:rFonts w:cstheme="minorHAnsi"/>
          <w:i/>
          <w:iCs/>
          <w:szCs w:val="18"/>
          <w:u w:val="single"/>
        </w:rPr>
        <w:t>3</w:t>
      </w:r>
    </w:p>
    <w:p w:rsidR="007E78E2" w:rsidRPr="00DF6929" w:rsidRDefault="007E78E2" w:rsidP="007E78E2">
      <w:pPr>
        <w:rPr>
          <w:rFonts w:cstheme="minorHAnsi"/>
          <w:szCs w:val="18"/>
        </w:rPr>
      </w:pPr>
      <w:r w:rsidRPr="00DF6929">
        <w:rPr>
          <w:rFonts w:cstheme="minorHAnsi"/>
          <w:szCs w:val="18"/>
        </w:rPr>
        <w:t>Η Στρατηγική έξυπνης εξειδίκευσης απαιτεί επιλογές σχετικές με τους οικονομικούς τομείς, τις τεχνολογίες και τα πεδία έρευνας στα οποία θα δοθεί προτεραιότητα. Αυτές οι επιλογές περιλαμβάνουν τον κίνδυνο να αποκλεισθούν ή να αγνοηθούν οικονομικοί τομείς ή τεχνολογίες με δυναμικό ανάπτυξης και επιχειρηματικό ενδιαφέρον για την περιφέρεια ή τη χώρα.</w:t>
      </w:r>
    </w:p>
    <w:p w:rsidR="007E78E2" w:rsidRPr="00DF6929" w:rsidRDefault="007E78E2" w:rsidP="007E78E2">
      <w:pPr>
        <w:rPr>
          <w:rFonts w:cstheme="minorHAnsi"/>
          <w:szCs w:val="18"/>
        </w:rPr>
      </w:pPr>
      <w:r w:rsidRPr="00DF6929">
        <w:rPr>
          <w:rFonts w:cstheme="minorHAnsi"/>
          <w:szCs w:val="18"/>
        </w:rPr>
        <w:t xml:space="preserve">Αυτό το ρίσκο που υπάρχει στην επιλογή των στόχων της RIS3 συνδέεται άμεσα με τις παρακάτω βασικές προκλήσεις που αντιμετωπίζει η Εθνική RIS3: </w:t>
      </w:r>
    </w:p>
    <w:p w:rsidR="007E78E2" w:rsidRPr="00DF6929" w:rsidRDefault="007E78E2" w:rsidP="007E78E2">
      <w:pPr>
        <w:pStyle w:val="ListParagraph"/>
        <w:numPr>
          <w:ilvl w:val="0"/>
          <w:numId w:val="31"/>
        </w:numPr>
        <w:rPr>
          <w:rFonts w:cstheme="minorHAnsi"/>
          <w:szCs w:val="18"/>
        </w:rPr>
      </w:pPr>
      <w:r w:rsidRPr="00DF6929">
        <w:rPr>
          <w:rFonts w:cstheme="minorHAnsi"/>
          <w:szCs w:val="18"/>
        </w:rPr>
        <w:lastRenderedPageBreak/>
        <w:t>Η Επιχειρηματική ανακάλυψη παραμένει ακρογωνιαίος λίθος της RIS</w:t>
      </w:r>
      <w:r>
        <w:rPr>
          <w:rFonts w:cstheme="minorHAnsi"/>
          <w:szCs w:val="18"/>
        </w:rPr>
        <w:t>3</w:t>
      </w:r>
      <w:r w:rsidRPr="00DF6929">
        <w:rPr>
          <w:rFonts w:cstheme="minorHAnsi"/>
          <w:szCs w:val="18"/>
        </w:rPr>
        <w:t>. Η διάχυση των αποτελεσμάτων και η δημιουργία δραστηριότητας που μιμείται ή επαναλαμβάνει επιτυχημένα παραδείγματα στη χώρα, αποτελούν καθοριστικούς παράγοντες για την επιτυχία της στρατηγικής της έξυπνης εξειδίκευσης. Στις περισσότερες περιπτώσεις, οι αλλαγές που αναμένεται να επιφέρει η στρατηγική της έξυπνης εξειδίκευσης μπορεί να έχουν δομικό χαρακτήρα, οπότε, χρειάζεται να υπάρχει η σχετική ευελιξία. Σημαντική καθίσταται και η αποτελεσματική συμμετοχή των επιχειρήσεων στη διαδικασία της επιχειρηματικής ανακάλυψης.</w:t>
      </w:r>
    </w:p>
    <w:p w:rsidR="007E78E2" w:rsidRPr="00DF6929" w:rsidRDefault="007E78E2" w:rsidP="007E78E2">
      <w:pPr>
        <w:pStyle w:val="ListParagraph"/>
        <w:numPr>
          <w:ilvl w:val="0"/>
          <w:numId w:val="31"/>
        </w:numPr>
        <w:rPr>
          <w:rFonts w:cstheme="minorHAnsi"/>
          <w:szCs w:val="18"/>
        </w:rPr>
      </w:pPr>
      <w:r w:rsidRPr="00DF6929">
        <w:rPr>
          <w:rFonts w:cstheme="minorHAnsi"/>
          <w:szCs w:val="18"/>
        </w:rPr>
        <w:t xml:space="preserve">Επειδή οι αλλαγές στο περιβάλλον συμβαίνουν συνεχώς, η στρατηγική </w:t>
      </w:r>
      <w:r>
        <w:rPr>
          <w:rFonts w:cstheme="minorHAnsi"/>
          <w:szCs w:val="18"/>
        </w:rPr>
        <w:t xml:space="preserve">θα πρέπει να </w:t>
      </w:r>
      <w:r w:rsidRPr="00DF6929">
        <w:rPr>
          <w:rFonts w:cstheme="minorHAnsi"/>
          <w:szCs w:val="18"/>
        </w:rPr>
        <w:t>είναι ευέλικτη και να προσαρμόζει τους στόχους της συνεχώς.</w:t>
      </w:r>
    </w:p>
    <w:p w:rsidR="007E78E2" w:rsidRPr="00DF6929" w:rsidRDefault="007E78E2" w:rsidP="007E78E2">
      <w:pPr>
        <w:pStyle w:val="ListParagraph"/>
        <w:numPr>
          <w:ilvl w:val="0"/>
          <w:numId w:val="31"/>
        </w:numPr>
        <w:rPr>
          <w:rFonts w:cstheme="minorHAnsi"/>
          <w:szCs w:val="18"/>
        </w:rPr>
      </w:pPr>
      <w:r w:rsidRPr="00DF6929">
        <w:rPr>
          <w:rFonts w:cstheme="minorHAnsi"/>
          <w:szCs w:val="18"/>
        </w:rPr>
        <w:t xml:space="preserve">Η RIS3 εμπεριέχει στοιχεία πειραματισμού και δεν είναι δυνατόν να προκαθορισθεί εκ των προτέρων η επιτυχία ή η αποτυχία του σχεδιασμού της. </w:t>
      </w:r>
    </w:p>
    <w:p w:rsidR="007E78E2" w:rsidRPr="000B53F8" w:rsidRDefault="007E78E2" w:rsidP="007E78E2">
      <w:pPr>
        <w:pStyle w:val="ListParagraph"/>
        <w:numPr>
          <w:ilvl w:val="0"/>
          <w:numId w:val="46"/>
        </w:numPr>
        <w:ind w:left="180" w:hanging="180"/>
        <w:contextualSpacing/>
        <w:rPr>
          <w:rFonts w:cstheme="minorHAnsi"/>
          <w:i/>
          <w:iCs/>
          <w:szCs w:val="18"/>
          <w:u w:val="single"/>
        </w:rPr>
      </w:pPr>
      <w:r>
        <w:rPr>
          <w:rFonts w:cstheme="minorHAnsi"/>
          <w:i/>
          <w:iCs/>
          <w:szCs w:val="18"/>
          <w:u w:val="single"/>
        </w:rPr>
        <w:t>Σ</w:t>
      </w:r>
      <w:r w:rsidRPr="000B53F8">
        <w:rPr>
          <w:rFonts w:cstheme="minorHAnsi"/>
          <w:i/>
          <w:iCs/>
          <w:szCs w:val="18"/>
          <w:u w:val="single"/>
        </w:rPr>
        <w:t>ύνδεση και συνεργασία</w:t>
      </w:r>
    </w:p>
    <w:p w:rsidR="007E78E2" w:rsidRPr="00DF6929" w:rsidRDefault="007E78E2" w:rsidP="007E78E2">
      <w:pPr>
        <w:pStyle w:val="ListParagraph"/>
        <w:numPr>
          <w:ilvl w:val="0"/>
          <w:numId w:val="31"/>
        </w:numPr>
        <w:rPr>
          <w:rFonts w:cstheme="minorHAnsi"/>
          <w:szCs w:val="18"/>
        </w:rPr>
      </w:pPr>
      <w:r w:rsidRPr="00DF6929">
        <w:rPr>
          <w:rFonts w:cstheme="minorHAnsi"/>
          <w:szCs w:val="18"/>
        </w:rPr>
        <w:t xml:space="preserve">Σημαντικό ρόλο στη διασφάλιση της ορθής  υλοποίησης της RIS3 πρέπει να διαδραματίσουν οι ερευνητικοί φορείς (ΑΕΙ και Ερευνητικά Κέντρα), καθώς αποτελούν το δυναμικό τμήμα του εθνικού συστήματος καινοτομίας, που μπορεί να εξασφαλίσει τη σύνδεση με τις επιστημονικές και τεχνολογικές εξελίξεις και την ευρεία τεχνολογική βάση που είναι απαραίτητη. Μέριμνα της στρατηγικής είναι να μην εγκλωβίσει το φάσμα της δραστηριότητας των ερευνητικών φορέων μέσα από την τομεακή εξειδίκευση, αλλά να εξασφαλίσει την κινητοποίησή τους ώστε οι τομεακές προτεραιότητες «να συνδυασθούν με την ΕTAK για την προώθηση της ανάπτυξης και/ή το μετασχηματισμό της οικονομίας», αυξάνοντας τις συνέργειες μεταξύ δημόσιων και ιδιωτικών επενδύσεων. Οι ερευνητικοί φορείς αποτελούν κινητήρια δύναμη της RIS3, ιδίως σε ό,τι αφορά στον κεντρικό στόχο της παραγωγικής ανασυγκρότησης και του μετασχηματισμού του αναπτυξιακού μοντέλου. </w:t>
      </w:r>
    </w:p>
    <w:p w:rsidR="007E78E2" w:rsidRPr="00DF6929" w:rsidRDefault="007E78E2" w:rsidP="007E78E2">
      <w:pPr>
        <w:pStyle w:val="ListParagraph"/>
        <w:numPr>
          <w:ilvl w:val="0"/>
          <w:numId w:val="31"/>
        </w:numPr>
        <w:rPr>
          <w:rFonts w:cstheme="minorHAnsi"/>
          <w:szCs w:val="18"/>
        </w:rPr>
      </w:pPr>
      <w:r w:rsidRPr="00DF6929">
        <w:rPr>
          <w:rFonts w:cstheme="minorHAnsi"/>
          <w:szCs w:val="18"/>
        </w:rPr>
        <w:t>Κίνητρα και (πολιτική) συνειδητοποίηση για συμμετοχή στη RIS3. Για πολλές επιχειρήσεις η RIS3 δεν έχει καμία σχέση με αυτές</w:t>
      </w:r>
      <w:r>
        <w:rPr>
          <w:rFonts w:cstheme="minorHAnsi"/>
          <w:szCs w:val="18"/>
        </w:rPr>
        <w:t xml:space="preserve"> και </w:t>
      </w:r>
      <w:r w:rsidRPr="00DF6929">
        <w:rPr>
          <w:rFonts w:cstheme="minorHAnsi"/>
          <w:szCs w:val="18"/>
        </w:rPr>
        <w:t>αυτή η παρεξήγηση προέρχεται από την περίοδο επεξεργασίας και σχεδιασμού της RIS3, όταν πολλές (μεγάλες) επιχειρήσεις προσεγγίστηκαν είτε για διαβούλευση ή από τα Ερευνητικά ιδρύματα για συνεργασία.</w:t>
      </w:r>
    </w:p>
    <w:p w:rsidR="007E78E2" w:rsidRPr="000B53F8" w:rsidRDefault="007E78E2" w:rsidP="007E78E2">
      <w:pPr>
        <w:pStyle w:val="ListParagraph"/>
        <w:numPr>
          <w:ilvl w:val="0"/>
          <w:numId w:val="46"/>
        </w:numPr>
        <w:ind w:left="180" w:hanging="180"/>
        <w:contextualSpacing/>
        <w:rPr>
          <w:rFonts w:cstheme="minorHAnsi"/>
          <w:i/>
          <w:iCs/>
          <w:szCs w:val="18"/>
          <w:u w:val="single"/>
        </w:rPr>
      </w:pPr>
      <w:r>
        <w:rPr>
          <w:rFonts w:cstheme="minorHAnsi"/>
          <w:i/>
          <w:iCs/>
          <w:szCs w:val="18"/>
          <w:u w:val="single"/>
        </w:rPr>
        <w:t>Α</w:t>
      </w:r>
      <w:r w:rsidRPr="000B53F8">
        <w:rPr>
          <w:rFonts w:cstheme="minorHAnsi"/>
          <w:i/>
          <w:iCs/>
          <w:szCs w:val="18"/>
          <w:u w:val="single"/>
        </w:rPr>
        <w:t>ποτελεσματικότητας εφαρμογής</w:t>
      </w:r>
    </w:p>
    <w:p w:rsidR="007E78E2" w:rsidRPr="00DF6929" w:rsidRDefault="007E78E2" w:rsidP="007E78E2">
      <w:pPr>
        <w:rPr>
          <w:rFonts w:cstheme="minorHAnsi"/>
          <w:szCs w:val="18"/>
        </w:rPr>
      </w:pPr>
      <w:r w:rsidRPr="00DF6929">
        <w:rPr>
          <w:rFonts w:cstheme="minorHAnsi"/>
          <w:szCs w:val="18"/>
        </w:rPr>
        <w:t xml:space="preserve">Οι προκλήσεις αυτές συνοψίζονται ως εξής: </w:t>
      </w:r>
    </w:p>
    <w:p w:rsidR="007E78E2" w:rsidRPr="00DF6929" w:rsidRDefault="007E78E2" w:rsidP="007E78E2">
      <w:pPr>
        <w:pStyle w:val="ListParagraph"/>
        <w:numPr>
          <w:ilvl w:val="0"/>
          <w:numId w:val="44"/>
        </w:numPr>
        <w:contextualSpacing/>
        <w:rPr>
          <w:rFonts w:cstheme="minorHAnsi"/>
          <w:szCs w:val="18"/>
        </w:rPr>
      </w:pPr>
      <w:r>
        <w:rPr>
          <w:rFonts w:cstheme="minorHAnsi"/>
          <w:szCs w:val="18"/>
        </w:rPr>
        <w:t xml:space="preserve">Υπάρχει </w:t>
      </w:r>
      <w:r w:rsidRPr="00DF6929">
        <w:rPr>
          <w:rFonts w:cstheme="minorHAnsi"/>
          <w:szCs w:val="18"/>
        </w:rPr>
        <w:t>αναντιστοιχία μεταξύ των παραγωγικών φορέων και της RIS3 &amp; ΕΤΑΚ</w:t>
      </w:r>
      <w:r>
        <w:rPr>
          <w:rFonts w:cstheme="minorHAnsi"/>
          <w:szCs w:val="18"/>
        </w:rPr>
        <w:t>, γεγονός το οποίο ο</w:t>
      </w:r>
      <w:r w:rsidRPr="00DF6929">
        <w:rPr>
          <w:rFonts w:cstheme="minorHAnsi"/>
          <w:szCs w:val="18"/>
        </w:rPr>
        <w:t>φείλεται σε ιστορικές αδυναμίες σύνδεσης της παραγωγικής βάσης με τους ερευνητικούς  φορείς</w:t>
      </w:r>
      <w:r>
        <w:rPr>
          <w:rFonts w:cstheme="minorHAnsi"/>
          <w:szCs w:val="18"/>
        </w:rPr>
        <w:t>,</w:t>
      </w:r>
      <w:r w:rsidRPr="00DF6929">
        <w:rPr>
          <w:rFonts w:cstheme="minorHAnsi"/>
          <w:szCs w:val="18"/>
        </w:rPr>
        <w:t xml:space="preserve"> καθώς και στις πολιτικές παρεμβάσεις που επιδιώκουν τη συνοχή μεταξύ των ερευνητικών και των παραγωγικών φορέων (δηλαδή δύο από τους παράγοντες της τριπλής έλικας)</w:t>
      </w:r>
      <w:r>
        <w:rPr>
          <w:rFonts w:cstheme="minorHAnsi"/>
          <w:szCs w:val="18"/>
        </w:rPr>
        <w:t>.</w:t>
      </w:r>
    </w:p>
    <w:p w:rsidR="007E78E2" w:rsidRPr="00AD3BC7" w:rsidRDefault="007E78E2" w:rsidP="007E78E2">
      <w:pPr>
        <w:pStyle w:val="ListParagraph"/>
        <w:numPr>
          <w:ilvl w:val="0"/>
          <w:numId w:val="44"/>
        </w:numPr>
        <w:contextualSpacing/>
        <w:rPr>
          <w:rFonts w:cstheme="minorHAnsi"/>
          <w:szCs w:val="18"/>
        </w:rPr>
      </w:pPr>
      <w:r w:rsidRPr="00AD3BC7">
        <w:rPr>
          <w:rFonts w:cstheme="minorHAnsi"/>
          <w:szCs w:val="18"/>
        </w:rPr>
        <w:t xml:space="preserve">Υπάρχει απόσταση </w:t>
      </w:r>
      <w:r>
        <w:rPr>
          <w:rFonts w:cstheme="minorHAnsi"/>
          <w:szCs w:val="18"/>
        </w:rPr>
        <w:t>α</w:t>
      </w:r>
      <w:r w:rsidRPr="00AD3BC7">
        <w:rPr>
          <w:rFonts w:cstheme="minorHAnsi"/>
          <w:szCs w:val="18"/>
        </w:rPr>
        <w:t>πό την καλύτερη αξιοποίηση της ερευνητικής αριστείας ως πορείας για περαιτέρω εξειδίκευση</w:t>
      </w:r>
      <w:r>
        <w:rPr>
          <w:rFonts w:cstheme="minorHAnsi"/>
          <w:szCs w:val="18"/>
        </w:rPr>
        <w:t>.</w:t>
      </w:r>
    </w:p>
    <w:p w:rsidR="007E78E2" w:rsidRPr="00DF6929" w:rsidRDefault="007E78E2" w:rsidP="007E78E2">
      <w:pPr>
        <w:pStyle w:val="ListParagraph"/>
        <w:numPr>
          <w:ilvl w:val="0"/>
          <w:numId w:val="44"/>
        </w:numPr>
        <w:contextualSpacing/>
        <w:rPr>
          <w:rFonts w:cstheme="minorHAnsi"/>
          <w:szCs w:val="18"/>
        </w:rPr>
      </w:pPr>
      <w:r>
        <w:rPr>
          <w:rFonts w:cstheme="minorHAnsi"/>
          <w:szCs w:val="18"/>
        </w:rPr>
        <w:t xml:space="preserve">Οι πόροι που κατευθύνονται στις δράσεις της </w:t>
      </w:r>
      <w:r w:rsidRPr="00DF6929">
        <w:rPr>
          <w:rFonts w:cstheme="minorHAnsi"/>
          <w:szCs w:val="18"/>
        </w:rPr>
        <w:t>RIS3</w:t>
      </w:r>
      <w:r>
        <w:rPr>
          <w:rFonts w:cstheme="minorHAnsi"/>
          <w:szCs w:val="18"/>
        </w:rPr>
        <w:t xml:space="preserve"> είναι </w:t>
      </w:r>
      <w:r w:rsidRPr="00DF6929">
        <w:rPr>
          <w:rFonts w:cstheme="minorHAnsi"/>
          <w:szCs w:val="18"/>
        </w:rPr>
        <w:t>περιορισμένοι πόροι</w:t>
      </w:r>
      <w:r>
        <w:rPr>
          <w:rFonts w:cstheme="minorHAnsi"/>
          <w:szCs w:val="18"/>
        </w:rPr>
        <w:t>.</w:t>
      </w:r>
    </w:p>
    <w:p w:rsidR="007E78E2" w:rsidRPr="00DF6929" w:rsidRDefault="007E78E2" w:rsidP="007E78E2">
      <w:pPr>
        <w:rPr>
          <w:rFonts w:cstheme="minorHAnsi"/>
          <w:szCs w:val="18"/>
        </w:rPr>
      </w:pPr>
      <w:r w:rsidRPr="00DF6929">
        <w:rPr>
          <w:rFonts w:cstheme="minorHAnsi"/>
          <w:szCs w:val="18"/>
        </w:rPr>
        <w:t>Τα δύο πρώτα θέματα είναι πολύ πιο έντονα στις λιγότερο προηγμένες και απομακρυσμένες περιφέρειες της Ελλάδας ενώ το τρίτο είναι πιο συναφές με τις περιοχές καινοτομίας, οι οποίες διαθέτουν πολύ λιγότερα διαρθρωτικά κεφάλαια από τις λιγότερο προηγμένες περιφέρειες.</w:t>
      </w:r>
    </w:p>
    <w:p w:rsidR="007E78E2" w:rsidRDefault="007E78E2" w:rsidP="007E78E2">
      <w:pPr>
        <w:spacing w:before="0" w:after="160" w:line="259" w:lineRule="auto"/>
        <w:jc w:val="left"/>
        <w:rPr>
          <w:rFonts w:cstheme="minorHAnsi"/>
          <w:b/>
          <w:bCs/>
          <w:szCs w:val="18"/>
        </w:rPr>
      </w:pPr>
    </w:p>
    <w:p w:rsidR="007E78E2" w:rsidRDefault="007E78E2" w:rsidP="007E78E2">
      <w:pPr>
        <w:rPr>
          <w:rFonts w:cstheme="minorHAnsi"/>
          <w:b/>
          <w:bCs/>
          <w:szCs w:val="18"/>
        </w:rPr>
      </w:pPr>
      <w:r w:rsidRPr="000B53F8">
        <w:rPr>
          <w:rFonts w:cstheme="minorHAnsi"/>
          <w:b/>
          <w:bCs/>
          <w:szCs w:val="18"/>
        </w:rPr>
        <w:t>Τρόποι</w:t>
      </w:r>
      <w:r>
        <w:rPr>
          <w:rFonts w:cstheme="minorHAnsi"/>
          <w:b/>
          <w:bCs/>
          <w:szCs w:val="18"/>
        </w:rPr>
        <w:t xml:space="preserve"> </w:t>
      </w:r>
      <w:r w:rsidRPr="000B53F8">
        <w:rPr>
          <w:rFonts w:cstheme="minorHAnsi"/>
          <w:b/>
          <w:bCs/>
          <w:szCs w:val="18"/>
        </w:rPr>
        <w:t>Αντιμετώπισης</w:t>
      </w:r>
      <w:r w:rsidRPr="00D84FC4">
        <w:rPr>
          <w:rFonts w:cstheme="minorHAnsi"/>
          <w:b/>
          <w:bCs/>
          <w:szCs w:val="18"/>
        </w:rPr>
        <w:t xml:space="preserve"> </w:t>
      </w:r>
      <w:r>
        <w:rPr>
          <w:rFonts w:cstheme="minorHAnsi"/>
          <w:b/>
          <w:bCs/>
          <w:szCs w:val="18"/>
        </w:rPr>
        <w:t>– Προτάσεις</w:t>
      </w:r>
    </w:p>
    <w:p w:rsidR="007E78E2" w:rsidRPr="00643698" w:rsidRDefault="007E78E2" w:rsidP="007E78E2">
      <w:pPr>
        <w:rPr>
          <w:rFonts w:cstheme="minorHAnsi"/>
          <w:szCs w:val="18"/>
        </w:rPr>
      </w:pPr>
      <w:bookmarkStart w:id="81" w:name="_Hlk22641405"/>
      <w:r w:rsidRPr="00643698">
        <w:rPr>
          <w:rFonts w:cstheme="minorHAnsi"/>
          <w:szCs w:val="18"/>
        </w:rPr>
        <w:t xml:space="preserve">Λαμβάνοντας υπόψη τις ειδικές προκλήσεις όπως </w:t>
      </w:r>
      <w:r>
        <w:rPr>
          <w:rFonts w:cstheme="minorHAnsi"/>
          <w:szCs w:val="18"/>
        </w:rPr>
        <w:t xml:space="preserve">αυτές έχουν καταγραφεί ανωτέρω, παρατίθενται στη συνέχεια τρόποι αντιμετώπισής τους, καθώς και προτάσεις οι οποίες μπορούν να συμβάλλουν τόσο στην επιτάχυνση της υλοποίησης  της στρατηγικής </w:t>
      </w:r>
      <w:r>
        <w:rPr>
          <w:rFonts w:cstheme="minorHAnsi"/>
          <w:szCs w:val="18"/>
          <w:lang w:val="en-US"/>
        </w:rPr>
        <w:t>RIS</w:t>
      </w:r>
      <w:r w:rsidRPr="00D84FC4">
        <w:rPr>
          <w:rFonts w:cstheme="minorHAnsi"/>
          <w:szCs w:val="18"/>
        </w:rPr>
        <w:t>3</w:t>
      </w:r>
      <w:r>
        <w:rPr>
          <w:rFonts w:cstheme="minorHAnsi"/>
          <w:szCs w:val="18"/>
        </w:rPr>
        <w:t xml:space="preserve">, όσο και στη διαδικασία αναθεώρησης της εν λόγω στρατηγικής, η οποία προβλέπεται το 2019.  </w:t>
      </w:r>
    </w:p>
    <w:bookmarkEnd w:id="81"/>
    <w:p w:rsidR="007E78E2" w:rsidRPr="007E78E2" w:rsidRDefault="007E78E2" w:rsidP="007E78E2">
      <w:pPr>
        <w:rPr>
          <w:rFonts w:cstheme="minorHAnsi"/>
          <w:bCs/>
          <w:szCs w:val="18"/>
          <w:u w:val="single"/>
        </w:rPr>
      </w:pPr>
      <w:r w:rsidRPr="007E78E2">
        <w:rPr>
          <w:rFonts w:cstheme="minorHAnsi"/>
          <w:bCs/>
          <w:i/>
          <w:iCs/>
          <w:szCs w:val="18"/>
          <w:u w:val="single"/>
        </w:rPr>
        <w:t>Εμπλουτισμός των δεικτών παρακολούθησης</w:t>
      </w:r>
    </w:p>
    <w:p w:rsidR="007E78E2" w:rsidRPr="00DF6929" w:rsidRDefault="007E78E2" w:rsidP="007E78E2">
      <w:pPr>
        <w:rPr>
          <w:rFonts w:cstheme="minorHAnsi"/>
          <w:szCs w:val="18"/>
        </w:rPr>
      </w:pPr>
      <w:r w:rsidRPr="00F14166">
        <w:rPr>
          <w:rFonts w:cstheme="minorHAnsi"/>
          <w:szCs w:val="18"/>
        </w:rPr>
        <w:t>Η βάση του συστήματος παρακολούθησης και αξιολόγησης της στρατηγικής RIS3 προτείνεται να περιλαμβάνει και δείκτες παρακολούθησης της διαχειριστικής επάρκειας των φορέων που είναι αρμόδιοι για την παρακολούθηση και αξιολόγηση των RIS3</w:t>
      </w:r>
      <w:r w:rsidRPr="00DF6929">
        <w:rPr>
          <w:rFonts w:cstheme="minorHAnsi"/>
          <w:szCs w:val="18"/>
        </w:rPr>
        <w:t xml:space="preserve"> (ΓΓΕΤ, ΕΙΕ / ΕΚΤ, ΕΛΣΤΑΤ, ΟΒΙ). Δείκτες μέτρησης του χρόνου από </w:t>
      </w:r>
      <w:r w:rsidRPr="00DF6929">
        <w:rPr>
          <w:rFonts w:cstheme="minorHAnsi"/>
          <w:szCs w:val="18"/>
        </w:rPr>
        <w:lastRenderedPageBreak/>
        <w:t xml:space="preserve">την ωρίμανση μέχρι την προκήρυξη των δράσεων της </w:t>
      </w:r>
      <w:r w:rsidRPr="00DF6929">
        <w:rPr>
          <w:rFonts w:cstheme="minorHAnsi"/>
          <w:szCs w:val="18"/>
          <w:lang w:val="en-US"/>
        </w:rPr>
        <w:t>RIS</w:t>
      </w:r>
      <w:r w:rsidRPr="00DF6929">
        <w:rPr>
          <w:rFonts w:cstheme="minorHAnsi"/>
          <w:szCs w:val="18"/>
        </w:rPr>
        <w:t xml:space="preserve">3, καθώς και δείκτες μέτρησης του χρόνου αξιολόγησης των προτάσεων έργων και της διενέργειας πιστοποιήσεων, θα προσφέρουν μια πληρέστερη εικόνα για την πορεία υλοποίησης της </w:t>
      </w:r>
      <w:r w:rsidRPr="00DF6929">
        <w:rPr>
          <w:rFonts w:cstheme="minorHAnsi"/>
          <w:szCs w:val="18"/>
          <w:lang w:val="en-US"/>
        </w:rPr>
        <w:t>RIS</w:t>
      </w:r>
      <w:r w:rsidRPr="00DF6929">
        <w:rPr>
          <w:rFonts w:cstheme="minorHAnsi"/>
          <w:szCs w:val="18"/>
        </w:rPr>
        <w:t>3 και θα εξυπηρετήσουν τον προγραμματισμό της. Η προσθήκη δεικτών για τη διαδικασία εκτέλεσης (π.χ. χρόνοι ωρίμανσης, ποσοστά επιτυχίας προτάσεων) που δεν περιλαμβάνονται μέχρι σήμερα</w:t>
      </w:r>
      <w:r>
        <w:rPr>
          <w:rFonts w:cstheme="minorHAnsi"/>
          <w:szCs w:val="18"/>
        </w:rPr>
        <w:t>,</w:t>
      </w:r>
      <w:r w:rsidRPr="00DF6929">
        <w:rPr>
          <w:rFonts w:cstheme="minorHAnsi"/>
          <w:szCs w:val="18"/>
        </w:rPr>
        <w:t xml:space="preserve"> είναι κρίσιμα για την επιτυχία της RIS3. </w:t>
      </w:r>
    </w:p>
    <w:p w:rsidR="007E78E2" w:rsidRPr="007E78E2" w:rsidRDefault="007E78E2" w:rsidP="007E78E2">
      <w:pPr>
        <w:rPr>
          <w:rFonts w:cstheme="minorHAnsi"/>
          <w:bCs/>
          <w:i/>
          <w:iCs/>
          <w:szCs w:val="18"/>
          <w:u w:val="single"/>
        </w:rPr>
      </w:pPr>
      <w:r w:rsidRPr="007E78E2">
        <w:rPr>
          <w:rFonts w:cstheme="minorHAnsi"/>
          <w:bCs/>
          <w:i/>
          <w:iCs/>
          <w:szCs w:val="18"/>
          <w:u w:val="single"/>
        </w:rPr>
        <w:t>Συντονισμός με ΕΥΔ των Επιχειρησιακών Προγραμμάτων των Περιφερειών</w:t>
      </w:r>
    </w:p>
    <w:p w:rsidR="007E78E2" w:rsidRPr="00DF6929" w:rsidRDefault="007E78E2" w:rsidP="007E78E2">
      <w:pPr>
        <w:rPr>
          <w:rFonts w:cstheme="minorHAnsi"/>
          <w:szCs w:val="18"/>
        </w:rPr>
      </w:pPr>
      <w:r w:rsidRPr="00FB1F98">
        <w:rPr>
          <w:rFonts w:cstheme="minorHAnsi"/>
          <w:szCs w:val="18"/>
        </w:rPr>
        <w:t>Ο κατάλληλος χρονοπρογραμματισμός των προσκλήσεων και η αποφυγή αλληλοεπικαλύψεων με παρόμοιες προτάσεις από τα Περιφερειακά ΕΠ, θα δώσει τη δυνατότητα σε υποψηφίους που δεν έχουν τη διαχειριστική επάρκεια να υποβάλλουν πολλές προτάσεις, να αναλύσουν τις προσκλήσεις και να δομήσουν πιο συγκεκριμένες στους στόχους της Πράξης, προτάσεις.</w:t>
      </w:r>
    </w:p>
    <w:p w:rsidR="007E78E2" w:rsidRPr="001A22D1" w:rsidRDefault="007E78E2" w:rsidP="007E78E2">
      <w:pPr>
        <w:rPr>
          <w:rFonts w:cstheme="minorHAnsi"/>
          <w:bCs/>
          <w:i/>
          <w:iCs/>
          <w:szCs w:val="18"/>
          <w:u w:val="single"/>
        </w:rPr>
      </w:pPr>
      <w:r w:rsidRPr="001A22D1">
        <w:rPr>
          <w:rFonts w:cstheme="minorHAnsi"/>
          <w:bCs/>
          <w:i/>
          <w:iCs/>
          <w:szCs w:val="18"/>
          <w:u w:val="single"/>
        </w:rPr>
        <w:t>Απλοποίηση Προσκλήσεων</w:t>
      </w:r>
    </w:p>
    <w:p w:rsidR="007E78E2" w:rsidRPr="001A22D1" w:rsidRDefault="007E78E2" w:rsidP="007E78E2">
      <w:pPr>
        <w:rPr>
          <w:rFonts w:cstheme="minorHAnsi"/>
          <w:szCs w:val="18"/>
        </w:rPr>
      </w:pPr>
      <w:r w:rsidRPr="001A22D1">
        <w:rPr>
          <w:rFonts w:cstheme="minorHAnsi"/>
          <w:szCs w:val="18"/>
        </w:rPr>
        <w:t>Προτείνεται η προώθηση της γρήγορης και απλής έναρξης της υλοποίησης των Πράξεων. Τα κείμενα των προσκλήσεων και των οδηγών υλοποίησης θα πρέπει να είναι «ελαφρύτερα» εστιάζοντας στην επίτευξη των στόχων και στη διάθεση των κονδυλίων. Οι πληροφορίες να απαιτούνται μόνο μία φορά σε πρακτικό πλαίσιο —οι μακροσκελείς επαναλαμβανόμενες περιγραφές μπορούν να αποφεύγονται. Τα μακροσκελή παραρτήματα σε νομικά κείμενα και οδηγίες θα μπορούσαν να αντικατασταθούν από παραπομπές σε ένα κεντρικό αποθετήριο εγγράφων που θα συντηρείται από την ΕΥΣΣΑ</w:t>
      </w:r>
    </w:p>
    <w:p w:rsidR="007E78E2" w:rsidRPr="001A22D1" w:rsidRDefault="007E78E2" w:rsidP="007E78E2">
      <w:pPr>
        <w:rPr>
          <w:rFonts w:cstheme="minorHAnsi"/>
          <w:bCs/>
          <w:i/>
          <w:iCs/>
          <w:szCs w:val="18"/>
          <w:u w:val="single"/>
        </w:rPr>
      </w:pPr>
      <w:r w:rsidRPr="001A22D1">
        <w:rPr>
          <w:rFonts w:cstheme="minorHAnsi"/>
          <w:bCs/>
          <w:i/>
          <w:iCs/>
          <w:szCs w:val="18"/>
          <w:u w:val="single"/>
        </w:rPr>
        <w:t>Ολοκλήρωση της RIS3 με τομείς ποιότητας ζωής</w:t>
      </w:r>
    </w:p>
    <w:p w:rsidR="007E78E2" w:rsidRPr="001A22D1" w:rsidRDefault="007E78E2" w:rsidP="007E78E2">
      <w:pPr>
        <w:rPr>
          <w:rFonts w:cstheme="minorHAnsi"/>
          <w:szCs w:val="18"/>
        </w:rPr>
      </w:pPr>
      <w:r w:rsidRPr="001A22D1">
        <w:rPr>
          <w:rFonts w:cstheme="minorHAnsi"/>
          <w:szCs w:val="18"/>
        </w:rPr>
        <w:t xml:space="preserve">Σαφήνεια/ Καταλληλόλητα στρατηγικής σε σχέση με τις ανάγκες και τις προκλήσεις των τομέων του περιβάλλοντος, της απασχόλησης, της κοινωνικής προστασίας και πρόνοιας - Συνάφεια με πολιτικές και σε ευρωπαϊκό επίπεδο. Προτείνεται να συμπεριληφθούν στις προτεραιότητες της </w:t>
      </w:r>
      <w:r w:rsidRPr="001A22D1">
        <w:rPr>
          <w:rFonts w:cstheme="minorHAnsi"/>
          <w:szCs w:val="18"/>
          <w:lang w:val="en-US"/>
        </w:rPr>
        <w:t>RIS</w:t>
      </w:r>
      <w:r w:rsidRPr="001A22D1">
        <w:rPr>
          <w:rFonts w:cstheme="minorHAnsi"/>
          <w:szCs w:val="18"/>
        </w:rPr>
        <w:t>3 ειδικοί τομείς που έχουν συμπεριληφθεί ως προτεραιότητες σε Ευρωπαϊκά προγράμματα και στα οποία υπήρχαν ελληνικές συμμετοχές.</w:t>
      </w:r>
    </w:p>
    <w:p w:rsidR="007E78E2" w:rsidRPr="001A22D1" w:rsidRDefault="007E78E2" w:rsidP="007E78E2">
      <w:pPr>
        <w:rPr>
          <w:rFonts w:cstheme="minorHAnsi"/>
          <w:bCs/>
          <w:i/>
          <w:iCs/>
          <w:szCs w:val="18"/>
          <w:u w:val="single"/>
        </w:rPr>
      </w:pPr>
      <w:r w:rsidRPr="001A22D1">
        <w:rPr>
          <w:rFonts w:cstheme="minorHAnsi"/>
          <w:bCs/>
          <w:i/>
          <w:iCs/>
          <w:szCs w:val="18"/>
          <w:u w:val="single"/>
        </w:rPr>
        <w:t>Ανάπτυξη ευφυούς εργαλείου παρακολούθησης</w:t>
      </w:r>
    </w:p>
    <w:p w:rsidR="007E78E2" w:rsidRPr="001A22D1" w:rsidRDefault="007E78E2" w:rsidP="007E78E2">
      <w:pPr>
        <w:rPr>
          <w:rFonts w:cstheme="minorHAnsi"/>
          <w:szCs w:val="18"/>
        </w:rPr>
      </w:pPr>
      <w:r w:rsidRPr="001A22D1">
        <w:rPr>
          <w:rFonts w:cstheme="minorHAnsi"/>
          <w:szCs w:val="18"/>
        </w:rPr>
        <w:t xml:space="preserve">Προτείνεται να </w:t>
      </w:r>
      <w:r w:rsidR="009E2D70" w:rsidRPr="001A22D1">
        <w:rPr>
          <w:rFonts w:cstheme="minorHAnsi"/>
          <w:szCs w:val="18"/>
        </w:rPr>
        <w:t>δημιουργηθεί / σχεδιαστεί</w:t>
      </w:r>
      <w:r w:rsidRPr="001A22D1">
        <w:rPr>
          <w:rFonts w:cstheme="minorHAnsi"/>
          <w:szCs w:val="18"/>
        </w:rPr>
        <w:t xml:space="preserve"> έξυπνο εργαλείο για την ανάπτυξη της στρατηγικής (όχι μια πηγή στατιστικών στοιχείων). Σκοπός του εργαλείου / βάσης δεδομένων θα είναι να </w:t>
      </w:r>
      <w:r w:rsidR="009E2D70" w:rsidRPr="001A22D1">
        <w:rPr>
          <w:rFonts w:cstheme="minorHAnsi"/>
          <w:szCs w:val="18"/>
        </w:rPr>
        <w:t>παράσχει</w:t>
      </w:r>
      <w:r w:rsidRPr="001A22D1">
        <w:rPr>
          <w:rFonts w:cstheme="minorHAnsi"/>
          <w:szCs w:val="18"/>
        </w:rPr>
        <w:t xml:space="preserve"> μια γενική εικόνα των προτεραιοτήτων της στρατηγικής ώστε να δοθεί η δυνατότητα και σε άλλα σημαντικά ενδιαφερόμενα μέρη (ΜΜΕ, </w:t>
      </w:r>
      <w:r w:rsidRPr="001A22D1">
        <w:rPr>
          <w:rFonts w:cstheme="minorHAnsi"/>
          <w:szCs w:val="18"/>
          <w:lang w:val="en-US"/>
        </w:rPr>
        <w:t>start</w:t>
      </w:r>
      <w:r w:rsidRPr="001A22D1">
        <w:rPr>
          <w:rFonts w:cstheme="minorHAnsi"/>
          <w:szCs w:val="18"/>
        </w:rPr>
        <w:t xml:space="preserve"> </w:t>
      </w:r>
      <w:r w:rsidRPr="001A22D1">
        <w:rPr>
          <w:rFonts w:cstheme="minorHAnsi"/>
          <w:szCs w:val="18"/>
          <w:lang w:val="en-US"/>
        </w:rPr>
        <w:t>ups</w:t>
      </w:r>
      <w:r w:rsidRPr="001A22D1">
        <w:rPr>
          <w:rFonts w:cstheme="minorHAnsi"/>
          <w:szCs w:val="18"/>
        </w:rPr>
        <w:t xml:space="preserve">, ερευνητές) να </w:t>
      </w:r>
      <w:r w:rsidR="009E2D70" w:rsidRPr="001A22D1">
        <w:rPr>
          <w:rFonts w:cstheme="minorHAnsi"/>
          <w:szCs w:val="18"/>
        </w:rPr>
        <w:t>«</w:t>
      </w:r>
      <w:r w:rsidRPr="001A22D1">
        <w:rPr>
          <w:rFonts w:cstheme="minorHAnsi"/>
          <w:szCs w:val="18"/>
        </w:rPr>
        <w:t>τοποθετηθούν</w:t>
      </w:r>
      <w:r w:rsidR="009E2D70" w:rsidRPr="001A22D1">
        <w:rPr>
          <w:rFonts w:cstheme="minorHAnsi"/>
          <w:szCs w:val="18"/>
        </w:rPr>
        <w:t>»</w:t>
      </w:r>
      <w:r w:rsidRPr="001A22D1">
        <w:rPr>
          <w:rFonts w:cstheme="minorHAnsi"/>
          <w:szCs w:val="18"/>
        </w:rPr>
        <w:t xml:space="preserve">, να βρουν τις μοναδικές τους θέσεις και να αναζητήσουν πιθανούς εταίρους για συνεργασία. Με την επικαιροποίηση της ηλεκτρονικής βάσης δεδομένων με εθνικές προτεραιότητες, η εθνική </w:t>
      </w:r>
      <w:r w:rsidRPr="001A22D1">
        <w:rPr>
          <w:rFonts w:cstheme="minorHAnsi"/>
          <w:szCs w:val="18"/>
          <w:lang w:val="en-US"/>
        </w:rPr>
        <w:t>RIS</w:t>
      </w:r>
      <w:r w:rsidRPr="001A22D1">
        <w:rPr>
          <w:rFonts w:cstheme="minorHAnsi"/>
          <w:szCs w:val="18"/>
        </w:rPr>
        <w:t xml:space="preserve">3 θα κερδίσει προβολή και θα έχει την ευκαιρία να αναγνωριστεί από δυνητικούς ομολόγους που αναζητούν συνεργασία σε ένα συγκεκριμένο θέμα (ευρωπαϊκές συμπράξεις καινοτομίας, Horizon 2020, την επέκταση των κοινοτήτων γνώσης και καινοτομίας του ΕΙΤ, μακροπεριφερειακή συνεργασία, έργα INTERREG, </w:t>
      </w:r>
      <w:r w:rsidRPr="001A22D1">
        <w:rPr>
          <w:rFonts w:cstheme="minorHAnsi"/>
          <w:szCs w:val="18"/>
          <w:lang w:val="en-US"/>
        </w:rPr>
        <w:t>LIFE</w:t>
      </w:r>
      <w:r w:rsidR="009F278A">
        <w:rPr>
          <w:rFonts w:cstheme="minorHAnsi"/>
          <w:szCs w:val="18"/>
        </w:rPr>
        <w:t>,</w:t>
      </w:r>
      <w:r w:rsidRPr="001A22D1">
        <w:rPr>
          <w:rFonts w:cstheme="minorHAnsi"/>
          <w:szCs w:val="18"/>
        </w:rPr>
        <w:t xml:space="preserve"> κ.λπ.). Το ηλεκτρονικό εργαλείο θα επιτρέπει επίσης να γίνονται συγκρίσεις των προτεραιοτήτων της RIS3 σε ολόκληρη την Ευρώπη για καλύτερη κατανόηση του τρόπου με τον οποίο άλλες περιφέρειες και χώρες αναπτύσσουν τις στρατηγικές και τις προτεραιότητές τους για την καινοτομία και ενδεχομένως εντοπίζουν ανταγωνιστικές θέσεις.</w:t>
      </w:r>
    </w:p>
    <w:p w:rsidR="007E78E2" w:rsidRPr="00DF6929" w:rsidRDefault="00B66A11" w:rsidP="007E78E2">
      <w:pPr>
        <w:rPr>
          <w:rFonts w:cstheme="minorHAnsi"/>
          <w:szCs w:val="18"/>
        </w:rPr>
      </w:pPr>
      <w:r>
        <w:rPr>
          <w:rFonts w:cstheme="minorHAnsi"/>
          <w:szCs w:val="18"/>
        </w:rPr>
        <w:t>Επίσης</w:t>
      </w:r>
      <w:bookmarkStart w:id="82" w:name="_GoBack"/>
      <w:bookmarkEnd w:id="82"/>
      <w:r w:rsidR="007E78E2" w:rsidRPr="001A22D1">
        <w:rPr>
          <w:rFonts w:cstheme="minorHAnsi"/>
          <w:szCs w:val="18"/>
        </w:rPr>
        <w:t>, η πλατφόρμα αυτή μπορεί να βοηθήσει στην ανάδειξη νέων καινοτόμων παραγωγικών φορέων, στην ενίσχυση αυτών που σήμερα επιμένουν και διακρίνονται σε αυτή την προσπάθεια, και στο να αποτρέψει τη χώρα από το να πέσει θύμα του φαινομένου ‘δημιουργία καινοτομίας εδώ, αλλά εκμετάλλευσή της αλλού’ (“</w:t>
      </w:r>
      <w:r w:rsidR="007E78E2" w:rsidRPr="001A22D1">
        <w:rPr>
          <w:rFonts w:cstheme="minorHAnsi"/>
          <w:szCs w:val="18"/>
          <w:lang w:val="en-GB"/>
        </w:rPr>
        <w:t>invented</w:t>
      </w:r>
      <w:r w:rsidR="007E78E2" w:rsidRPr="001A22D1">
        <w:rPr>
          <w:rFonts w:cstheme="minorHAnsi"/>
          <w:szCs w:val="18"/>
        </w:rPr>
        <w:t xml:space="preserve"> </w:t>
      </w:r>
      <w:r w:rsidR="007E78E2" w:rsidRPr="001A22D1">
        <w:rPr>
          <w:rFonts w:cstheme="minorHAnsi"/>
          <w:szCs w:val="18"/>
          <w:lang w:val="en-GB"/>
        </w:rPr>
        <w:t>here</w:t>
      </w:r>
      <w:r w:rsidR="007E78E2" w:rsidRPr="001A22D1">
        <w:rPr>
          <w:rFonts w:cstheme="minorHAnsi"/>
          <w:szCs w:val="18"/>
        </w:rPr>
        <w:t xml:space="preserve">, </w:t>
      </w:r>
      <w:r w:rsidR="007E78E2" w:rsidRPr="001A22D1">
        <w:rPr>
          <w:rFonts w:cstheme="minorHAnsi"/>
          <w:szCs w:val="18"/>
          <w:lang w:val="en-GB"/>
        </w:rPr>
        <w:t>exploited</w:t>
      </w:r>
      <w:r w:rsidR="007E78E2" w:rsidRPr="001A22D1">
        <w:rPr>
          <w:rFonts w:cstheme="minorHAnsi"/>
          <w:szCs w:val="18"/>
        </w:rPr>
        <w:t xml:space="preserve"> </w:t>
      </w:r>
      <w:r w:rsidR="007E78E2" w:rsidRPr="001A22D1">
        <w:rPr>
          <w:rFonts w:cstheme="minorHAnsi"/>
          <w:szCs w:val="18"/>
          <w:lang w:val="en-GB"/>
        </w:rPr>
        <w:t>elsewhere</w:t>
      </w:r>
      <w:r w:rsidR="007E78E2" w:rsidRPr="001A22D1">
        <w:rPr>
          <w:rFonts w:cstheme="minorHAnsi"/>
          <w:szCs w:val="18"/>
        </w:rPr>
        <w:t>”). Σημαντικός παράγοντας σε αυτή την προσπάθεια είναι η ενθάρρυνση της ανάληψης του κινδύνου, αλλά και της αναγνώρισης</w:t>
      </w:r>
      <w:r w:rsidR="007E78E2" w:rsidRPr="00DF6929">
        <w:rPr>
          <w:rFonts w:cstheme="minorHAnsi"/>
          <w:szCs w:val="18"/>
        </w:rPr>
        <w:t xml:space="preserve"> των ευκαιριών που πηγάζουν από την αβεβαιότητα των δραστηριοτήτων ΕΤΑΚ. </w:t>
      </w:r>
    </w:p>
    <w:p w:rsidR="007E78E2" w:rsidRPr="00DF6929" w:rsidRDefault="007E78E2" w:rsidP="007E78E2">
      <w:pPr>
        <w:rPr>
          <w:rFonts w:cstheme="minorHAnsi"/>
          <w:szCs w:val="18"/>
        </w:rPr>
      </w:pPr>
      <w:r w:rsidRPr="00DF6929">
        <w:rPr>
          <w:rFonts w:cstheme="minorHAnsi"/>
          <w:szCs w:val="18"/>
        </w:rPr>
        <w:t xml:space="preserve">Έτσι, η RIS3 θα μεριμνά για την ανάπτυξη όλων των «τύπων ΕΤΑΚ»: </w:t>
      </w:r>
    </w:p>
    <w:p w:rsidR="007E78E2" w:rsidRPr="00DF6929" w:rsidRDefault="007E78E2" w:rsidP="007E78E2">
      <w:pPr>
        <w:pStyle w:val="ListParagraph"/>
        <w:numPr>
          <w:ilvl w:val="0"/>
          <w:numId w:val="45"/>
        </w:numPr>
        <w:contextualSpacing/>
        <w:rPr>
          <w:rFonts w:cstheme="minorHAnsi"/>
          <w:szCs w:val="18"/>
        </w:rPr>
      </w:pPr>
      <w:r w:rsidRPr="00DF6929">
        <w:rPr>
          <w:rFonts w:cstheme="minorHAnsi"/>
          <w:szCs w:val="18"/>
        </w:rPr>
        <w:t>Καινοτομία που παράγεται από τις «ανάγκες της αγοράς» (</w:t>
      </w:r>
      <w:r w:rsidRPr="00D52325">
        <w:rPr>
          <w:rFonts w:cstheme="minorHAnsi"/>
          <w:szCs w:val="18"/>
          <w:lang w:val="en-GB"/>
        </w:rPr>
        <w:t>demand</w:t>
      </w:r>
      <w:r w:rsidRPr="00643698">
        <w:rPr>
          <w:rFonts w:cstheme="minorHAnsi"/>
          <w:szCs w:val="18"/>
        </w:rPr>
        <w:t xml:space="preserve"> </w:t>
      </w:r>
      <w:r w:rsidRPr="00D52325">
        <w:rPr>
          <w:rFonts w:cstheme="minorHAnsi"/>
          <w:szCs w:val="18"/>
          <w:lang w:val="en-GB"/>
        </w:rPr>
        <w:t>drive</w:t>
      </w:r>
      <w:r w:rsidRPr="00DF6929">
        <w:rPr>
          <w:rFonts w:cstheme="minorHAnsi"/>
          <w:szCs w:val="18"/>
        </w:rPr>
        <w:t xml:space="preserve">n) </w:t>
      </w:r>
    </w:p>
    <w:p w:rsidR="007E78E2" w:rsidRPr="00DF6929" w:rsidRDefault="007E78E2" w:rsidP="007E78E2">
      <w:pPr>
        <w:pStyle w:val="ListParagraph"/>
        <w:numPr>
          <w:ilvl w:val="0"/>
          <w:numId w:val="45"/>
        </w:numPr>
        <w:contextualSpacing/>
        <w:rPr>
          <w:rFonts w:cstheme="minorHAnsi"/>
          <w:szCs w:val="18"/>
        </w:rPr>
      </w:pPr>
      <w:r w:rsidRPr="00DF6929">
        <w:rPr>
          <w:rFonts w:cstheme="minorHAnsi"/>
          <w:szCs w:val="18"/>
        </w:rPr>
        <w:t>Καινοτομία που παράγεται από έρευνα, από επιστημονική περιέργεια (</w:t>
      </w:r>
      <w:r w:rsidRPr="00D52325">
        <w:rPr>
          <w:rFonts w:cstheme="minorHAnsi"/>
          <w:szCs w:val="18"/>
          <w:lang w:val="en-GB"/>
        </w:rPr>
        <w:t>curiosity</w:t>
      </w:r>
      <w:r w:rsidRPr="00643698">
        <w:rPr>
          <w:rFonts w:cstheme="minorHAnsi"/>
          <w:szCs w:val="18"/>
        </w:rPr>
        <w:t xml:space="preserve"> </w:t>
      </w:r>
      <w:r w:rsidRPr="00D52325">
        <w:rPr>
          <w:rFonts w:cstheme="minorHAnsi"/>
          <w:szCs w:val="18"/>
          <w:lang w:val="en-GB"/>
        </w:rPr>
        <w:t>driven</w:t>
      </w:r>
      <w:r w:rsidRPr="00DF6929">
        <w:rPr>
          <w:rFonts w:cstheme="minorHAnsi"/>
          <w:szCs w:val="18"/>
        </w:rPr>
        <w:t>)</w:t>
      </w:r>
    </w:p>
    <w:p w:rsidR="007E78E2" w:rsidRPr="00DF6929" w:rsidRDefault="007E78E2" w:rsidP="007E78E2">
      <w:pPr>
        <w:pStyle w:val="ListParagraph"/>
        <w:numPr>
          <w:ilvl w:val="0"/>
          <w:numId w:val="45"/>
        </w:numPr>
        <w:contextualSpacing/>
        <w:rPr>
          <w:rFonts w:cstheme="minorHAnsi"/>
          <w:szCs w:val="18"/>
        </w:rPr>
      </w:pPr>
      <w:r>
        <w:rPr>
          <w:rFonts w:cstheme="minorHAnsi"/>
          <w:szCs w:val="18"/>
        </w:rPr>
        <w:t>Κ</w:t>
      </w:r>
      <w:r w:rsidRPr="00DF6929">
        <w:rPr>
          <w:rFonts w:cstheme="minorHAnsi"/>
          <w:szCs w:val="18"/>
        </w:rPr>
        <w:t>αινοτομία που παράγεται για την εκπλήρωση αποστολής στρατηγικής σημασίας (</w:t>
      </w:r>
      <w:r w:rsidRPr="00D52325">
        <w:rPr>
          <w:rFonts w:cstheme="minorHAnsi"/>
          <w:szCs w:val="18"/>
          <w:lang w:val="en-GB"/>
        </w:rPr>
        <w:t>mission</w:t>
      </w:r>
      <w:r w:rsidRPr="00D52325">
        <w:rPr>
          <w:rFonts w:cstheme="minorHAnsi"/>
          <w:szCs w:val="18"/>
        </w:rPr>
        <w:t>-</w:t>
      </w:r>
      <w:r w:rsidRPr="00D52325">
        <w:rPr>
          <w:rFonts w:cstheme="minorHAnsi"/>
          <w:szCs w:val="18"/>
          <w:lang w:val="en-GB"/>
        </w:rPr>
        <w:t>led</w:t>
      </w:r>
      <w:r w:rsidRPr="00DF6929">
        <w:rPr>
          <w:rFonts w:cstheme="minorHAnsi"/>
          <w:szCs w:val="18"/>
        </w:rPr>
        <w:t xml:space="preserve">) </w:t>
      </w:r>
    </w:p>
    <w:p w:rsidR="007E78E2" w:rsidRDefault="007E78E2">
      <w:pPr>
        <w:spacing w:before="0" w:after="160" w:line="259" w:lineRule="auto"/>
        <w:jc w:val="left"/>
        <w:rPr>
          <w:rFonts w:cstheme="minorHAnsi"/>
          <w:bCs/>
          <w:i/>
          <w:iCs/>
          <w:szCs w:val="18"/>
          <w:u w:val="single"/>
        </w:rPr>
      </w:pPr>
      <w:r>
        <w:rPr>
          <w:rFonts w:cstheme="minorHAnsi"/>
          <w:bCs/>
          <w:i/>
          <w:iCs/>
          <w:szCs w:val="18"/>
          <w:u w:val="single"/>
        </w:rPr>
        <w:br w:type="page"/>
      </w:r>
    </w:p>
    <w:p w:rsidR="007E78E2" w:rsidRPr="007E78E2" w:rsidRDefault="007E78E2" w:rsidP="007E78E2">
      <w:pPr>
        <w:rPr>
          <w:rFonts w:cstheme="minorHAnsi"/>
          <w:bCs/>
          <w:i/>
          <w:iCs/>
          <w:szCs w:val="18"/>
          <w:u w:val="single"/>
        </w:rPr>
      </w:pPr>
      <w:r w:rsidRPr="007E78E2">
        <w:rPr>
          <w:rFonts w:cstheme="minorHAnsi"/>
          <w:bCs/>
          <w:i/>
          <w:iCs/>
          <w:szCs w:val="18"/>
          <w:u w:val="single"/>
        </w:rPr>
        <w:lastRenderedPageBreak/>
        <w:t>Διαμεσολαβητές Καινοτομίας</w:t>
      </w:r>
    </w:p>
    <w:p w:rsidR="00EB5844" w:rsidRPr="007E78E2" w:rsidRDefault="007E78E2" w:rsidP="007E78E2">
      <w:pPr>
        <w:rPr>
          <w:rFonts w:cstheme="minorHAnsi"/>
          <w:szCs w:val="18"/>
        </w:rPr>
      </w:pPr>
      <w:r>
        <w:rPr>
          <w:rFonts w:cstheme="minorHAnsi"/>
          <w:szCs w:val="18"/>
        </w:rPr>
        <w:t>Η</w:t>
      </w:r>
      <w:r w:rsidRPr="00DF6929">
        <w:rPr>
          <w:rFonts w:cstheme="minorHAnsi"/>
          <w:szCs w:val="18"/>
        </w:rPr>
        <w:t xml:space="preserve"> εισαγωγή και προώθηση των διαμεσολαβητών καινοτομίας (υπηρεσίες στήριξης της καινοτομίας) θα μπορούσαν να έχουν σημαντικό ρόλο οδηγώντας πρωτοβουλίες, οι οποίες φέρνουν κοντά τους </w:t>
      </w:r>
      <w:r w:rsidRPr="00FB1F98">
        <w:rPr>
          <w:rFonts w:cstheme="minorHAnsi"/>
          <w:szCs w:val="18"/>
        </w:rPr>
        <w:t xml:space="preserve">ενδιαφερόμενους φορείς ώστε να παρουσιάσουν τις ανάγκες τους. Η διαμεσολάβηση καινοτομίας διαδραματίζει βασικό ρόλο στην ανακάλυψη ιδεών που προέρχονται από την πράξη και βοηθά στην ανάπτυξη συγκεκριμένων σχεδίων/έργων. Ο ρόλος του διαμεσολαβητή αφορά στην </w:t>
      </w:r>
      <w:r w:rsidR="00330D31" w:rsidRPr="00FB1F98">
        <w:rPr>
          <w:rFonts w:cstheme="minorHAnsi"/>
          <w:szCs w:val="18"/>
        </w:rPr>
        <w:t xml:space="preserve">υποστήριξη </w:t>
      </w:r>
      <w:r w:rsidRPr="00FB1F98">
        <w:rPr>
          <w:rFonts w:cstheme="minorHAnsi"/>
          <w:szCs w:val="18"/>
        </w:rPr>
        <w:t>των εταίρων να βρουν ο ένας τον άλλο και να διευκολύνει την έναρξη Επιχειρησιακών Ομάδων με συγκεκριμένους στόχους. Ενεργεί σαν καταλύτης και συνδέει φορείς καινοτομίας (ΜΜΕ, ερευνητές, ΜΚΟ, κ.λπ.) γύρω από μια ιδέα που μπορεί να μετατραπεί σε καινοτομία. Οι διαμεσολαβητές βοηθούν στον εντοπισμό και βελτίωση καινοτόμων ιδεών, στην εύρεση κατάλληλων εταίρων και χρηματοδοτικών εργαλείων και στον προσδιορισμό των πιθανών ρόλων για κάθε εταίρο. Η κύρια αποστολή τους είναι να προετοιμάσουν μια πρόταση έργου που ικανοποιεί πλήρως όλους τους φορείς και τους βοηθά να προετοιμάσουν μια επιτυχημένη αίτηση χρηματοδότησης. Οι υπηρεσίες υποστήριξης της καινοτομίας και οι διαμεσολαβητές καινοτομίας προτείνεται να είναι αναγνωρίσιμες και με διάρκεια και να μπορούν</w:t>
      </w:r>
      <w:r w:rsidRPr="00DF6929">
        <w:rPr>
          <w:rFonts w:cstheme="minorHAnsi"/>
          <w:szCs w:val="18"/>
        </w:rPr>
        <w:t xml:space="preserve"> να χρηματοδοτηθούν από δράσεις συνεργασίας.</w:t>
      </w:r>
    </w:p>
    <w:sectPr w:rsidR="00EB5844" w:rsidRPr="007E78E2" w:rsidSect="005476F0">
      <w:headerReference w:type="default" r:id="rId87"/>
      <w:footerReference w:type="default" r:id="rId88"/>
      <w:footerReference w:type="first" r:id="rId89"/>
      <w:pgSz w:w="11906" w:h="16838" w:code="9"/>
      <w:pgMar w:top="1440" w:right="1247" w:bottom="1440"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616DA" w:rsidRDefault="003616DA" w:rsidP="008E5875">
      <w:pPr>
        <w:spacing w:before="0" w:line="240" w:lineRule="auto"/>
      </w:pPr>
      <w:r>
        <w:separator/>
      </w:r>
    </w:p>
  </w:endnote>
  <w:endnote w:type="continuationSeparator" w:id="0">
    <w:p w:rsidR="003616DA" w:rsidRDefault="003616DA" w:rsidP="008E5875">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GillSans">
    <w:altName w:val="Calibri"/>
    <w:charset w:val="00"/>
    <w:family w:val="swiss"/>
    <w:pitch w:val="variable"/>
    <w:sig w:usb0="00000007" w:usb1="00000000" w:usb2="00000000" w:usb3="00000000" w:csb0="00000093" w:csb1="00000000"/>
  </w:font>
  <w:font w:name="Free Serif Bold">
    <w:altName w:val="Times New Roman"/>
    <w:charset w:val="00"/>
    <w:family w:val="roman"/>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0"/>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2</w:t>
          </w:r>
          <w:r w:rsidRPr="00913B2D">
            <w:rPr>
              <w:noProof/>
            </w:rPr>
            <w:fldChar w:fldCharType="end"/>
          </w:r>
        </w:p>
      </w:tc>
    </w:tr>
  </w:tbl>
  <w:p w:rsidR="00330D31" w:rsidRDefault="00330D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6"/>
      <w:gridCol w:w="4930"/>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18</w:t>
          </w:r>
          <w:r w:rsidRPr="00913B2D">
            <w:rPr>
              <w:noProof/>
            </w:rPr>
            <w:fldChar w:fldCharType="end"/>
          </w:r>
        </w:p>
      </w:tc>
    </w:tr>
  </w:tbl>
  <w:p w:rsidR="00330D31" w:rsidRDefault="00330D3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97"/>
      <w:gridCol w:w="3465"/>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20</w:t>
          </w:r>
          <w:r w:rsidRPr="00913B2D">
            <w:rPr>
              <w:noProof/>
            </w:rPr>
            <w:fldChar w:fldCharType="end"/>
          </w:r>
        </w:p>
      </w:tc>
    </w:tr>
  </w:tbl>
  <w:p w:rsidR="00330D31" w:rsidRDefault="00330D3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3"/>
      <w:gridCol w:w="4583"/>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28</w:t>
          </w:r>
          <w:r w:rsidRPr="00913B2D">
            <w:rPr>
              <w:noProof/>
            </w:rPr>
            <w:fldChar w:fldCharType="end"/>
          </w:r>
        </w:p>
      </w:tc>
    </w:tr>
  </w:tbl>
  <w:p w:rsidR="00330D31" w:rsidRDefault="00330D3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0"/>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29</w:t>
          </w:r>
          <w:r w:rsidRPr="00913B2D">
            <w:rPr>
              <w:noProof/>
            </w:rPr>
            <w:fldChar w:fldCharType="end"/>
          </w:r>
        </w:p>
      </w:tc>
    </w:tr>
  </w:tbl>
  <w:p w:rsidR="00330D31" w:rsidRDefault="00330D3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3"/>
      <w:gridCol w:w="4583"/>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30</w:t>
          </w:r>
          <w:r w:rsidRPr="00913B2D">
            <w:rPr>
              <w:noProof/>
            </w:rPr>
            <w:fldChar w:fldCharType="end"/>
          </w:r>
        </w:p>
      </w:tc>
    </w:tr>
  </w:tbl>
  <w:p w:rsidR="00330D31" w:rsidRDefault="00330D3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97"/>
      <w:gridCol w:w="3465"/>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34</w:t>
          </w:r>
          <w:r w:rsidRPr="00913B2D">
            <w:rPr>
              <w:noProof/>
            </w:rPr>
            <w:fldChar w:fldCharType="end"/>
          </w:r>
        </w:p>
      </w:tc>
    </w:tr>
  </w:tbl>
  <w:p w:rsidR="00330D31" w:rsidRDefault="00330D31">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3"/>
      <w:gridCol w:w="4583"/>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35</w:t>
          </w:r>
          <w:r w:rsidRPr="00913B2D">
            <w:rPr>
              <w:noProof/>
            </w:rPr>
            <w:fldChar w:fldCharType="end"/>
          </w:r>
        </w:p>
      </w:tc>
    </w:tr>
  </w:tbl>
  <w:p w:rsidR="00330D31" w:rsidRDefault="00330D31">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44</w:t>
          </w:r>
          <w:r w:rsidRPr="00913B2D">
            <w:rPr>
              <w:noProof/>
            </w:rPr>
            <w:fldChar w:fldCharType="end"/>
          </w:r>
        </w:p>
      </w:tc>
    </w:tr>
  </w:tbl>
  <w:p w:rsidR="00330D31" w:rsidRDefault="00330D3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Look w:val="04A0" w:firstRow="1" w:lastRow="0" w:firstColumn="1" w:lastColumn="0" w:noHBand="0" w:noVBand="1"/>
    </w:tblPr>
    <w:tblGrid>
      <w:gridCol w:w="4814"/>
      <w:gridCol w:w="4814"/>
    </w:tblGrid>
    <w:tr w:rsidR="00330D31" w:rsidRPr="002E6C3A" w:rsidTr="00D21C6A">
      <w:trPr>
        <w:jc w:val="center"/>
      </w:trPr>
      <w:tc>
        <w:tcPr>
          <w:tcW w:w="4814" w:type="dxa"/>
          <w:shd w:val="clear" w:color="auto" w:fill="auto"/>
        </w:tcPr>
        <w:p w:rsidR="00330D31" w:rsidRPr="002E6C3A" w:rsidRDefault="00330D31" w:rsidP="00D21C6A">
          <w:pPr>
            <w:jc w:val="center"/>
            <w:rPr>
              <w:b/>
              <w:sz w:val="22"/>
            </w:rPr>
          </w:pPr>
        </w:p>
      </w:tc>
      <w:tc>
        <w:tcPr>
          <w:tcW w:w="4814" w:type="dxa"/>
          <w:shd w:val="clear" w:color="auto" w:fill="auto"/>
        </w:tcPr>
        <w:p w:rsidR="00330D31" w:rsidRPr="002E6C3A" w:rsidRDefault="00330D31" w:rsidP="00D21C6A">
          <w:pPr>
            <w:jc w:val="center"/>
            <w:rPr>
              <w:b/>
              <w:sz w:val="22"/>
            </w:rPr>
          </w:pPr>
        </w:p>
      </w:tc>
    </w:tr>
  </w:tbl>
  <w:p w:rsidR="00330D31" w:rsidRPr="0067770B" w:rsidRDefault="00330D31">
    <w:pPr>
      <w:pStyle w:val="Footer"/>
      <w:rPr>
        <w:lang w:val="en-US"/>
      </w:rPr>
    </w:pPr>
  </w:p>
  <w:p w:rsidR="00330D31" w:rsidRDefault="00330D31"/>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4"/>
      <w:gridCol w:w="4930"/>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57</w:t>
          </w:r>
          <w:r w:rsidRPr="00913B2D">
            <w:rPr>
              <w:noProof/>
            </w:rPr>
            <w:fldChar w:fldCharType="end"/>
          </w:r>
        </w:p>
      </w:tc>
    </w:tr>
  </w:tbl>
  <w:p w:rsidR="00330D31" w:rsidRDefault="00330D31">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58</w:t>
          </w:r>
          <w:r w:rsidRPr="00913B2D">
            <w:rPr>
              <w:noProof/>
            </w:rPr>
            <w:fldChar w:fldCharType="end"/>
          </w:r>
        </w:p>
      </w:tc>
    </w:tr>
  </w:tbl>
  <w:p w:rsidR="00330D31" w:rsidRDefault="00330D31">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4"/>
      <w:gridCol w:w="4930"/>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59</w:t>
          </w:r>
          <w:r w:rsidRPr="00913B2D">
            <w:rPr>
              <w:noProof/>
            </w:rPr>
            <w:fldChar w:fldCharType="end"/>
          </w:r>
        </w:p>
      </w:tc>
    </w:tr>
  </w:tbl>
  <w:p w:rsidR="00330D31" w:rsidRDefault="00330D31">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61</w:t>
          </w:r>
          <w:r w:rsidRPr="00913B2D">
            <w:rPr>
              <w:noProof/>
            </w:rPr>
            <w:fldChar w:fldCharType="end"/>
          </w:r>
        </w:p>
      </w:tc>
    </w:tr>
  </w:tbl>
  <w:p w:rsidR="00330D31" w:rsidRDefault="00330D31">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94"/>
      <w:gridCol w:w="7356"/>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62</w:t>
          </w:r>
          <w:r w:rsidRPr="00913B2D">
            <w:rPr>
              <w:noProof/>
            </w:rPr>
            <w:fldChar w:fldCharType="end"/>
          </w:r>
        </w:p>
      </w:tc>
    </w:tr>
  </w:tbl>
  <w:p w:rsidR="00330D31" w:rsidRDefault="00330D31">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64</w:t>
          </w:r>
          <w:r w:rsidRPr="00913B2D">
            <w:rPr>
              <w:noProof/>
            </w:rPr>
            <w:fldChar w:fldCharType="end"/>
          </w:r>
        </w:p>
      </w:tc>
    </w:tr>
  </w:tbl>
  <w:p w:rsidR="00330D31" w:rsidRDefault="00330D31">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94"/>
      <w:gridCol w:w="7356"/>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65</w:t>
          </w:r>
          <w:r w:rsidRPr="00913B2D">
            <w:rPr>
              <w:noProof/>
            </w:rPr>
            <w:fldChar w:fldCharType="end"/>
          </w:r>
        </w:p>
      </w:tc>
    </w:tr>
  </w:tbl>
  <w:p w:rsidR="00330D31" w:rsidRDefault="00330D31">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69</w:t>
          </w:r>
          <w:r w:rsidRPr="00913B2D">
            <w:rPr>
              <w:noProof/>
            </w:rPr>
            <w:fldChar w:fldCharType="end"/>
          </w:r>
        </w:p>
      </w:tc>
    </w:tr>
  </w:tbl>
  <w:p w:rsidR="00330D31" w:rsidRDefault="00330D31">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94"/>
      <w:gridCol w:w="7356"/>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70</w:t>
          </w:r>
          <w:r w:rsidRPr="00913B2D">
            <w:rPr>
              <w:noProof/>
            </w:rPr>
            <w:fldChar w:fldCharType="end"/>
          </w:r>
        </w:p>
      </w:tc>
    </w:tr>
  </w:tbl>
  <w:p w:rsidR="00330D31" w:rsidRDefault="00330D31">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4" w:space="0" w:color="7F7F7F" w:themeColor="text1" w:themeTint="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9"/>
      <w:gridCol w:w="3349"/>
    </w:tblGrid>
    <w:tr w:rsidR="00330D31" w:rsidTr="00D876E4">
      <w:tc>
        <w:tcPr>
          <w:tcW w:w="3261" w:type="pct"/>
        </w:tcPr>
        <w:p w:rsidR="00330D31" w:rsidRPr="00497054" w:rsidRDefault="00330D31">
          <w:pPr>
            <w:pStyle w:val="Footer"/>
            <w:rPr>
              <w:lang w:val="en-US"/>
            </w:rPr>
          </w:pPr>
          <w:r>
            <w:rPr>
              <w:lang w:val="en-US"/>
            </w:rPr>
            <w:t>PLANET A.E.</w:t>
          </w:r>
        </w:p>
      </w:tc>
      <w:tc>
        <w:tcPr>
          <w:tcW w:w="1739" w:type="pct"/>
          <w:shd w:val="clear" w:color="auto" w:fill="auto"/>
        </w:tcPr>
        <w:p w:rsidR="00330D31" w:rsidRDefault="00330D31" w:rsidP="00913B2D">
          <w:pPr>
            <w:pStyle w:val="Footer"/>
            <w:jc w:val="right"/>
          </w:pPr>
          <w:r w:rsidRPr="00913B2D">
            <w:fldChar w:fldCharType="begin"/>
          </w:r>
          <w:r w:rsidRPr="00913B2D">
            <w:instrText xml:space="preserve"> PAGE   \* MERGEFORMAT </w:instrText>
          </w:r>
          <w:r w:rsidRPr="00913B2D">
            <w:fldChar w:fldCharType="separate"/>
          </w:r>
          <w:r>
            <w:rPr>
              <w:noProof/>
            </w:rPr>
            <w:t>75</w:t>
          </w:r>
          <w:r w:rsidRPr="00913B2D">
            <w:rPr>
              <w:noProof/>
            </w:rPr>
            <w:fldChar w:fldCharType="end"/>
          </w:r>
        </w:p>
      </w:tc>
    </w:tr>
  </w:tbl>
  <w:p w:rsidR="00330D31" w:rsidRDefault="00330D31">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Look w:val="04A0" w:firstRow="1" w:lastRow="0" w:firstColumn="1" w:lastColumn="0" w:noHBand="0" w:noVBand="1"/>
    </w:tblPr>
    <w:tblGrid>
      <w:gridCol w:w="4814"/>
      <w:gridCol w:w="4814"/>
    </w:tblGrid>
    <w:tr w:rsidR="00330D31" w:rsidRPr="002E6C3A" w:rsidTr="00F07C91">
      <w:trPr>
        <w:jc w:val="center"/>
      </w:trPr>
      <w:tc>
        <w:tcPr>
          <w:tcW w:w="4814" w:type="dxa"/>
          <w:shd w:val="clear" w:color="auto" w:fill="auto"/>
        </w:tcPr>
        <w:p w:rsidR="00330D31" w:rsidRPr="002E6C3A" w:rsidRDefault="00330D31" w:rsidP="00F07C91">
          <w:pPr>
            <w:jc w:val="center"/>
            <w:rPr>
              <w:b/>
              <w:sz w:val="22"/>
            </w:rPr>
          </w:pPr>
        </w:p>
      </w:tc>
      <w:tc>
        <w:tcPr>
          <w:tcW w:w="4814" w:type="dxa"/>
          <w:shd w:val="clear" w:color="auto" w:fill="auto"/>
        </w:tcPr>
        <w:p w:rsidR="00330D31" w:rsidRPr="002E6C3A" w:rsidRDefault="00330D31" w:rsidP="00F07C91">
          <w:pPr>
            <w:jc w:val="center"/>
            <w:rPr>
              <w:b/>
              <w:sz w:val="22"/>
            </w:rPr>
          </w:pPr>
        </w:p>
      </w:tc>
    </w:tr>
  </w:tbl>
  <w:p w:rsidR="00330D31" w:rsidRPr="0067770B" w:rsidRDefault="00330D31">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616DA" w:rsidRDefault="003616DA" w:rsidP="008E5875">
      <w:pPr>
        <w:spacing w:before="0" w:line="240" w:lineRule="auto"/>
      </w:pPr>
      <w:r>
        <w:separator/>
      </w:r>
    </w:p>
  </w:footnote>
  <w:footnote w:type="continuationSeparator" w:id="0">
    <w:p w:rsidR="003616DA" w:rsidRDefault="003616DA" w:rsidP="008E5875">
      <w:pPr>
        <w:spacing w:before="0" w:line="240" w:lineRule="auto"/>
      </w:pPr>
      <w:r>
        <w:continuationSeparator/>
      </w:r>
    </w:p>
  </w:footnote>
  <w:footnote w:id="1">
    <w:p w:rsidR="00330D31" w:rsidRPr="00B73ADC" w:rsidRDefault="00330D31">
      <w:pPr>
        <w:pStyle w:val="FootnoteText"/>
        <w:rPr>
          <w:sz w:val="16"/>
          <w:szCs w:val="16"/>
        </w:rPr>
      </w:pPr>
      <w:r w:rsidRPr="00B73ADC">
        <w:rPr>
          <w:rStyle w:val="FootnoteReference"/>
          <w:sz w:val="16"/>
          <w:szCs w:val="16"/>
        </w:rPr>
        <w:footnoteRef/>
      </w:r>
      <w:r w:rsidRPr="00B73ADC">
        <w:rPr>
          <w:sz w:val="16"/>
          <w:szCs w:val="16"/>
        </w:rPr>
        <w:t xml:space="preserve"> Με τις διατάξεις του </w:t>
      </w:r>
      <w:r>
        <w:rPr>
          <w:sz w:val="16"/>
          <w:szCs w:val="16"/>
        </w:rPr>
        <w:t xml:space="preserve">Ν. 4270/14 θεσμοθετήθηκε η κατάρτιση από το Υπουργείο Οικονομικών με έγκριση από την Βουλή του ΜΠΔΣ (2018-21) που στοχεύει στην απεικόνιση της δημοσιονομικής στρατηγικής της γενικής κυβέρνησης, ως ένα ενιαίο σύνολο, σε τετραετή ορίζοντα. Η κατάρτιση και επικαιροποίηση του μεσοπρόθεσμου οικονομικού σχεδιασμού σε κυλιόμενη βάση αποτελεί υποχρέωση όλων των κρατών μελών της Ε.Ε. Στο πλαίσιο αυτό παρουσιάζεται ο μεσοπρόθεσμος οικονομικός σχεδιασμός της χώρας και περιλαμβάνονται τα βασικότερα οικονομικά μεγέθη της γενικής κυβέρνησης, καθώς και οι κυριότερες οικονομικές/ διαθρωτικές πολιτικές σε προτεραιότητα. </w:t>
      </w:r>
    </w:p>
  </w:footnote>
  <w:footnote w:id="2">
    <w:p w:rsidR="00330D31" w:rsidRPr="009C3772" w:rsidRDefault="00330D31" w:rsidP="004E26E5">
      <w:pPr>
        <w:pStyle w:val="FootnoteText"/>
        <w:rPr>
          <w:rFonts w:eastAsia="Times New Roman"/>
          <w:sz w:val="18"/>
          <w:lang w:eastAsia="el-GR"/>
        </w:rPr>
      </w:pPr>
      <w:r w:rsidRPr="00246249">
        <w:rPr>
          <w:rStyle w:val="FootnoteReference"/>
          <w:sz w:val="18"/>
        </w:rPr>
        <w:footnoteRef/>
      </w:r>
      <w:r w:rsidRPr="00246249">
        <w:rPr>
          <w:sz w:val="18"/>
        </w:rPr>
        <w:t xml:space="preserve"> </w:t>
      </w:r>
      <w:hyperlink r:id="rId1" w:history="1">
        <w:r w:rsidRPr="00246249">
          <w:rPr>
            <w:rStyle w:val="Hyperlink"/>
            <w:sz w:val="18"/>
          </w:rPr>
          <w:t>http://metrics.ekt.gr/el/node/378</w:t>
        </w:r>
      </w:hyperlink>
      <w:r w:rsidRPr="009C3772">
        <w:rPr>
          <w:sz w:val="18"/>
        </w:rPr>
        <w:t xml:space="preserve"> </w:t>
      </w:r>
    </w:p>
  </w:footnote>
  <w:footnote w:id="3">
    <w:p w:rsidR="00330D31" w:rsidRDefault="00330D31" w:rsidP="00EB4327">
      <w:pPr>
        <w:pStyle w:val="FootnoteText"/>
      </w:pPr>
      <w:r>
        <w:rPr>
          <w:rStyle w:val="FootnoteReference"/>
        </w:rPr>
        <w:footnoteRef/>
      </w:r>
      <w:r>
        <w:t xml:space="preserve"> </w:t>
      </w:r>
      <w:r w:rsidRPr="00CD6161">
        <w:rPr>
          <w:sz w:val="16"/>
          <w:szCs w:val="16"/>
        </w:rPr>
        <w:t xml:space="preserve">Οι </w:t>
      </w:r>
      <w:r w:rsidRPr="00492BFD">
        <w:rPr>
          <w:sz w:val="16"/>
          <w:szCs w:val="16"/>
          <w:lang w:val="en-GB"/>
        </w:rPr>
        <w:t>Key</w:t>
      </w:r>
      <w:r w:rsidRPr="006B4E03">
        <w:rPr>
          <w:sz w:val="16"/>
          <w:szCs w:val="16"/>
        </w:rPr>
        <w:t xml:space="preserve"> </w:t>
      </w:r>
      <w:r w:rsidRPr="00492BFD">
        <w:rPr>
          <w:sz w:val="16"/>
          <w:szCs w:val="16"/>
          <w:lang w:val="en-GB"/>
        </w:rPr>
        <w:t>Enabling</w:t>
      </w:r>
      <w:r w:rsidRPr="006B4E03">
        <w:rPr>
          <w:sz w:val="16"/>
          <w:szCs w:val="16"/>
        </w:rPr>
        <w:t xml:space="preserve"> </w:t>
      </w:r>
      <w:r w:rsidRPr="00492BFD">
        <w:rPr>
          <w:sz w:val="16"/>
          <w:szCs w:val="16"/>
          <w:lang w:val="en-GB"/>
        </w:rPr>
        <w:t>Technologies</w:t>
      </w:r>
      <w:r w:rsidRPr="006B4E03">
        <w:rPr>
          <w:sz w:val="16"/>
          <w:szCs w:val="16"/>
        </w:rPr>
        <w:t xml:space="preserve"> (</w:t>
      </w:r>
      <w:r w:rsidRPr="00492BFD">
        <w:rPr>
          <w:sz w:val="16"/>
          <w:szCs w:val="16"/>
          <w:lang w:val="en-GB"/>
        </w:rPr>
        <w:t>KETs</w:t>
      </w:r>
      <w:r w:rsidRPr="006B4E03">
        <w:rPr>
          <w:sz w:val="16"/>
          <w:szCs w:val="16"/>
        </w:rPr>
        <w:t>) (</w:t>
      </w:r>
      <w:r w:rsidRPr="00492BFD">
        <w:rPr>
          <w:sz w:val="16"/>
          <w:szCs w:val="16"/>
          <w:lang w:val="en-GB"/>
        </w:rPr>
        <w:t>nanotechnology</w:t>
      </w:r>
      <w:r w:rsidRPr="006B4E03">
        <w:rPr>
          <w:sz w:val="16"/>
          <w:szCs w:val="16"/>
        </w:rPr>
        <w:t xml:space="preserve">, </w:t>
      </w:r>
      <w:r w:rsidRPr="00492BFD">
        <w:rPr>
          <w:sz w:val="16"/>
          <w:szCs w:val="16"/>
          <w:lang w:val="en-GB"/>
        </w:rPr>
        <w:t>micro</w:t>
      </w:r>
      <w:r w:rsidRPr="006B4E03">
        <w:rPr>
          <w:sz w:val="16"/>
          <w:szCs w:val="16"/>
        </w:rPr>
        <w:t>-</w:t>
      </w:r>
      <w:r w:rsidRPr="00492BFD">
        <w:rPr>
          <w:sz w:val="16"/>
          <w:szCs w:val="16"/>
          <w:lang w:val="en-GB"/>
        </w:rPr>
        <w:t>nanoelectronics</w:t>
      </w:r>
      <w:r w:rsidRPr="006B4E03">
        <w:rPr>
          <w:sz w:val="16"/>
          <w:szCs w:val="16"/>
        </w:rPr>
        <w:t xml:space="preserve">, </w:t>
      </w:r>
      <w:r w:rsidRPr="00492BFD">
        <w:rPr>
          <w:sz w:val="16"/>
          <w:szCs w:val="16"/>
          <w:lang w:val="en-GB"/>
        </w:rPr>
        <w:t>industrial</w:t>
      </w:r>
      <w:r w:rsidRPr="006B4E03">
        <w:rPr>
          <w:sz w:val="16"/>
          <w:szCs w:val="16"/>
        </w:rPr>
        <w:t xml:space="preserve"> </w:t>
      </w:r>
      <w:r w:rsidRPr="00492BFD">
        <w:rPr>
          <w:sz w:val="16"/>
          <w:szCs w:val="16"/>
          <w:lang w:val="en-GB"/>
        </w:rPr>
        <w:t>biotechnology</w:t>
      </w:r>
      <w:r w:rsidRPr="006B4E03">
        <w:rPr>
          <w:sz w:val="16"/>
          <w:szCs w:val="16"/>
        </w:rPr>
        <w:t xml:space="preserve">, </w:t>
      </w:r>
      <w:r w:rsidRPr="00492BFD">
        <w:rPr>
          <w:sz w:val="16"/>
          <w:szCs w:val="16"/>
          <w:lang w:val="en-GB"/>
        </w:rPr>
        <w:t>advanced</w:t>
      </w:r>
      <w:r w:rsidRPr="006B4E03">
        <w:rPr>
          <w:sz w:val="16"/>
          <w:szCs w:val="16"/>
        </w:rPr>
        <w:t xml:space="preserve"> </w:t>
      </w:r>
      <w:r w:rsidRPr="00492BFD">
        <w:rPr>
          <w:sz w:val="16"/>
          <w:szCs w:val="16"/>
          <w:lang w:val="en-GB"/>
        </w:rPr>
        <w:t>materials</w:t>
      </w:r>
      <w:r w:rsidRPr="006B4E03">
        <w:rPr>
          <w:sz w:val="16"/>
          <w:szCs w:val="16"/>
        </w:rPr>
        <w:t xml:space="preserve">, </w:t>
      </w:r>
      <w:r w:rsidRPr="00492BFD">
        <w:rPr>
          <w:sz w:val="16"/>
          <w:szCs w:val="16"/>
          <w:lang w:val="en-GB"/>
        </w:rPr>
        <w:t>photonics</w:t>
      </w:r>
      <w:r w:rsidRPr="006B4E03">
        <w:rPr>
          <w:sz w:val="16"/>
          <w:szCs w:val="16"/>
        </w:rPr>
        <w:t xml:space="preserve">, </w:t>
      </w:r>
      <w:r w:rsidRPr="00492BFD">
        <w:rPr>
          <w:sz w:val="16"/>
          <w:szCs w:val="16"/>
          <w:lang w:val="en-GB"/>
        </w:rPr>
        <w:t>advanced</w:t>
      </w:r>
      <w:r w:rsidRPr="006B4E03">
        <w:rPr>
          <w:sz w:val="16"/>
          <w:szCs w:val="16"/>
        </w:rPr>
        <w:t xml:space="preserve"> </w:t>
      </w:r>
      <w:r w:rsidRPr="00492BFD">
        <w:rPr>
          <w:sz w:val="16"/>
          <w:szCs w:val="16"/>
          <w:lang w:val="en-GB"/>
        </w:rPr>
        <w:t>manufacturing</w:t>
      </w:r>
      <w:r w:rsidRPr="006B4E03">
        <w:rPr>
          <w:sz w:val="16"/>
          <w:szCs w:val="16"/>
        </w:rPr>
        <w:t xml:space="preserve"> </w:t>
      </w:r>
      <w:r w:rsidRPr="00492BFD">
        <w:rPr>
          <w:sz w:val="16"/>
          <w:szCs w:val="16"/>
          <w:lang w:val="en-GB"/>
        </w:rPr>
        <w:t>technologies</w:t>
      </w:r>
      <w:r w:rsidRPr="006B4E03">
        <w:rPr>
          <w:sz w:val="16"/>
          <w:szCs w:val="16"/>
        </w:rPr>
        <w:t xml:space="preserve"> και   </w:t>
      </w:r>
      <w:r w:rsidRPr="00492BFD">
        <w:rPr>
          <w:sz w:val="16"/>
          <w:szCs w:val="16"/>
          <w:lang w:val="en-GB"/>
        </w:rPr>
        <w:t>ICT</w:t>
      </w:r>
      <w:r w:rsidRPr="006B4E03">
        <w:rPr>
          <w:sz w:val="16"/>
          <w:szCs w:val="16"/>
        </w:rPr>
        <w:t>)</w:t>
      </w:r>
      <w:r w:rsidRPr="00CD6161">
        <w:rPr>
          <w:sz w:val="16"/>
          <w:szCs w:val="16"/>
        </w:rPr>
        <w:t xml:space="preserve">  αποτελούν κύριες πηγές καινοτομίας, παρέχοντας τα απαραίτητα δομικά στοιχεία για το χτίσιμο της ‘τεχνολογικής ετοιμότητας΄ που θα επιτρέψει την ανάδειξη μιας ευρείας γκάμας εφαρμογών και προϊόντων που ανταποκρίνονται σε κοινωνικές προκλήσεις της εποχής μας &amp; τις παγκόσμιες προκλήσεις του μέλλοντος. Οι KETs συμβάλλουν στην ανάπτυξη καινοτόμων λύσεων που διαπερνούν όλους τους τομείς προτεραιότητας (π.χ. ΤΠΕ, υλικά και κατασκευές, αγροδιατροφή, ενέργεια, μεταφορές, βιοεπιστήμες &amp; υγεία / φάρμακα) και μπορούν να δημιουργήσουν προϋποθέσεις για μια πιο παραγωγική, ανταγωνιστική και αποδοτική ως προς τους ενεργειακούς και άλλους πόρους οικονομία.</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936"/>
      <w:gridCol w:w="5693"/>
    </w:tblGrid>
    <w:tr w:rsidR="00330D31" w:rsidTr="00497054">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5693"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14283" w:type="dxa"/>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936"/>
      <w:gridCol w:w="10347"/>
    </w:tblGrid>
    <w:tr w:rsidR="00330D31" w:rsidTr="001A010E">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10347"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361"/>
      <w:gridCol w:w="5268"/>
    </w:tblGrid>
    <w:tr w:rsidR="00330D31" w:rsidTr="00C9627D">
      <w:tc>
        <w:tcPr>
          <w:tcW w:w="4361" w:type="dxa"/>
          <w:vAlign w:val="center"/>
        </w:tcPr>
        <w:p w:rsidR="00330D31" w:rsidRDefault="00330D31" w:rsidP="00497054">
          <w:pPr>
            <w:pStyle w:val="Header"/>
            <w:jc w:val="left"/>
          </w:pPr>
          <w:r w:rsidRPr="00497054">
            <w:t>Γενική Γραμματεία Έρευνας &amp; Τεχνολογίας</w:t>
          </w:r>
        </w:p>
      </w:tc>
      <w:tc>
        <w:tcPr>
          <w:tcW w:w="5268"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131"/>
      <w:gridCol w:w="6831"/>
    </w:tblGrid>
    <w:tr w:rsidR="00330D31" w:rsidTr="00DB0F8F">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9213"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047"/>
      <w:gridCol w:w="6582"/>
    </w:tblGrid>
    <w:tr w:rsidR="00330D31" w:rsidTr="00DB0F8F">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9213"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936"/>
      <w:gridCol w:w="5693"/>
    </w:tblGrid>
    <w:tr w:rsidR="00330D31" w:rsidTr="00497054">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5693"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3131"/>
      <w:gridCol w:w="6831"/>
    </w:tblGrid>
    <w:tr w:rsidR="00330D31" w:rsidTr="00F6363D">
      <w:tc>
        <w:tcPr>
          <w:tcW w:w="3936" w:type="dxa"/>
          <w:vAlign w:val="center"/>
        </w:tcPr>
        <w:p w:rsidR="00330D31" w:rsidRDefault="00330D31" w:rsidP="00497054">
          <w:pPr>
            <w:pStyle w:val="Header"/>
            <w:jc w:val="left"/>
          </w:pPr>
          <w:r w:rsidRPr="00497054">
            <w:t>Γενική Γραμματεία Έρευνας &amp; Τεχνολογίας</w:t>
          </w:r>
        </w:p>
      </w:tc>
      <w:tc>
        <w:tcPr>
          <w:tcW w:w="9213"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980"/>
      <w:gridCol w:w="6649"/>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10065"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980"/>
      <w:gridCol w:w="6649"/>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10065"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333"/>
      <w:gridCol w:w="7295"/>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17010"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342"/>
      <w:gridCol w:w="7287"/>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16869"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21654" w:type="dxa"/>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17577"/>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17577"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30D31" w:rsidRDefault="00330D31" w:rsidP="00913B2D">
    <w:pPr>
      <w:pStyle w:val="Header"/>
    </w:pPr>
  </w:p>
  <w:tbl>
    <w:tblPr>
      <w:tblStyle w:val="TableGrid"/>
      <w:tblW w:w="0" w:type="auto"/>
      <w:tblBorders>
        <w:top w:val="none" w:sz="0" w:space="0" w:color="auto"/>
        <w:left w:val="none" w:sz="0" w:space="0" w:color="auto"/>
        <w:bottom w:val="single" w:sz="4" w:space="0" w:color="AEAAAA"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4077"/>
      <w:gridCol w:w="5551"/>
    </w:tblGrid>
    <w:tr w:rsidR="00330D31" w:rsidTr="00C9627D">
      <w:tc>
        <w:tcPr>
          <w:tcW w:w="4077" w:type="dxa"/>
          <w:vAlign w:val="center"/>
        </w:tcPr>
        <w:p w:rsidR="00330D31" w:rsidRDefault="00330D31" w:rsidP="00497054">
          <w:pPr>
            <w:pStyle w:val="Header"/>
            <w:jc w:val="left"/>
          </w:pPr>
          <w:r w:rsidRPr="00497054">
            <w:t>Γενική Γραμματεία Έρευνας &amp; Τεχνολογίας</w:t>
          </w:r>
        </w:p>
      </w:tc>
      <w:tc>
        <w:tcPr>
          <w:tcW w:w="5551" w:type="dxa"/>
          <w:vAlign w:val="center"/>
        </w:tcPr>
        <w:p w:rsidR="00330D31" w:rsidRDefault="00330D31" w:rsidP="00497054">
          <w:pPr>
            <w:pStyle w:val="Header"/>
            <w:jc w:val="right"/>
          </w:pPr>
          <w:r w:rsidRPr="00497054">
            <w:t>1η Έκθεση Προόδου της Εθνικής Στρατηγικής Έξυπνης Εξειδίκευσης – Περίοδος 2014-2017</w:t>
          </w:r>
        </w:p>
      </w:tc>
    </w:tr>
  </w:tbl>
  <w:p w:rsidR="00330D31" w:rsidRDefault="00330D31" w:rsidP="00DB0F8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D55BE"/>
    <w:multiLevelType w:val="hybridMultilevel"/>
    <w:tmpl w:val="370662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A1E5968"/>
    <w:multiLevelType w:val="hybridMultilevel"/>
    <w:tmpl w:val="83DCEF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BE0425E"/>
    <w:multiLevelType w:val="hybridMultilevel"/>
    <w:tmpl w:val="4A7CEC48"/>
    <w:lvl w:ilvl="0" w:tplc="DF30EE46">
      <w:start w:val="1"/>
      <w:numFmt w:val="bullet"/>
      <w:pStyle w:val="ListBullet2"/>
      <w:lvlText w:val=""/>
      <w:lvlJc w:val="left"/>
      <w:pPr>
        <w:tabs>
          <w:tab w:val="num" w:pos="492"/>
        </w:tabs>
        <w:ind w:left="492" w:hanging="432"/>
      </w:pPr>
      <w:rPr>
        <w:rFonts w:ascii="Symbol" w:hAnsi="Symbol" w:hint="default"/>
      </w:rPr>
    </w:lvl>
    <w:lvl w:ilvl="1" w:tplc="1DE2A898">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10618E"/>
    <w:multiLevelType w:val="hybridMultilevel"/>
    <w:tmpl w:val="945895C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15:restartNumberingAfterBreak="0">
    <w:nsid w:val="0CB82692"/>
    <w:multiLevelType w:val="multilevel"/>
    <w:tmpl w:val="FE6CFA6A"/>
    <w:lvl w:ilvl="0">
      <w:start w:val="1"/>
      <w:numFmt w:val="decimal"/>
      <w:pStyle w:val="Heading1"/>
      <w:lvlText w:val="%1."/>
      <w:lvlJc w:val="left"/>
      <w:pPr>
        <w:ind w:left="432" w:hanging="432"/>
      </w:pPr>
      <w:rPr>
        <w:rFonts w:ascii="Century Gothic" w:hAnsi="Century Gothic" w:hint="default"/>
        <w:b/>
        <w:i w:val="0"/>
        <w:color w:val="auto"/>
        <w:sz w:val="28"/>
      </w:rPr>
    </w:lvl>
    <w:lvl w:ilvl="1">
      <w:start w:val="1"/>
      <w:numFmt w:val="decimal"/>
      <w:pStyle w:val="Heading2"/>
      <w:lvlText w:val="%1.%2"/>
      <w:lvlJc w:val="left"/>
      <w:pPr>
        <w:ind w:left="576" w:hanging="576"/>
      </w:pPr>
      <w:rPr>
        <w:rFonts w:ascii="Century Gothic" w:hAnsi="Century Gothic" w:hint="default"/>
        <w:b/>
        <w:i w:val="0"/>
        <w:color w:val="auto"/>
        <w:sz w:val="26"/>
      </w:rPr>
    </w:lvl>
    <w:lvl w:ilvl="2">
      <w:start w:val="1"/>
      <w:numFmt w:val="decimal"/>
      <w:pStyle w:val="Heading3"/>
      <w:lvlText w:val="%1.%2.%3"/>
      <w:lvlJc w:val="left"/>
      <w:pPr>
        <w:ind w:left="720" w:hanging="720"/>
      </w:pPr>
      <w:rPr>
        <w:rFonts w:ascii="Century Gothic" w:hAnsi="Century Gothic" w:hint="default"/>
        <w:b/>
        <w:i w:val="0"/>
        <w:sz w:val="22"/>
      </w:rPr>
    </w:lvl>
    <w:lvl w:ilvl="3">
      <w:start w:val="1"/>
      <w:numFmt w:val="decimal"/>
      <w:pStyle w:val="Heading4"/>
      <w:lvlText w:val="%1.%2.%3.%4"/>
      <w:lvlJc w:val="left"/>
      <w:pPr>
        <w:ind w:left="864" w:hanging="864"/>
      </w:pPr>
      <w:rPr>
        <w:rFonts w:ascii="Century Gothic" w:hAnsi="Century Gothic" w:hint="default"/>
        <w:b/>
        <w:i w:val="0"/>
        <w:sz w:val="2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0E4D4C5C"/>
    <w:multiLevelType w:val="hybridMultilevel"/>
    <w:tmpl w:val="642AF51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4234BF"/>
    <w:multiLevelType w:val="hybridMultilevel"/>
    <w:tmpl w:val="A2566F4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3AC665C"/>
    <w:multiLevelType w:val="hybridMultilevel"/>
    <w:tmpl w:val="507C2584"/>
    <w:lvl w:ilvl="0" w:tplc="FFFFFFFF">
      <w:start w:val="1"/>
      <w:numFmt w:val="bullet"/>
      <w:lvlText w:val=""/>
      <w:lvlJc w:val="left"/>
      <w:pPr>
        <w:ind w:left="720" w:hanging="360"/>
      </w:pPr>
      <w:rPr>
        <w:rFonts w:ascii="Symbol" w:hAnsi="Symbol" w:hint="default"/>
        <w:b/>
        <w:i w:val="0"/>
        <w:color w:val="auto"/>
        <w:sz w:val="18"/>
        <w:szCs w:val="18"/>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4860CC5"/>
    <w:multiLevelType w:val="hybridMultilevel"/>
    <w:tmpl w:val="19EA8BE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50D4850"/>
    <w:multiLevelType w:val="multilevel"/>
    <w:tmpl w:val="3E549740"/>
    <w:styleLink w:val="Style1"/>
    <w:lvl w:ilvl="0">
      <w:start w:val="1"/>
      <w:numFmt w:val="upperLetter"/>
      <w:lvlText w:val="ΕΝΟΤΗΤΑ %1:"/>
      <w:lvlJc w:val="left"/>
      <w:pPr>
        <w:ind w:left="1920" w:hanging="360"/>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rPr>
    </w:lvl>
    <w:lvl w:ilvl="1">
      <w:start w:val="1"/>
      <w:numFmt w:val="decimal"/>
      <w:lvlText w:val="Α.%2"/>
      <w:lvlJc w:val="left"/>
      <w:pPr>
        <w:ind w:left="454" w:hanging="454"/>
      </w:pPr>
      <w:rPr>
        <w:rFonts w:hint="default"/>
      </w:rPr>
    </w:lvl>
    <w:lvl w:ilvl="2">
      <w:start w:val="1"/>
      <w:numFmt w:val="decimal"/>
      <w:lvlText w:val="Α.%2.%3"/>
      <w:lvlJc w:val="left"/>
      <w:pPr>
        <w:ind w:left="680" w:hanging="680"/>
      </w:pPr>
      <w:rPr>
        <w:rFonts w:hint="default"/>
      </w:rPr>
    </w:lvl>
    <w:lvl w:ilvl="3">
      <w:start w:val="1"/>
      <w:numFmt w:val="decimal"/>
      <w:lvlText w:val="Α.%2.%3.%4"/>
      <w:lvlJc w:val="left"/>
      <w:pPr>
        <w:ind w:left="737" w:hanging="737"/>
      </w:pPr>
      <w:rPr>
        <w:rFonts w:hint="default"/>
      </w:rPr>
    </w:lvl>
    <w:lvl w:ilvl="4">
      <w:start w:val="1"/>
      <w:numFmt w:val="decimal"/>
      <w:lvlText w:val="Α.%2.%3.%4.%5"/>
      <w:lvlJc w:val="left"/>
      <w:pPr>
        <w:ind w:left="1078" w:hanging="794"/>
      </w:pPr>
      <w:rPr>
        <w:rFonts w:hint="default"/>
        <w:sz w:val="20"/>
        <w:szCs w:val="20"/>
      </w:rPr>
    </w:lvl>
    <w:lvl w:ilvl="5">
      <w:start w:val="1"/>
      <w:numFmt w:val="decimal"/>
      <w:lvlText w:val="Α.%2.%3.%4.%5.%6"/>
      <w:lvlJc w:val="left"/>
      <w:pPr>
        <w:ind w:left="737" w:hanging="737"/>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7D90900"/>
    <w:multiLevelType w:val="hybridMultilevel"/>
    <w:tmpl w:val="D960EE40"/>
    <w:lvl w:ilvl="0" w:tplc="C772F2C0">
      <w:start w:val="1"/>
      <w:numFmt w:val="bullet"/>
      <w:pStyle w:val="ListParagraphlevel2"/>
      <w:lvlText w:val="&gt;"/>
      <w:lvlJc w:val="left"/>
      <w:pPr>
        <w:ind w:left="720" w:hanging="360"/>
      </w:pPr>
      <w:rPr>
        <w:rFonts w:ascii="Calibri" w:hAnsi="Calibri" w:hint="default"/>
        <w:b/>
        <w:bCs w:val="0"/>
        <w:i w:val="0"/>
        <w:iCs w:val="0"/>
        <w:caps w:val="0"/>
        <w:strike w:val="0"/>
        <w:dstrike w:val="0"/>
        <w:outline w:val="0"/>
        <w:shadow w:val="0"/>
        <w:emboss w:val="0"/>
        <w:imprint w:val="0"/>
        <w:vanish w:val="0"/>
        <w:color w:val="7F7F7F"/>
        <w:spacing w:val="0"/>
        <w:kern w:val="0"/>
        <w:position w:val="0"/>
        <w:sz w:val="26"/>
        <w:szCs w:val="26"/>
        <w:u w:val="none"/>
        <w:effect w:val="none"/>
        <w:vertAlign w:val="baseline"/>
        <w:em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1B397D03"/>
    <w:multiLevelType w:val="hybridMultilevel"/>
    <w:tmpl w:val="4BA2EA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1FAE1EAC"/>
    <w:multiLevelType w:val="hybridMultilevel"/>
    <w:tmpl w:val="7F8CAC6A"/>
    <w:lvl w:ilvl="0" w:tplc="A0789B34">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25572726"/>
    <w:multiLevelType w:val="hybridMultilevel"/>
    <w:tmpl w:val="50461E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5636F69"/>
    <w:multiLevelType w:val="hybridMultilevel"/>
    <w:tmpl w:val="8DF81072"/>
    <w:lvl w:ilvl="0" w:tplc="57EA44D0">
      <w:start w:val="1"/>
      <w:numFmt w:val="bullet"/>
      <w:pStyle w:val="ListBullet"/>
      <w:lvlText w:val=""/>
      <w:lvlJc w:val="left"/>
      <w:pPr>
        <w:ind w:left="360" w:hanging="360"/>
      </w:pPr>
      <w:rPr>
        <w:rFonts w:ascii="Wingdings" w:hAnsi="Wingdings" w:hint="default"/>
        <w:b w:val="0"/>
        <w:i w:val="0"/>
        <w:caps w:val="0"/>
        <w:strike w:val="0"/>
        <w:dstrike w:val="0"/>
        <w:vanish w:val="0"/>
        <w:color w:val="990000"/>
        <w:spacing w:val="0"/>
        <w:w w:val="100"/>
        <w:position w:val="0"/>
        <w:sz w:val="24"/>
        <w:u w:val="none"/>
        <w:vertAlign w:val="baseline"/>
      </w:rPr>
    </w:lvl>
    <w:lvl w:ilvl="1" w:tplc="04080003">
      <w:start w:val="1"/>
      <w:numFmt w:val="bullet"/>
      <w:lvlText w:val="o"/>
      <w:lvlJc w:val="left"/>
      <w:pPr>
        <w:ind w:left="1552" w:hanging="360"/>
      </w:pPr>
      <w:rPr>
        <w:rFonts w:ascii="Courier New" w:hAnsi="Courier New" w:cs="Courier New" w:hint="default"/>
      </w:rPr>
    </w:lvl>
    <w:lvl w:ilvl="2" w:tplc="04080005">
      <w:start w:val="1"/>
      <w:numFmt w:val="bullet"/>
      <w:lvlText w:val=""/>
      <w:lvlJc w:val="left"/>
      <w:pPr>
        <w:ind w:left="2272" w:hanging="360"/>
      </w:pPr>
      <w:rPr>
        <w:rFonts w:ascii="Wingdings" w:hAnsi="Wingdings" w:hint="default"/>
      </w:rPr>
    </w:lvl>
    <w:lvl w:ilvl="3" w:tplc="04080001">
      <w:start w:val="1"/>
      <w:numFmt w:val="bullet"/>
      <w:lvlText w:val=""/>
      <w:lvlJc w:val="left"/>
      <w:pPr>
        <w:ind w:left="2992" w:hanging="360"/>
      </w:pPr>
      <w:rPr>
        <w:rFonts w:ascii="Symbol" w:hAnsi="Symbol" w:hint="default"/>
      </w:rPr>
    </w:lvl>
    <w:lvl w:ilvl="4" w:tplc="04080003" w:tentative="1">
      <w:start w:val="1"/>
      <w:numFmt w:val="bullet"/>
      <w:lvlText w:val="o"/>
      <w:lvlJc w:val="left"/>
      <w:pPr>
        <w:ind w:left="3712" w:hanging="360"/>
      </w:pPr>
      <w:rPr>
        <w:rFonts w:ascii="Courier New" w:hAnsi="Courier New" w:cs="Courier New" w:hint="default"/>
      </w:rPr>
    </w:lvl>
    <w:lvl w:ilvl="5" w:tplc="04080005" w:tentative="1">
      <w:start w:val="1"/>
      <w:numFmt w:val="bullet"/>
      <w:lvlText w:val=""/>
      <w:lvlJc w:val="left"/>
      <w:pPr>
        <w:ind w:left="4432" w:hanging="360"/>
      </w:pPr>
      <w:rPr>
        <w:rFonts w:ascii="Wingdings" w:hAnsi="Wingdings" w:hint="default"/>
      </w:rPr>
    </w:lvl>
    <w:lvl w:ilvl="6" w:tplc="04080001" w:tentative="1">
      <w:start w:val="1"/>
      <w:numFmt w:val="bullet"/>
      <w:lvlText w:val=""/>
      <w:lvlJc w:val="left"/>
      <w:pPr>
        <w:ind w:left="5152" w:hanging="360"/>
      </w:pPr>
      <w:rPr>
        <w:rFonts w:ascii="Symbol" w:hAnsi="Symbol" w:hint="default"/>
      </w:rPr>
    </w:lvl>
    <w:lvl w:ilvl="7" w:tplc="04080003" w:tentative="1">
      <w:start w:val="1"/>
      <w:numFmt w:val="bullet"/>
      <w:lvlText w:val="o"/>
      <w:lvlJc w:val="left"/>
      <w:pPr>
        <w:ind w:left="5872" w:hanging="360"/>
      </w:pPr>
      <w:rPr>
        <w:rFonts w:ascii="Courier New" w:hAnsi="Courier New" w:cs="Courier New" w:hint="default"/>
      </w:rPr>
    </w:lvl>
    <w:lvl w:ilvl="8" w:tplc="04080005" w:tentative="1">
      <w:start w:val="1"/>
      <w:numFmt w:val="bullet"/>
      <w:lvlText w:val=""/>
      <w:lvlJc w:val="left"/>
      <w:pPr>
        <w:ind w:left="6592" w:hanging="360"/>
      </w:pPr>
      <w:rPr>
        <w:rFonts w:ascii="Wingdings" w:hAnsi="Wingdings" w:hint="default"/>
      </w:rPr>
    </w:lvl>
  </w:abstractNum>
  <w:abstractNum w:abstractNumId="15" w15:restartNumberingAfterBreak="0">
    <w:nsid w:val="2A0F3BD8"/>
    <w:multiLevelType w:val="hybridMultilevel"/>
    <w:tmpl w:val="35AC87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30D87E92"/>
    <w:multiLevelType w:val="hybridMultilevel"/>
    <w:tmpl w:val="83D899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46E0EFC"/>
    <w:multiLevelType w:val="hybridMultilevel"/>
    <w:tmpl w:val="0F8609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3D510BD7"/>
    <w:multiLevelType w:val="hybridMultilevel"/>
    <w:tmpl w:val="6C7642F2"/>
    <w:lvl w:ilvl="0" w:tplc="8BA00D70">
      <w:start w:val="1"/>
      <w:numFmt w:val="decimal"/>
      <w:lvlText w:val="%1."/>
      <w:lvlJc w:val="left"/>
      <w:pPr>
        <w:ind w:left="720" w:hanging="360"/>
      </w:pPr>
      <w:rPr>
        <w:rFonts w:ascii="Century Gothic" w:hAnsi="Century Gothic" w:hint="default"/>
        <w:b w:val="0"/>
        <w:i w:val="0"/>
        <w:sz w:val="18"/>
        <w:szCs w:val="18"/>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3F6B2C23"/>
    <w:multiLevelType w:val="hybridMultilevel"/>
    <w:tmpl w:val="F24E5D7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 w15:restartNumberingAfterBreak="0">
    <w:nsid w:val="45D53E0B"/>
    <w:multiLevelType w:val="hybridMultilevel"/>
    <w:tmpl w:val="069C129E"/>
    <w:lvl w:ilvl="0" w:tplc="41AAA10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46C35EFA"/>
    <w:multiLevelType w:val="hybridMultilevel"/>
    <w:tmpl w:val="E33C3B0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2" w15:restartNumberingAfterBreak="0">
    <w:nsid w:val="4795681A"/>
    <w:multiLevelType w:val="hybridMultilevel"/>
    <w:tmpl w:val="0A3CE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8610834"/>
    <w:multiLevelType w:val="hybridMultilevel"/>
    <w:tmpl w:val="D0FA7E4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4C565255"/>
    <w:multiLevelType w:val="hybridMultilevel"/>
    <w:tmpl w:val="562E97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4CEB08B0"/>
    <w:multiLevelType w:val="hybridMultilevel"/>
    <w:tmpl w:val="DB40E5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4DCE2B70"/>
    <w:multiLevelType w:val="hybridMultilevel"/>
    <w:tmpl w:val="4C1C2DA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7" w15:restartNumberingAfterBreak="0">
    <w:nsid w:val="5178410D"/>
    <w:multiLevelType w:val="hybridMultilevel"/>
    <w:tmpl w:val="99B8D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690236F"/>
    <w:multiLevelType w:val="hybridMultilevel"/>
    <w:tmpl w:val="2E8E72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CF15D3B"/>
    <w:multiLevelType w:val="hybridMultilevel"/>
    <w:tmpl w:val="BDEA2AA0"/>
    <w:lvl w:ilvl="0" w:tplc="04080001">
      <w:start w:val="1"/>
      <w:numFmt w:val="bullet"/>
      <w:lvlText w:val=""/>
      <w:lvlJc w:val="left"/>
      <w:pPr>
        <w:ind w:left="360" w:hanging="360"/>
      </w:pPr>
      <w:rPr>
        <w:rFonts w:ascii="Symbol" w:hAnsi="Symbol" w:hint="default"/>
      </w:r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abstractNum w:abstractNumId="30" w15:restartNumberingAfterBreak="0">
    <w:nsid w:val="5FD54289"/>
    <w:multiLevelType w:val="hybridMultilevel"/>
    <w:tmpl w:val="75AA82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67562AA9"/>
    <w:multiLevelType w:val="hybridMultilevel"/>
    <w:tmpl w:val="98740E2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2" w15:restartNumberingAfterBreak="0">
    <w:nsid w:val="69484735"/>
    <w:multiLevelType w:val="hybridMultilevel"/>
    <w:tmpl w:val="2AE4FB5C"/>
    <w:lvl w:ilvl="0" w:tplc="FE1AE4B2">
      <w:start w:val="1"/>
      <w:numFmt w:val="bullet"/>
      <w:pStyle w:val="bullet1"/>
      <w:lvlText w:val=""/>
      <w:lvlJc w:val="left"/>
      <w:pPr>
        <w:ind w:left="786" w:hanging="360"/>
      </w:pPr>
      <w:rPr>
        <w:rFonts w:ascii="Wingdings" w:hAnsi="Wingdings" w:hint="default"/>
        <w:color w:val="F88D62"/>
        <w:sz w:val="28"/>
        <w:szCs w:val="20"/>
      </w:rPr>
    </w:lvl>
    <w:lvl w:ilvl="1" w:tplc="F31E70CA">
      <w:start w:val="1"/>
      <w:numFmt w:val="bullet"/>
      <w:pStyle w:val="bullet2"/>
      <w:lvlText w:val="o"/>
      <w:lvlJc w:val="left"/>
      <w:pPr>
        <w:ind w:left="1287" w:hanging="360"/>
      </w:pPr>
      <w:rPr>
        <w:rFonts w:ascii="Courier New" w:hAnsi="Courier New" w:cs="Courier New" w:hint="default"/>
        <w:color w:val="F88D62"/>
      </w:rPr>
    </w:lvl>
    <w:lvl w:ilvl="2" w:tplc="7FC06B26">
      <w:numFmt w:val="bullet"/>
      <w:pStyle w:val="bullet3"/>
      <w:lvlText w:val="•"/>
      <w:lvlJc w:val="left"/>
      <w:pPr>
        <w:ind w:left="2007" w:hanging="360"/>
      </w:pPr>
      <w:rPr>
        <w:rFonts w:ascii="Helvetica" w:eastAsia="Calibri" w:hAnsi="Helvetica" w:cs="Helvetica" w:hint="default"/>
        <w:sz w:val="22"/>
      </w:rPr>
    </w:lvl>
    <w:lvl w:ilvl="3" w:tplc="04080001" w:tentative="1">
      <w:start w:val="1"/>
      <w:numFmt w:val="bullet"/>
      <w:lvlText w:val=""/>
      <w:lvlJc w:val="left"/>
      <w:pPr>
        <w:ind w:left="2727" w:hanging="360"/>
      </w:pPr>
      <w:rPr>
        <w:rFonts w:ascii="Symbol" w:hAnsi="Symbol" w:hint="default"/>
      </w:rPr>
    </w:lvl>
    <w:lvl w:ilvl="4" w:tplc="04080003" w:tentative="1">
      <w:start w:val="1"/>
      <w:numFmt w:val="bullet"/>
      <w:lvlText w:val="o"/>
      <w:lvlJc w:val="left"/>
      <w:pPr>
        <w:ind w:left="3447" w:hanging="360"/>
      </w:pPr>
      <w:rPr>
        <w:rFonts w:ascii="Courier New" w:hAnsi="Courier New" w:cs="Courier New" w:hint="default"/>
      </w:rPr>
    </w:lvl>
    <w:lvl w:ilvl="5" w:tplc="04080005" w:tentative="1">
      <w:start w:val="1"/>
      <w:numFmt w:val="bullet"/>
      <w:lvlText w:val=""/>
      <w:lvlJc w:val="left"/>
      <w:pPr>
        <w:ind w:left="4167" w:hanging="360"/>
      </w:pPr>
      <w:rPr>
        <w:rFonts w:ascii="Wingdings" w:hAnsi="Wingdings" w:hint="default"/>
      </w:rPr>
    </w:lvl>
    <w:lvl w:ilvl="6" w:tplc="04080001" w:tentative="1">
      <w:start w:val="1"/>
      <w:numFmt w:val="bullet"/>
      <w:lvlText w:val=""/>
      <w:lvlJc w:val="left"/>
      <w:pPr>
        <w:ind w:left="4887" w:hanging="360"/>
      </w:pPr>
      <w:rPr>
        <w:rFonts w:ascii="Symbol" w:hAnsi="Symbol" w:hint="default"/>
      </w:rPr>
    </w:lvl>
    <w:lvl w:ilvl="7" w:tplc="04080003" w:tentative="1">
      <w:start w:val="1"/>
      <w:numFmt w:val="bullet"/>
      <w:lvlText w:val="o"/>
      <w:lvlJc w:val="left"/>
      <w:pPr>
        <w:ind w:left="5607" w:hanging="360"/>
      </w:pPr>
      <w:rPr>
        <w:rFonts w:ascii="Courier New" w:hAnsi="Courier New" w:cs="Courier New" w:hint="default"/>
      </w:rPr>
    </w:lvl>
    <w:lvl w:ilvl="8" w:tplc="04080005" w:tentative="1">
      <w:start w:val="1"/>
      <w:numFmt w:val="bullet"/>
      <w:lvlText w:val=""/>
      <w:lvlJc w:val="left"/>
      <w:pPr>
        <w:ind w:left="6327" w:hanging="360"/>
      </w:pPr>
      <w:rPr>
        <w:rFonts w:ascii="Wingdings" w:hAnsi="Wingdings" w:hint="default"/>
      </w:rPr>
    </w:lvl>
  </w:abstractNum>
  <w:abstractNum w:abstractNumId="33" w15:restartNumberingAfterBreak="0">
    <w:nsid w:val="6C140DDC"/>
    <w:multiLevelType w:val="hybridMultilevel"/>
    <w:tmpl w:val="2E140A60"/>
    <w:lvl w:ilvl="0" w:tplc="81A4DA4A">
      <w:numFmt w:val="bullet"/>
      <w:pStyle w:val="ListParagraph"/>
      <w:lvlText w:val="•"/>
      <w:lvlJc w:val="left"/>
      <w:pPr>
        <w:ind w:left="1080" w:hanging="720"/>
      </w:pPr>
      <w:rPr>
        <w:rFonts w:ascii="Century Gothic" w:eastAsia="Calibri"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5CB385C"/>
    <w:multiLevelType w:val="hybridMultilevel"/>
    <w:tmpl w:val="C756C6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76AC7A0B"/>
    <w:multiLevelType w:val="hybridMultilevel"/>
    <w:tmpl w:val="7548E6B0"/>
    <w:lvl w:ilvl="0" w:tplc="FFFFFFFF">
      <w:start w:val="1"/>
      <w:numFmt w:val="decimal"/>
      <w:pStyle w:val="StyleSxima"/>
      <w:lvlText w:val="Σχήμα %1:"/>
      <w:lvlJc w:val="center"/>
      <w:pPr>
        <w:tabs>
          <w:tab w:val="num" w:pos="1134"/>
        </w:tabs>
        <w:ind w:left="1134" w:hanging="680"/>
      </w:pPr>
      <w:rPr>
        <w:rFonts w:ascii="Book Antiqua" w:hAnsi="Book Antiqua" w:hint="default"/>
        <w:b/>
        <w:i w:val="0"/>
        <w:sz w:val="20"/>
      </w:rPr>
    </w:lvl>
    <w:lvl w:ilvl="1" w:tplc="FFFFFFFF">
      <w:start w:val="1"/>
      <w:numFmt w:val="bullet"/>
      <w:lvlText w:val=""/>
      <w:lvlJc w:val="left"/>
      <w:pPr>
        <w:tabs>
          <w:tab w:val="num" w:pos="1440"/>
        </w:tabs>
        <w:ind w:left="1440" w:hanging="360"/>
      </w:pPr>
      <w:rPr>
        <w:rFonts w:ascii="Symbol" w:hAnsi="Symbol" w:hint="default"/>
        <w:b/>
        <w:i w:val="0"/>
        <w:color w:val="auto"/>
        <w:sz w:val="18"/>
        <w:szCs w:val="18"/>
      </w:rPr>
    </w:lvl>
    <w:lvl w:ilvl="2" w:tplc="FFFFFFFF">
      <w:start w:val="1"/>
      <w:numFmt w:val="decimal"/>
      <w:lvlText w:val="%3."/>
      <w:lvlJc w:val="left"/>
      <w:pPr>
        <w:tabs>
          <w:tab w:val="num" w:pos="2700"/>
        </w:tabs>
        <w:ind w:left="2700" w:hanging="72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7BAD68DF"/>
    <w:multiLevelType w:val="hybridMultilevel"/>
    <w:tmpl w:val="332ECEB0"/>
    <w:lvl w:ilvl="0" w:tplc="FFFFFFFF">
      <w:start w:val="1"/>
      <w:numFmt w:val="bullet"/>
      <w:lvlText w:val=""/>
      <w:lvlJc w:val="left"/>
      <w:pPr>
        <w:ind w:left="720" w:hanging="360"/>
      </w:pPr>
      <w:rPr>
        <w:rFonts w:ascii="Symbol" w:hAnsi="Symbol" w:hint="default"/>
        <w:b/>
        <w:i w:val="0"/>
        <w:color w:val="auto"/>
        <w:sz w:val="18"/>
        <w:szCs w:val="18"/>
      </w:rPr>
    </w:lvl>
    <w:lvl w:ilvl="1" w:tplc="CBEEDFE4">
      <w:numFmt w:val="bullet"/>
      <w:lvlText w:val="•"/>
      <w:lvlJc w:val="left"/>
      <w:pPr>
        <w:ind w:left="1800" w:hanging="720"/>
      </w:pPr>
      <w:rPr>
        <w:rFonts w:ascii="Century Gothic" w:eastAsia="Calibri" w:hAnsi="Century Gothic"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D07565F"/>
    <w:multiLevelType w:val="hybridMultilevel"/>
    <w:tmpl w:val="6B90CAEA"/>
    <w:lvl w:ilvl="0" w:tplc="04080001">
      <w:start w:val="1"/>
      <w:numFmt w:val="bullet"/>
      <w:lvlText w:val=""/>
      <w:lvlJc w:val="left"/>
      <w:pPr>
        <w:ind w:left="720" w:hanging="360"/>
      </w:pPr>
      <w:rPr>
        <w:rFonts w:ascii="Symbol" w:hAnsi="Symbol" w:hint="default"/>
      </w:rPr>
    </w:lvl>
    <w:lvl w:ilvl="1" w:tplc="243ED9AA">
      <w:start w:val="7"/>
      <w:numFmt w:val="bullet"/>
      <w:lvlText w:val="-"/>
      <w:lvlJc w:val="left"/>
      <w:pPr>
        <w:ind w:left="1440" w:hanging="360"/>
      </w:pPr>
      <w:rPr>
        <w:rFonts w:ascii="Century Gothic" w:eastAsia="Calibri" w:hAnsi="Century Gothic"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D253AEA"/>
    <w:multiLevelType w:val="hybridMultilevel"/>
    <w:tmpl w:val="E95860CA"/>
    <w:lvl w:ilvl="0" w:tplc="04080003">
      <w:start w:val="1"/>
      <w:numFmt w:val="bullet"/>
      <w:lvlText w:val="o"/>
      <w:lvlJc w:val="left"/>
      <w:pPr>
        <w:ind w:left="1080" w:hanging="360"/>
      </w:pPr>
      <w:rPr>
        <w:rFonts w:ascii="Courier New" w:hAnsi="Courier New" w:cs="Courier New"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9" w15:restartNumberingAfterBreak="0">
    <w:nsid w:val="7DB25DED"/>
    <w:multiLevelType w:val="multilevel"/>
    <w:tmpl w:val="7F566A32"/>
    <w:lvl w:ilvl="0">
      <w:start w:val="1"/>
      <w:numFmt w:val="upperLetter"/>
      <w:pStyle w:val="Title"/>
      <w:lvlText w:val="ΕΝΟΤΗΤΑ %1:"/>
      <w:lvlJc w:val="left"/>
      <w:pPr>
        <w:ind w:left="1920" w:hanging="360"/>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rPr>
    </w:lvl>
    <w:lvl w:ilvl="1">
      <w:start w:val="1"/>
      <w:numFmt w:val="decimal"/>
      <w:lvlText w:val="Α.%2"/>
      <w:lvlJc w:val="left"/>
      <w:pPr>
        <w:ind w:left="454" w:hanging="454"/>
      </w:pPr>
      <w:rPr>
        <w:rFonts w:hint="default"/>
      </w:rPr>
    </w:lvl>
    <w:lvl w:ilvl="2">
      <w:start w:val="1"/>
      <w:numFmt w:val="decimal"/>
      <w:lvlText w:val="Α.%2.%3"/>
      <w:lvlJc w:val="left"/>
      <w:pPr>
        <w:ind w:left="680" w:hanging="680"/>
      </w:pPr>
      <w:rPr>
        <w:rFonts w:hint="default"/>
      </w:rPr>
    </w:lvl>
    <w:lvl w:ilvl="3">
      <w:start w:val="1"/>
      <w:numFmt w:val="decimal"/>
      <w:lvlText w:val="Α.%2.%3.%4"/>
      <w:lvlJc w:val="left"/>
      <w:pPr>
        <w:ind w:left="737" w:hanging="737"/>
      </w:pPr>
      <w:rPr>
        <w:rFonts w:hint="default"/>
      </w:rPr>
    </w:lvl>
    <w:lvl w:ilvl="4">
      <w:start w:val="1"/>
      <w:numFmt w:val="decimal"/>
      <w:lvlText w:val="Α.%2.%3.%4.%5"/>
      <w:lvlJc w:val="left"/>
      <w:pPr>
        <w:ind w:left="794" w:hanging="794"/>
      </w:pPr>
      <w:rPr>
        <w:rFonts w:hint="default"/>
        <w:sz w:val="20"/>
        <w:szCs w:val="20"/>
      </w:rPr>
    </w:lvl>
    <w:lvl w:ilvl="5">
      <w:start w:val="1"/>
      <w:numFmt w:val="decimal"/>
      <w:lvlText w:val="Α.%2.%3.%4.%5.%6"/>
      <w:lvlJc w:val="left"/>
      <w:pPr>
        <w:ind w:left="737" w:hanging="737"/>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7E1C3C54"/>
    <w:multiLevelType w:val="hybridMultilevel"/>
    <w:tmpl w:val="202A51C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1" w15:restartNumberingAfterBreak="0">
    <w:nsid w:val="7F942E95"/>
    <w:multiLevelType w:val="hybridMultilevel"/>
    <w:tmpl w:val="FAA67460"/>
    <w:styleLink w:val="Style1BulletedDarkRed3"/>
    <w:lvl w:ilvl="0" w:tplc="FBD26F08">
      <w:start w:val="1"/>
      <w:numFmt w:val="bullet"/>
      <w:pStyle w:val="ullet2"/>
      <w:lvlText w:val=""/>
      <w:lvlJc w:val="left"/>
      <w:pPr>
        <w:ind w:left="360" w:hanging="360"/>
      </w:pPr>
      <w:rPr>
        <w:rFonts w:ascii="Wingdings" w:hAnsi="Wingdings" w:hint="default"/>
        <w:color w:val="800000"/>
      </w:rPr>
    </w:lvl>
    <w:lvl w:ilvl="1" w:tplc="04080003">
      <w:start w:val="1"/>
      <w:numFmt w:val="bullet"/>
      <w:lvlText w:val="o"/>
      <w:lvlJc w:val="left"/>
      <w:pPr>
        <w:ind w:left="2160" w:hanging="360"/>
      </w:pPr>
      <w:rPr>
        <w:rFonts w:ascii="Courier New" w:hAnsi="Courier New" w:cs="Courier New" w:hint="default"/>
      </w:rPr>
    </w:lvl>
    <w:lvl w:ilvl="2" w:tplc="04080005">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num w:numId="1">
    <w:abstractNumId w:val="9"/>
  </w:num>
  <w:num w:numId="2">
    <w:abstractNumId w:val="39"/>
  </w:num>
  <w:num w:numId="3">
    <w:abstractNumId w:val="35"/>
  </w:num>
  <w:num w:numId="4">
    <w:abstractNumId w:val="14"/>
  </w:num>
  <w:num w:numId="5">
    <w:abstractNumId w:val="2"/>
  </w:num>
  <w:num w:numId="6">
    <w:abstractNumId w:val="32"/>
  </w:num>
  <w:num w:numId="7">
    <w:abstractNumId w:val="41"/>
  </w:num>
  <w:num w:numId="8">
    <w:abstractNumId w:val="10"/>
  </w:num>
  <w:num w:numId="9">
    <w:abstractNumId w:val="4"/>
  </w:num>
  <w:num w:numId="10">
    <w:abstractNumId w:val="37"/>
  </w:num>
  <w:num w:numId="11">
    <w:abstractNumId w:val="25"/>
  </w:num>
  <w:num w:numId="12">
    <w:abstractNumId w:val="11"/>
  </w:num>
  <w:num w:numId="13">
    <w:abstractNumId w:val="23"/>
  </w:num>
  <w:num w:numId="14">
    <w:abstractNumId w:val="15"/>
  </w:num>
  <w:num w:numId="15">
    <w:abstractNumId w:val="13"/>
  </w:num>
  <w:num w:numId="16">
    <w:abstractNumId w:val="17"/>
  </w:num>
  <w:num w:numId="17">
    <w:abstractNumId w:val="1"/>
  </w:num>
  <w:num w:numId="18">
    <w:abstractNumId w:val="26"/>
  </w:num>
  <w:num w:numId="19">
    <w:abstractNumId w:val="36"/>
  </w:num>
  <w:num w:numId="20">
    <w:abstractNumId w:val="20"/>
  </w:num>
  <w:num w:numId="21">
    <w:abstractNumId w:val="12"/>
  </w:num>
  <w:num w:numId="22">
    <w:abstractNumId w:val="29"/>
  </w:num>
  <w:num w:numId="23">
    <w:abstractNumId w:val="22"/>
  </w:num>
  <w:num w:numId="24">
    <w:abstractNumId w:val="5"/>
  </w:num>
  <w:num w:numId="25">
    <w:abstractNumId w:val="27"/>
  </w:num>
  <w:num w:numId="26">
    <w:abstractNumId w:val="30"/>
  </w:num>
  <w:num w:numId="27">
    <w:abstractNumId w:val="0"/>
  </w:num>
  <w:num w:numId="28">
    <w:abstractNumId w:val="16"/>
  </w:num>
  <w:num w:numId="29">
    <w:abstractNumId w:val="18"/>
  </w:num>
  <w:num w:numId="30">
    <w:abstractNumId w:val="34"/>
  </w:num>
  <w:num w:numId="31">
    <w:abstractNumId w:val="24"/>
  </w:num>
  <w:num w:numId="32">
    <w:abstractNumId w:val="7"/>
  </w:num>
  <w:num w:numId="33">
    <w:abstractNumId w:val="38"/>
  </w:num>
  <w:num w:numId="34">
    <w:abstractNumId w:val="21"/>
  </w:num>
  <w:num w:numId="35">
    <w:abstractNumId w:val="40"/>
  </w:num>
  <w:num w:numId="36">
    <w:abstractNumId w:val="31"/>
  </w:num>
  <w:num w:numId="37">
    <w:abstractNumId w:val="3"/>
  </w:num>
  <w:num w:numId="38">
    <w:abstractNumId w:val="28"/>
  </w:num>
  <w:num w:numId="39">
    <w:abstractNumId w:val="33"/>
  </w:num>
  <w:num w:numId="40">
    <w:abstractNumId w:val="33"/>
  </w:num>
  <w:num w:numId="41">
    <w:abstractNumId w:val="33"/>
  </w:num>
  <w:num w:numId="42">
    <w:abstractNumId w:val="33"/>
  </w:num>
  <w:num w:numId="43">
    <w:abstractNumId w:val="33"/>
  </w:num>
  <w:num w:numId="44">
    <w:abstractNumId w:val="6"/>
  </w:num>
  <w:num w:numId="45">
    <w:abstractNumId w:val="19"/>
  </w:num>
  <w:num w:numId="46">
    <w:abstractNumId w:val="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hideGrammatical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E5875"/>
    <w:rsid w:val="00003238"/>
    <w:rsid w:val="0000404B"/>
    <w:rsid w:val="00004D5A"/>
    <w:rsid w:val="00005818"/>
    <w:rsid w:val="00013C19"/>
    <w:rsid w:val="00026FF4"/>
    <w:rsid w:val="0003032C"/>
    <w:rsid w:val="00031D0E"/>
    <w:rsid w:val="00031DB3"/>
    <w:rsid w:val="00033C46"/>
    <w:rsid w:val="00040A3A"/>
    <w:rsid w:val="00045378"/>
    <w:rsid w:val="000474BF"/>
    <w:rsid w:val="0005598D"/>
    <w:rsid w:val="000610CF"/>
    <w:rsid w:val="00066905"/>
    <w:rsid w:val="00067EE2"/>
    <w:rsid w:val="00071F87"/>
    <w:rsid w:val="00077986"/>
    <w:rsid w:val="0009077B"/>
    <w:rsid w:val="00094FD6"/>
    <w:rsid w:val="000A58EF"/>
    <w:rsid w:val="000A5F8E"/>
    <w:rsid w:val="000B5AD2"/>
    <w:rsid w:val="000C012F"/>
    <w:rsid w:val="000C3521"/>
    <w:rsid w:val="000E2AA0"/>
    <w:rsid w:val="000E33EE"/>
    <w:rsid w:val="000E6F23"/>
    <w:rsid w:val="000F1971"/>
    <w:rsid w:val="000F1A64"/>
    <w:rsid w:val="00104BC8"/>
    <w:rsid w:val="0011315C"/>
    <w:rsid w:val="00114124"/>
    <w:rsid w:val="001220E1"/>
    <w:rsid w:val="00132968"/>
    <w:rsid w:val="00134659"/>
    <w:rsid w:val="00135743"/>
    <w:rsid w:val="00135C62"/>
    <w:rsid w:val="00137C5D"/>
    <w:rsid w:val="0014374A"/>
    <w:rsid w:val="001706E4"/>
    <w:rsid w:val="001725FC"/>
    <w:rsid w:val="00175190"/>
    <w:rsid w:val="001752A7"/>
    <w:rsid w:val="00181E70"/>
    <w:rsid w:val="00191F77"/>
    <w:rsid w:val="00193D0F"/>
    <w:rsid w:val="001A010E"/>
    <w:rsid w:val="001A22D1"/>
    <w:rsid w:val="001A4C3D"/>
    <w:rsid w:val="001A6EDA"/>
    <w:rsid w:val="001A7F75"/>
    <w:rsid w:val="001B2C96"/>
    <w:rsid w:val="001B2DD1"/>
    <w:rsid w:val="001B79CF"/>
    <w:rsid w:val="001B7E9E"/>
    <w:rsid w:val="001C2425"/>
    <w:rsid w:val="001C30F7"/>
    <w:rsid w:val="001C7391"/>
    <w:rsid w:val="001D41DD"/>
    <w:rsid w:val="001D47E9"/>
    <w:rsid w:val="001D742B"/>
    <w:rsid w:val="001E3922"/>
    <w:rsid w:val="00202712"/>
    <w:rsid w:val="00220CEB"/>
    <w:rsid w:val="002335DD"/>
    <w:rsid w:val="0023773B"/>
    <w:rsid w:val="002428B9"/>
    <w:rsid w:val="00246249"/>
    <w:rsid w:val="002500DB"/>
    <w:rsid w:val="00257C91"/>
    <w:rsid w:val="0026685F"/>
    <w:rsid w:val="00266DBB"/>
    <w:rsid w:val="00271818"/>
    <w:rsid w:val="002760D9"/>
    <w:rsid w:val="002838A6"/>
    <w:rsid w:val="00287BD7"/>
    <w:rsid w:val="002906B4"/>
    <w:rsid w:val="002A0499"/>
    <w:rsid w:val="002B247F"/>
    <w:rsid w:val="002B3D16"/>
    <w:rsid w:val="002D65AC"/>
    <w:rsid w:val="00303B3A"/>
    <w:rsid w:val="00303C13"/>
    <w:rsid w:val="00305C7F"/>
    <w:rsid w:val="003078EE"/>
    <w:rsid w:val="00316B45"/>
    <w:rsid w:val="00323844"/>
    <w:rsid w:val="0033076B"/>
    <w:rsid w:val="00330D31"/>
    <w:rsid w:val="00331CFC"/>
    <w:rsid w:val="00332E24"/>
    <w:rsid w:val="00336A10"/>
    <w:rsid w:val="00337301"/>
    <w:rsid w:val="00342978"/>
    <w:rsid w:val="00344CF9"/>
    <w:rsid w:val="00346EC6"/>
    <w:rsid w:val="003477A0"/>
    <w:rsid w:val="003616DA"/>
    <w:rsid w:val="00361A05"/>
    <w:rsid w:val="00362794"/>
    <w:rsid w:val="003632D5"/>
    <w:rsid w:val="003667A1"/>
    <w:rsid w:val="00370C56"/>
    <w:rsid w:val="00370EED"/>
    <w:rsid w:val="00373726"/>
    <w:rsid w:val="003770DC"/>
    <w:rsid w:val="00381BC6"/>
    <w:rsid w:val="0038573F"/>
    <w:rsid w:val="0038602C"/>
    <w:rsid w:val="0039173C"/>
    <w:rsid w:val="003970DC"/>
    <w:rsid w:val="00397ACE"/>
    <w:rsid w:val="003A7437"/>
    <w:rsid w:val="003A7BEE"/>
    <w:rsid w:val="003B14A3"/>
    <w:rsid w:val="003B1D04"/>
    <w:rsid w:val="003C7591"/>
    <w:rsid w:val="003D021E"/>
    <w:rsid w:val="003D1916"/>
    <w:rsid w:val="003D1BCA"/>
    <w:rsid w:val="003D3105"/>
    <w:rsid w:val="003E7153"/>
    <w:rsid w:val="00400EF4"/>
    <w:rsid w:val="00404268"/>
    <w:rsid w:val="00405FD0"/>
    <w:rsid w:val="00411411"/>
    <w:rsid w:val="00431088"/>
    <w:rsid w:val="00431760"/>
    <w:rsid w:val="00435055"/>
    <w:rsid w:val="004440D8"/>
    <w:rsid w:val="0044610A"/>
    <w:rsid w:val="0044681F"/>
    <w:rsid w:val="00447512"/>
    <w:rsid w:val="00450C14"/>
    <w:rsid w:val="0046291B"/>
    <w:rsid w:val="00463D74"/>
    <w:rsid w:val="00471043"/>
    <w:rsid w:val="00472598"/>
    <w:rsid w:val="00473EE4"/>
    <w:rsid w:val="00480A65"/>
    <w:rsid w:val="00483515"/>
    <w:rsid w:val="00483B86"/>
    <w:rsid w:val="00492BFD"/>
    <w:rsid w:val="00494216"/>
    <w:rsid w:val="00495104"/>
    <w:rsid w:val="00496A53"/>
    <w:rsid w:val="00497054"/>
    <w:rsid w:val="004B057B"/>
    <w:rsid w:val="004B753A"/>
    <w:rsid w:val="004D30B3"/>
    <w:rsid w:val="004D56F7"/>
    <w:rsid w:val="004D6290"/>
    <w:rsid w:val="004D752D"/>
    <w:rsid w:val="004E26E5"/>
    <w:rsid w:val="004E7006"/>
    <w:rsid w:val="004F551F"/>
    <w:rsid w:val="004F7719"/>
    <w:rsid w:val="00500CB8"/>
    <w:rsid w:val="005062D2"/>
    <w:rsid w:val="00507525"/>
    <w:rsid w:val="00515E6C"/>
    <w:rsid w:val="00517E1B"/>
    <w:rsid w:val="0052042E"/>
    <w:rsid w:val="00522858"/>
    <w:rsid w:val="00537A79"/>
    <w:rsid w:val="00543DA9"/>
    <w:rsid w:val="0054602A"/>
    <w:rsid w:val="005476F0"/>
    <w:rsid w:val="005556AE"/>
    <w:rsid w:val="00557C92"/>
    <w:rsid w:val="00561137"/>
    <w:rsid w:val="0056124B"/>
    <w:rsid w:val="005669D2"/>
    <w:rsid w:val="0056774A"/>
    <w:rsid w:val="0057426E"/>
    <w:rsid w:val="00576EF0"/>
    <w:rsid w:val="005824C4"/>
    <w:rsid w:val="00587C7D"/>
    <w:rsid w:val="00594818"/>
    <w:rsid w:val="005A3029"/>
    <w:rsid w:val="005B3D3A"/>
    <w:rsid w:val="005C07FC"/>
    <w:rsid w:val="005C12E2"/>
    <w:rsid w:val="005C735D"/>
    <w:rsid w:val="005D07E8"/>
    <w:rsid w:val="005D0EE6"/>
    <w:rsid w:val="005D4783"/>
    <w:rsid w:val="005E4F27"/>
    <w:rsid w:val="005F1439"/>
    <w:rsid w:val="005F1DE3"/>
    <w:rsid w:val="005F5D19"/>
    <w:rsid w:val="00600820"/>
    <w:rsid w:val="00602E3D"/>
    <w:rsid w:val="00604D8F"/>
    <w:rsid w:val="00610A4C"/>
    <w:rsid w:val="0061319E"/>
    <w:rsid w:val="00614454"/>
    <w:rsid w:val="00620C14"/>
    <w:rsid w:val="006232F0"/>
    <w:rsid w:val="00624DF3"/>
    <w:rsid w:val="00625E8D"/>
    <w:rsid w:val="00626112"/>
    <w:rsid w:val="006325EC"/>
    <w:rsid w:val="00633030"/>
    <w:rsid w:val="00634D89"/>
    <w:rsid w:val="00640185"/>
    <w:rsid w:val="00640A25"/>
    <w:rsid w:val="00646DDA"/>
    <w:rsid w:val="00651313"/>
    <w:rsid w:val="0065535D"/>
    <w:rsid w:val="0065623E"/>
    <w:rsid w:val="006643B2"/>
    <w:rsid w:val="00664766"/>
    <w:rsid w:val="00674E54"/>
    <w:rsid w:val="0068011F"/>
    <w:rsid w:val="00696C7A"/>
    <w:rsid w:val="006A0A79"/>
    <w:rsid w:val="006B07AB"/>
    <w:rsid w:val="006B1FC8"/>
    <w:rsid w:val="006B3E96"/>
    <w:rsid w:val="006B4E03"/>
    <w:rsid w:val="006B6150"/>
    <w:rsid w:val="006B7D9D"/>
    <w:rsid w:val="006C097F"/>
    <w:rsid w:val="006C35A7"/>
    <w:rsid w:val="006C426D"/>
    <w:rsid w:val="006C79D6"/>
    <w:rsid w:val="006D1C23"/>
    <w:rsid w:val="006D5BBA"/>
    <w:rsid w:val="006D6BB5"/>
    <w:rsid w:val="006E5EF3"/>
    <w:rsid w:val="006F0A32"/>
    <w:rsid w:val="006F6A03"/>
    <w:rsid w:val="00711DA4"/>
    <w:rsid w:val="00717C8C"/>
    <w:rsid w:val="00727101"/>
    <w:rsid w:val="00735DA4"/>
    <w:rsid w:val="007375CD"/>
    <w:rsid w:val="00744E45"/>
    <w:rsid w:val="0075330A"/>
    <w:rsid w:val="00753C71"/>
    <w:rsid w:val="00756251"/>
    <w:rsid w:val="007603E6"/>
    <w:rsid w:val="00760DF6"/>
    <w:rsid w:val="007635FD"/>
    <w:rsid w:val="007653EE"/>
    <w:rsid w:val="007755B3"/>
    <w:rsid w:val="00776C0E"/>
    <w:rsid w:val="00777576"/>
    <w:rsid w:val="0078181C"/>
    <w:rsid w:val="007A14D4"/>
    <w:rsid w:val="007A70EF"/>
    <w:rsid w:val="007B2A94"/>
    <w:rsid w:val="007C4A09"/>
    <w:rsid w:val="007D10FF"/>
    <w:rsid w:val="007D7783"/>
    <w:rsid w:val="007E0497"/>
    <w:rsid w:val="007E35DC"/>
    <w:rsid w:val="007E44A1"/>
    <w:rsid w:val="007E68E7"/>
    <w:rsid w:val="007E78E2"/>
    <w:rsid w:val="007F6EB5"/>
    <w:rsid w:val="00802D5F"/>
    <w:rsid w:val="00802F3E"/>
    <w:rsid w:val="00804D5C"/>
    <w:rsid w:val="00833098"/>
    <w:rsid w:val="00835758"/>
    <w:rsid w:val="0084380A"/>
    <w:rsid w:val="00844B65"/>
    <w:rsid w:val="00847369"/>
    <w:rsid w:val="00850B7F"/>
    <w:rsid w:val="0085167C"/>
    <w:rsid w:val="00853066"/>
    <w:rsid w:val="0085705F"/>
    <w:rsid w:val="008622D4"/>
    <w:rsid w:val="00872A71"/>
    <w:rsid w:val="00874063"/>
    <w:rsid w:val="008879BE"/>
    <w:rsid w:val="008931B6"/>
    <w:rsid w:val="008947F3"/>
    <w:rsid w:val="008962CE"/>
    <w:rsid w:val="0089712F"/>
    <w:rsid w:val="008A2263"/>
    <w:rsid w:val="008A3D7A"/>
    <w:rsid w:val="008B5B19"/>
    <w:rsid w:val="008C5455"/>
    <w:rsid w:val="008C7977"/>
    <w:rsid w:val="008D0BBB"/>
    <w:rsid w:val="008E4A9C"/>
    <w:rsid w:val="008E5875"/>
    <w:rsid w:val="008E6EE8"/>
    <w:rsid w:val="00907772"/>
    <w:rsid w:val="00907CF3"/>
    <w:rsid w:val="00913B2D"/>
    <w:rsid w:val="0092009C"/>
    <w:rsid w:val="00932044"/>
    <w:rsid w:val="00951BF9"/>
    <w:rsid w:val="009539B3"/>
    <w:rsid w:val="00957A04"/>
    <w:rsid w:val="00963CB0"/>
    <w:rsid w:val="00966C90"/>
    <w:rsid w:val="009750EF"/>
    <w:rsid w:val="00977514"/>
    <w:rsid w:val="00977C09"/>
    <w:rsid w:val="00981F56"/>
    <w:rsid w:val="009919E8"/>
    <w:rsid w:val="00991E04"/>
    <w:rsid w:val="009A0B99"/>
    <w:rsid w:val="009B0C90"/>
    <w:rsid w:val="009B3991"/>
    <w:rsid w:val="009B3F58"/>
    <w:rsid w:val="009C23C4"/>
    <w:rsid w:val="009C3772"/>
    <w:rsid w:val="009D18C4"/>
    <w:rsid w:val="009D41F8"/>
    <w:rsid w:val="009E19DB"/>
    <w:rsid w:val="009E2D70"/>
    <w:rsid w:val="009E543A"/>
    <w:rsid w:val="009F278A"/>
    <w:rsid w:val="009F282C"/>
    <w:rsid w:val="009F2E9A"/>
    <w:rsid w:val="009F6D0E"/>
    <w:rsid w:val="009F7691"/>
    <w:rsid w:val="00A113F3"/>
    <w:rsid w:val="00A12A57"/>
    <w:rsid w:val="00A1646C"/>
    <w:rsid w:val="00A22727"/>
    <w:rsid w:val="00A2591E"/>
    <w:rsid w:val="00A332A9"/>
    <w:rsid w:val="00A405B8"/>
    <w:rsid w:val="00A500BE"/>
    <w:rsid w:val="00A56C0F"/>
    <w:rsid w:val="00A7406B"/>
    <w:rsid w:val="00A77741"/>
    <w:rsid w:val="00A82AC3"/>
    <w:rsid w:val="00A94BA9"/>
    <w:rsid w:val="00AA2E65"/>
    <w:rsid w:val="00AC628B"/>
    <w:rsid w:val="00AD20C3"/>
    <w:rsid w:val="00AF01F7"/>
    <w:rsid w:val="00AF2B22"/>
    <w:rsid w:val="00B2496F"/>
    <w:rsid w:val="00B34C18"/>
    <w:rsid w:val="00B407F5"/>
    <w:rsid w:val="00B43049"/>
    <w:rsid w:val="00B44FA6"/>
    <w:rsid w:val="00B46734"/>
    <w:rsid w:val="00B51735"/>
    <w:rsid w:val="00B55F42"/>
    <w:rsid w:val="00B56EF7"/>
    <w:rsid w:val="00B60AE9"/>
    <w:rsid w:val="00B66A11"/>
    <w:rsid w:val="00B73ADC"/>
    <w:rsid w:val="00B744C4"/>
    <w:rsid w:val="00B76228"/>
    <w:rsid w:val="00B80675"/>
    <w:rsid w:val="00B80979"/>
    <w:rsid w:val="00B8210E"/>
    <w:rsid w:val="00B83A63"/>
    <w:rsid w:val="00B86CCE"/>
    <w:rsid w:val="00B97C14"/>
    <w:rsid w:val="00B97C65"/>
    <w:rsid w:val="00BA0AC2"/>
    <w:rsid w:val="00BB0A1B"/>
    <w:rsid w:val="00BB4527"/>
    <w:rsid w:val="00BB65A2"/>
    <w:rsid w:val="00BC15F5"/>
    <w:rsid w:val="00BC6F26"/>
    <w:rsid w:val="00BD3DED"/>
    <w:rsid w:val="00BD4534"/>
    <w:rsid w:val="00BD7956"/>
    <w:rsid w:val="00BE021C"/>
    <w:rsid w:val="00BE5001"/>
    <w:rsid w:val="00BF1175"/>
    <w:rsid w:val="00BF1727"/>
    <w:rsid w:val="00BF4454"/>
    <w:rsid w:val="00BF4CFC"/>
    <w:rsid w:val="00C03A43"/>
    <w:rsid w:val="00C05E30"/>
    <w:rsid w:val="00C10F81"/>
    <w:rsid w:val="00C17BF2"/>
    <w:rsid w:val="00C221BF"/>
    <w:rsid w:val="00C250A8"/>
    <w:rsid w:val="00C27AA8"/>
    <w:rsid w:val="00C33B25"/>
    <w:rsid w:val="00C51442"/>
    <w:rsid w:val="00C70695"/>
    <w:rsid w:val="00C723C0"/>
    <w:rsid w:val="00C7515C"/>
    <w:rsid w:val="00C762EE"/>
    <w:rsid w:val="00C80E86"/>
    <w:rsid w:val="00C84F3C"/>
    <w:rsid w:val="00C8703E"/>
    <w:rsid w:val="00C94DAE"/>
    <w:rsid w:val="00C9627D"/>
    <w:rsid w:val="00CA4E84"/>
    <w:rsid w:val="00CB2465"/>
    <w:rsid w:val="00CB6820"/>
    <w:rsid w:val="00CC12A3"/>
    <w:rsid w:val="00CE0FD6"/>
    <w:rsid w:val="00CE5869"/>
    <w:rsid w:val="00CE7726"/>
    <w:rsid w:val="00CF3301"/>
    <w:rsid w:val="00CF58DA"/>
    <w:rsid w:val="00D030A9"/>
    <w:rsid w:val="00D0409E"/>
    <w:rsid w:val="00D05847"/>
    <w:rsid w:val="00D10114"/>
    <w:rsid w:val="00D217B1"/>
    <w:rsid w:val="00D21C6A"/>
    <w:rsid w:val="00D30CF2"/>
    <w:rsid w:val="00D33C75"/>
    <w:rsid w:val="00D371B0"/>
    <w:rsid w:val="00D37FC2"/>
    <w:rsid w:val="00D420E5"/>
    <w:rsid w:val="00D42B5D"/>
    <w:rsid w:val="00D50A6C"/>
    <w:rsid w:val="00D5687C"/>
    <w:rsid w:val="00D65A6F"/>
    <w:rsid w:val="00D70C40"/>
    <w:rsid w:val="00D73836"/>
    <w:rsid w:val="00D82A6F"/>
    <w:rsid w:val="00D82C62"/>
    <w:rsid w:val="00D8594F"/>
    <w:rsid w:val="00D876E4"/>
    <w:rsid w:val="00D90118"/>
    <w:rsid w:val="00D92B08"/>
    <w:rsid w:val="00DA7751"/>
    <w:rsid w:val="00DB0F8F"/>
    <w:rsid w:val="00DB3236"/>
    <w:rsid w:val="00DB3A57"/>
    <w:rsid w:val="00DC0EA6"/>
    <w:rsid w:val="00DC1029"/>
    <w:rsid w:val="00DC49F4"/>
    <w:rsid w:val="00DD389F"/>
    <w:rsid w:val="00DD4D12"/>
    <w:rsid w:val="00DD6004"/>
    <w:rsid w:val="00DD7F46"/>
    <w:rsid w:val="00DF48B3"/>
    <w:rsid w:val="00E00588"/>
    <w:rsid w:val="00E12F0E"/>
    <w:rsid w:val="00E23C94"/>
    <w:rsid w:val="00E37847"/>
    <w:rsid w:val="00E40646"/>
    <w:rsid w:val="00E46D6B"/>
    <w:rsid w:val="00E47AA7"/>
    <w:rsid w:val="00E503A1"/>
    <w:rsid w:val="00E5269F"/>
    <w:rsid w:val="00E60364"/>
    <w:rsid w:val="00E62DC6"/>
    <w:rsid w:val="00E643A6"/>
    <w:rsid w:val="00E667B6"/>
    <w:rsid w:val="00E66DA2"/>
    <w:rsid w:val="00E75022"/>
    <w:rsid w:val="00E75CB8"/>
    <w:rsid w:val="00E80189"/>
    <w:rsid w:val="00E838B2"/>
    <w:rsid w:val="00E86243"/>
    <w:rsid w:val="00EB4327"/>
    <w:rsid w:val="00EB5844"/>
    <w:rsid w:val="00EC6E73"/>
    <w:rsid w:val="00ED1F74"/>
    <w:rsid w:val="00ED6AB2"/>
    <w:rsid w:val="00EE1417"/>
    <w:rsid w:val="00EF1252"/>
    <w:rsid w:val="00EF277A"/>
    <w:rsid w:val="00F00656"/>
    <w:rsid w:val="00F07C91"/>
    <w:rsid w:val="00F101E2"/>
    <w:rsid w:val="00F10452"/>
    <w:rsid w:val="00F13AB8"/>
    <w:rsid w:val="00F14166"/>
    <w:rsid w:val="00F200DD"/>
    <w:rsid w:val="00F27985"/>
    <w:rsid w:val="00F37265"/>
    <w:rsid w:val="00F42681"/>
    <w:rsid w:val="00F431A4"/>
    <w:rsid w:val="00F47DBA"/>
    <w:rsid w:val="00F513A2"/>
    <w:rsid w:val="00F6070F"/>
    <w:rsid w:val="00F6363D"/>
    <w:rsid w:val="00F70DDD"/>
    <w:rsid w:val="00F84340"/>
    <w:rsid w:val="00F864D4"/>
    <w:rsid w:val="00F870C0"/>
    <w:rsid w:val="00F94F77"/>
    <w:rsid w:val="00F9631C"/>
    <w:rsid w:val="00F97953"/>
    <w:rsid w:val="00FA12AE"/>
    <w:rsid w:val="00FA2E5D"/>
    <w:rsid w:val="00FA4730"/>
    <w:rsid w:val="00FB1E0F"/>
    <w:rsid w:val="00FB1F98"/>
    <w:rsid w:val="00FB7BB8"/>
    <w:rsid w:val="00FC29E5"/>
    <w:rsid w:val="00FD24E7"/>
    <w:rsid w:val="00FE3FF9"/>
    <w:rsid w:val="00FF4621"/>
    <w:rsid w:val="00FF4EB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C5CC2E"/>
  <w15:docId w15:val="{40FEB03D-9E5F-4978-82FF-3BF148DFA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8E5875"/>
    <w:pPr>
      <w:spacing w:before="120" w:after="0" w:line="276" w:lineRule="auto"/>
      <w:jc w:val="both"/>
    </w:pPr>
    <w:rPr>
      <w:rFonts w:ascii="Century Gothic" w:eastAsia="Calibri" w:hAnsi="Century Gothic" w:cs="Times New Roman"/>
      <w:sz w:val="18"/>
    </w:rPr>
  </w:style>
  <w:style w:type="paragraph" w:styleId="Heading1">
    <w:name w:val="heading 1"/>
    <w:basedOn w:val="Normal"/>
    <w:next w:val="Normal"/>
    <w:link w:val="Heading1Char"/>
    <w:uiPriority w:val="9"/>
    <w:qFormat/>
    <w:rsid w:val="003D021E"/>
    <w:pPr>
      <w:numPr>
        <w:numId w:val="9"/>
      </w:numPr>
      <w:spacing w:before="240" w:after="120"/>
      <w:ind w:left="431" w:hanging="431"/>
      <w:outlineLvl w:val="0"/>
    </w:pPr>
    <w:rPr>
      <w:rFonts w:eastAsia="Times New Roman"/>
      <w:b/>
      <w:kern w:val="28"/>
      <w:sz w:val="28"/>
      <w:szCs w:val="44"/>
    </w:rPr>
  </w:style>
  <w:style w:type="paragraph" w:styleId="Heading2">
    <w:name w:val="heading 2"/>
    <w:basedOn w:val="Heading1"/>
    <w:next w:val="Normal"/>
    <w:link w:val="Heading2Char"/>
    <w:qFormat/>
    <w:rsid w:val="001E3922"/>
    <w:pPr>
      <w:numPr>
        <w:ilvl w:val="1"/>
      </w:numPr>
      <w:jc w:val="left"/>
      <w:outlineLvl w:val="1"/>
    </w:pPr>
    <w:rPr>
      <w:sz w:val="26"/>
      <w:szCs w:val="22"/>
    </w:rPr>
  </w:style>
  <w:style w:type="paragraph" w:styleId="Heading3">
    <w:name w:val="heading 3"/>
    <w:basedOn w:val="Heading2"/>
    <w:next w:val="Normal"/>
    <w:link w:val="Heading3Char"/>
    <w:uiPriority w:val="9"/>
    <w:qFormat/>
    <w:rsid w:val="008E5875"/>
    <w:pPr>
      <w:keepNext/>
      <w:numPr>
        <w:ilvl w:val="2"/>
      </w:numPr>
      <w:outlineLvl w:val="2"/>
    </w:pPr>
    <w:rPr>
      <w:sz w:val="22"/>
    </w:rPr>
  </w:style>
  <w:style w:type="paragraph" w:styleId="Heading4">
    <w:name w:val="heading 4"/>
    <w:basedOn w:val="Heading3"/>
    <w:next w:val="Normal"/>
    <w:link w:val="Heading4Char"/>
    <w:qFormat/>
    <w:rsid w:val="008E5875"/>
    <w:pPr>
      <w:numPr>
        <w:ilvl w:val="3"/>
      </w:numPr>
      <w:outlineLvl w:val="3"/>
    </w:pPr>
    <w:rPr>
      <w:bCs/>
      <w:iCs/>
      <w:kern w:val="0"/>
      <w:sz w:val="20"/>
      <w:szCs w:val="20"/>
      <w:lang w:eastAsia="el-GR"/>
    </w:rPr>
  </w:style>
  <w:style w:type="paragraph" w:styleId="Heading5">
    <w:name w:val="heading 5"/>
    <w:basedOn w:val="Normal"/>
    <w:next w:val="Normal"/>
    <w:link w:val="Heading5Char"/>
    <w:qFormat/>
    <w:rsid w:val="008E5875"/>
    <w:pPr>
      <w:keepNext/>
      <w:keepLines/>
      <w:numPr>
        <w:ilvl w:val="4"/>
        <w:numId w:val="9"/>
      </w:numPr>
      <w:spacing w:before="200" w:after="120" w:line="240" w:lineRule="auto"/>
      <w:outlineLvl w:val="4"/>
    </w:pPr>
    <w:rPr>
      <w:rFonts w:eastAsia="Times New Roman"/>
      <w:b/>
      <w:color w:val="990000"/>
      <w:szCs w:val="18"/>
      <w:lang w:eastAsia="el-GR"/>
    </w:rPr>
  </w:style>
  <w:style w:type="paragraph" w:styleId="Heading6">
    <w:name w:val="heading 6"/>
    <w:basedOn w:val="Normal"/>
    <w:next w:val="Normal"/>
    <w:link w:val="Heading6Char"/>
    <w:uiPriority w:val="9"/>
    <w:unhideWhenUsed/>
    <w:qFormat/>
    <w:rsid w:val="008E5875"/>
    <w:pPr>
      <w:numPr>
        <w:ilvl w:val="5"/>
        <w:numId w:val="9"/>
      </w:numPr>
      <w:spacing w:before="240" w:after="60"/>
      <w:outlineLvl w:val="5"/>
    </w:pPr>
    <w:rPr>
      <w:rFonts w:ascii="Calibri" w:eastAsia="Times New Roman" w:hAnsi="Calibri"/>
      <w:b/>
      <w:bCs/>
      <w:sz w:val="22"/>
    </w:rPr>
  </w:style>
  <w:style w:type="paragraph" w:styleId="Heading7">
    <w:name w:val="heading 7"/>
    <w:basedOn w:val="Normal"/>
    <w:next w:val="Normal"/>
    <w:link w:val="Heading7Char"/>
    <w:uiPriority w:val="9"/>
    <w:semiHidden/>
    <w:unhideWhenUsed/>
    <w:qFormat/>
    <w:rsid w:val="008E5875"/>
    <w:pPr>
      <w:numPr>
        <w:ilvl w:val="6"/>
        <w:numId w:val="9"/>
      </w:numPr>
      <w:spacing w:before="240" w:after="60"/>
      <w:outlineLvl w:val="6"/>
    </w:pPr>
    <w:rPr>
      <w:rFonts w:ascii="Calibri" w:eastAsia="Times New Roman" w:hAnsi="Calibri"/>
      <w:sz w:val="24"/>
      <w:szCs w:val="24"/>
    </w:rPr>
  </w:style>
  <w:style w:type="paragraph" w:styleId="Heading8">
    <w:name w:val="heading 8"/>
    <w:basedOn w:val="Normal"/>
    <w:next w:val="Normal"/>
    <w:link w:val="Heading8Char"/>
    <w:uiPriority w:val="9"/>
    <w:semiHidden/>
    <w:unhideWhenUsed/>
    <w:qFormat/>
    <w:rsid w:val="008E5875"/>
    <w:pPr>
      <w:numPr>
        <w:ilvl w:val="7"/>
        <w:numId w:val="9"/>
      </w:numPr>
      <w:spacing w:before="240" w:after="60"/>
      <w:outlineLvl w:val="7"/>
    </w:pPr>
    <w:rPr>
      <w:rFonts w:ascii="Calibri" w:eastAsia="Times New Roman" w:hAnsi="Calibri"/>
      <w:i/>
      <w:iCs/>
      <w:sz w:val="24"/>
      <w:szCs w:val="24"/>
    </w:rPr>
  </w:style>
  <w:style w:type="paragraph" w:styleId="Heading9">
    <w:name w:val="heading 9"/>
    <w:basedOn w:val="Normal"/>
    <w:next w:val="Normal"/>
    <w:link w:val="Heading9Char"/>
    <w:uiPriority w:val="9"/>
    <w:semiHidden/>
    <w:unhideWhenUsed/>
    <w:qFormat/>
    <w:rsid w:val="008E5875"/>
    <w:pPr>
      <w:numPr>
        <w:ilvl w:val="8"/>
        <w:numId w:val="9"/>
      </w:numPr>
      <w:spacing w:before="240" w:after="60"/>
      <w:outlineLvl w:val="8"/>
    </w:pPr>
    <w:rPr>
      <w:rFonts w:ascii="Calibri Light" w:eastAsia="Times New Roman" w:hAnsi="Calibri Light"/>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021E"/>
    <w:rPr>
      <w:rFonts w:ascii="Century Gothic" w:eastAsia="Times New Roman" w:hAnsi="Century Gothic" w:cs="Times New Roman"/>
      <w:b/>
      <w:kern w:val="28"/>
      <w:sz w:val="28"/>
      <w:szCs w:val="44"/>
    </w:rPr>
  </w:style>
  <w:style w:type="character" w:customStyle="1" w:styleId="Heading2Char">
    <w:name w:val="Heading 2 Char"/>
    <w:basedOn w:val="DefaultParagraphFont"/>
    <w:link w:val="Heading2"/>
    <w:rsid w:val="001E3922"/>
    <w:rPr>
      <w:rFonts w:ascii="Century Gothic" w:eastAsia="Times New Roman" w:hAnsi="Century Gothic" w:cs="Times New Roman"/>
      <w:b/>
      <w:kern w:val="28"/>
      <w:sz w:val="26"/>
    </w:rPr>
  </w:style>
  <w:style w:type="character" w:customStyle="1" w:styleId="Heading3Char">
    <w:name w:val="Heading 3 Char"/>
    <w:basedOn w:val="DefaultParagraphFont"/>
    <w:link w:val="Heading3"/>
    <w:uiPriority w:val="9"/>
    <w:rsid w:val="008E5875"/>
    <w:rPr>
      <w:rFonts w:ascii="Century Gothic" w:eastAsia="Times New Roman" w:hAnsi="Century Gothic" w:cs="Times New Roman"/>
      <w:b/>
      <w:kern w:val="28"/>
    </w:rPr>
  </w:style>
  <w:style w:type="character" w:customStyle="1" w:styleId="Heading4Char">
    <w:name w:val="Heading 4 Char"/>
    <w:basedOn w:val="DefaultParagraphFont"/>
    <w:link w:val="Heading4"/>
    <w:rsid w:val="008E5875"/>
    <w:rPr>
      <w:rFonts w:ascii="Century Gothic" w:eastAsia="Times New Roman" w:hAnsi="Century Gothic" w:cs="Times New Roman"/>
      <w:b/>
      <w:bCs/>
      <w:iCs/>
      <w:sz w:val="20"/>
      <w:szCs w:val="20"/>
      <w:lang w:eastAsia="el-GR"/>
    </w:rPr>
  </w:style>
  <w:style w:type="character" w:customStyle="1" w:styleId="Heading5Char">
    <w:name w:val="Heading 5 Char"/>
    <w:basedOn w:val="DefaultParagraphFont"/>
    <w:link w:val="Heading5"/>
    <w:rsid w:val="008E5875"/>
    <w:rPr>
      <w:rFonts w:ascii="Century Gothic" w:eastAsia="Times New Roman" w:hAnsi="Century Gothic" w:cs="Times New Roman"/>
      <w:b/>
      <w:color w:val="990000"/>
      <w:sz w:val="18"/>
      <w:szCs w:val="18"/>
      <w:lang w:eastAsia="el-GR"/>
    </w:rPr>
  </w:style>
  <w:style w:type="character" w:customStyle="1" w:styleId="Heading6Char">
    <w:name w:val="Heading 6 Char"/>
    <w:basedOn w:val="DefaultParagraphFont"/>
    <w:link w:val="Heading6"/>
    <w:uiPriority w:val="9"/>
    <w:rsid w:val="008E5875"/>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8E5875"/>
    <w:rPr>
      <w:rFonts w:ascii="Calibri" w:eastAsia="Times New Roman" w:hAnsi="Calibri" w:cs="Times New Roman"/>
      <w:sz w:val="24"/>
      <w:szCs w:val="24"/>
    </w:rPr>
  </w:style>
  <w:style w:type="character" w:customStyle="1" w:styleId="Heading8Char">
    <w:name w:val="Heading 8 Char"/>
    <w:basedOn w:val="DefaultParagraphFont"/>
    <w:link w:val="Heading8"/>
    <w:uiPriority w:val="9"/>
    <w:semiHidden/>
    <w:rsid w:val="008E5875"/>
    <w:rPr>
      <w:rFonts w:ascii="Calibri" w:eastAsia="Times New Roman" w:hAnsi="Calibri" w:cs="Times New Roman"/>
      <w:i/>
      <w:iCs/>
      <w:sz w:val="24"/>
      <w:szCs w:val="24"/>
    </w:rPr>
  </w:style>
  <w:style w:type="character" w:customStyle="1" w:styleId="Heading9Char">
    <w:name w:val="Heading 9 Char"/>
    <w:basedOn w:val="DefaultParagraphFont"/>
    <w:link w:val="Heading9"/>
    <w:uiPriority w:val="9"/>
    <w:semiHidden/>
    <w:rsid w:val="008E5875"/>
    <w:rPr>
      <w:rFonts w:ascii="Calibri Light" w:eastAsia="Times New Roman" w:hAnsi="Calibri Light" w:cs="Times New Roman"/>
    </w:rPr>
  </w:style>
  <w:style w:type="paragraph" w:styleId="Header">
    <w:name w:val="header"/>
    <w:basedOn w:val="Normal"/>
    <w:link w:val="HeaderChar"/>
    <w:uiPriority w:val="99"/>
    <w:unhideWhenUsed/>
    <w:rsid w:val="008E5875"/>
    <w:pPr>
      <w:tabs>
        <w:tab w:val="center" w:pos="4153"/>
        <w:tab w:val="right" w:pos="8306"/>
      </w:tabs>
      <w:spacing w:before="0" w:line="240" w:lineRule="auto"/>
    </w:pPr>
  </w:style>
  <w:style w:type="character" w:customStyle="1" w:styleId="HeaderChar">
    <w:name w:val="Header Char"/>
    <w:basedOn w:val="DefaultParagraphFont"/>
    <w:link w:val="Header"/>
    <w:uiPriority w:val="99"/>
    <w:rsid w:val="008E5875"/>
    <w:rPr>
      <w:rFonts w:ascii="Century Gothic" w:eastAsia="Calibri" w:hAnsi="Century Gothic" w:cs="Times New Roman"/>
      <w:sz w:val="18"/>
    </w:rPr>
  </w:style>
  <w:style w:type="paragraph" w:styleId="Footer">
    <w:name w:val="footer"/>
    <w:aliases w:val="ft,fo"/>
    <w:basedOn w:val="Normal"/>
    <w:link w:val="FooterChar"/>
    <w:uiPriority w:val="99"/>
    <w:unhideWhenUsed/>
    <w:rsid w:val="008E5875"/>
    <w:pPr>
      <w:tabs>
        <w:tab w:val="center" w:pos="4153"/>
        <w:tab w:val="right" w:pos="8306"/>
      </w:tabs>
      <w:spacing w:before="0" w:line="240" w:lineRule="auto"/>
    </w:pPr>
  </w:style>
  <w:style w:type="character" w:customStyle="1" w:styleId="FooterChar">
    <w:name w:val="Footer Char"/>
    <w:aliases w:val="ft Char,fo Char"/>
    <w:basedOn w:val="DefaultParagraphFont"/>
    <w:link w:val="Footer"/>
    <w:uiPriority w:val="99"/>
    <w:rsid w:val="008E5875"/>
    <w:rPr>
      <w:rFonts w:ascii="Century Gothic" w:eastAsia="Calibri" w:hAnsi="Century Gothic" w:cs="Times New Roman"/>
      <w:sz w:val="18"/>
    </w:rPr>
  </w:style>
  <w:style w:type="paragraph" w:styleId="ListParagraph">
    <w:name w:val="List Paragraph"/>
    <w:aliases w:val="List Paragraph1,Γράφημα"/>
    <w:basedOn w:val="Normal"/>
    <w:link w:val="ListParagraphChar"/>
    <w:uiPriority w:val="34"/>
    <w:qFormat/>
    <w:rsid w:val="001B2DD1"/>
    <w:pPr>
      <w:numPr>
        <w:numId w:val="39"/>
      </w:numPr>
    </w:pPr>
  </w:style>
  <w:style w:type="paragraph" w:customStyle="1" w:styleId="bullet2">
    <w:name w:val="bullet 2"/>
    <w:basedOn w:val="bullet1"/>
    <w:qFormat/>
    <w:rsid w:val="008E5875"/>
    <w:pPr>
      <w:numPr>
        <w:ilvl w:val="1"/>
      </w:numPr>
      <w:ind w:left="786"/>
    </w:pPr>
  </w:style>
  <w:style w:type="paragraph" w:styleId="FootnoteText">
    <w:name w:val="footnote text"/>
    <w:basedOn w:val="Normal"/>
    <w:link w:val="FootnoteTextChar"/>
    <w:uiPriority w:val="99"/>
    <w:semiHidden/>
    <w:unhideWhenUsed/>
    <w:rsid w:val="008E5875"/>
    <w:pPr>
      <w:spacing w:before="0" w:line="240" w:lineRule="auto"/>
    </w:pPr>
    <w:rPr>
      <w:sz w:val="20"/>
      <w:szCs w:val="20"/>
    </w:rPr>
  </w:style>
  <w:style w:type="character" w:customStyle="1" w:styleId="FootnoteTextChar">
    <w:name w:val="Footnote Text Char"/>
    <w:basedOn w:val="DefaultParagraphFont"/>
    <w:link w:val="FootnoteText"/>
    <w:uiPriority w:val="99"/>
    <w:semiHidden/>
    <w:rsid w:val="008E5875"/>
    <w:rPr>
      <w:rFonts w:ascii="Century Gothic" w:eastAsia="Calibri" w:hAnsi="Century Gothic" w:cs="Times New Roman"/>
      <w:sz w:val="20"/>
      <w:szCs w:val="20"/>
    </w:rPr>
  </w:style>
  <w:style w:type="character" w:styleId="FootnoteReference">
    <w:name w:val="footnote reference"/>
    <w:uiPriority w:val="99"/>
    <w:semiHidden/>
    <w:unhideWhenUsed/>
    <w:rsid w:val="008E5875"/>
    <w:rPr>
      <w:vertAlign w:val="superscript"/>
    </w:rPr>
  </w:style>
  <w:style w:type="character" w:styleId="Hyperlink">
    <w:name w:val="Hyperlink"/>
    <w:uiPriority w:val="99"/>
    <w:unhideWhenUsed/>
    <w:rsid w:val="008E5875"/>
    <w:rPr>
      <w:color w:val="0563C1"/>
      <w:u w:val="single"/>
    </w:rPr>
  </w:style>
  <w:style w:type="paragraph" w:styleId="Title">
    <w:name w:val="Title"/>
    <w:basedOn w:val="Normal"/>
    <w:next w:val="Normal"/>
    <w:link w:val="TitleChar"/>
    <w:uiPriority w:val="10"/>
    <w:qFormat/>
    <w:rsid w:val="008E5875"/>
    <w:pPr>
      <w:numPr>
        <w:numId w:val="2"/>
      </w:numPr>
      <w:spacing w:before="0" w:line="240" w:lineRule="auto"/>
      <w:contextualSpacing/>
    </w:pPr>
    <w:rPr>
      <w:rFonts w:ascii="Calibri Light" w:eastAsia="Times New Roman" w:hAnsi="Calibri Light"/>
      <w:spacing w:val="-10"/>
      <w:kern w:val="28"/>
      <w:sz w:val="56"/>
      <w:szCs w:val="56"/>
    </w:rPr>
  </w:style>
  <w:style w:type="character" w:customStyle="1" w:styleId="TitleChar">
    <w:name w:val="Title Char"/>
    <w:basedOn w:val="DefaultParagraphFont"/>
    <w:link w:val="Title"/>
    <w:uiPriority w:val="10"/>
    <w:rsid w:val="008E5875"/>
    <w:rPr>
      <w:rFonts w:ascii="Calibri Light" w:eastAsia="Times New Roman" w:hAnsi="Calibri Light" w:cs="Times New Roman"/>
      <w:spacing w:val="-10"/>
      <w:kern w:val="28"/>
      <w:sz w:val="56"/>
      <w:szCs w:val="56"/>
    </w:rPr>
  </w:style>
  <w:style w:type="numbering" w:customStyle="1" w:styleId="Style1">
    <w:name w:val="Style1"/>
    <w:uiPriority w:val="99"/>
    <w:rsid w:val="008E5875"/>
    <w:pPr>
      <w:numPr>
        <w:numId w:val="1"/>
      </w:numPr>
    </w:pPr>
  </w:style>
  <w:style w:type="character" w:customStyle="1" w:styleId="ListParagraphChar">
    <w:name w:val="List Paragraph Char"/>
    <w:aliases w:val="List Paragraph1 Char,Γράφημα Char"/>
    <w:link w:val="ListParagraph"/>
    <w:uiPriority w:val="34"/>
    <w:locked/>
    <w:rsid w:val="001B2DD1"/>
    <w:rPr>
      <w:rFonts w:ascii="Century Gothic" w:eastAsia="Calibri" w:hAnsi="Century Gothic" w:cs="Times New Roman"/>
      <w:sz w:val="18"/>
    </w:rPr>
  </w:style>
  <w:style w:type="paragraph" w:customStyle="1" w:styleId="StyleSxima">
    <w:name w:val="Style Sxima"/>
    <w:basedOn w:val="Normal"/>
    <w:rsid w:val="008E5875"/>
    <w:pPr>
      <w:numPr>
        <w:numId w:val="3"/>
      </w:numPr>
      <w:spacing w:after="240" w:line="240" w:lineRule="auto"/>
      <w:jc w:val="center"/>
    </w:pPr>
    <w:rPr>
      <w:rFonts w:ascii="Book Antiqua" w:eastAsia="Times New Roman" w:hAnsi="Book Antiqua"/>
      <w:b/>
      <w:sz w:val="20"/>
      <w:szCs w:val="20"/>
      <w:lang w:val="x-none" w:eastAsia="x-none"/>
    </w:rPr>
  </w:style>
  <w:style w:type="table" w:styleId="TableGrid">
    <w:name w:val="Table Grid"/>
    <w:basedOn w:val="TableNormal"/>
    <w:uiPriority w:val="39"/>
    <w:rsid w:val="008E5875"/>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ListBullet2"/>
    <w:link w:val="ListBulletChar"/>
    <w:rsid w:val="008E5875"/>
    <w:pPr>
      <w:numPr>
        <w:numId w:val="4"/>
      </w:numPr>
      <w:tabs>
        <w:tab w:val="left" w:pos="426"/>
      </w:tabs>
      <w:spacing w:before="60" w:line="240" w:lineRule="auto"/>
      <w:contextualSpacing w:val="0"/>
    </w:pPr>
    <w:rPr>
      <w:rFonts w:ascii="Arial Narrow" w:eastAsia="Times New Roman" w:hAnsi="Arial Narrow"/>
      <w:sz w:val="22"/>
      <w:szCs w:val="24"/>
      <w:lang w:eastAsia="el-GR"/>
    </w:rPr>
  </w:style>
  <w:style w:type="character" w:customStyle="1" w:styleId="ListBulletChar">
    <w:name w:val="List Bullet Char"/>
    <w:link w:val="ListBullet"/>
    <w:rsid w:val="008E5875"/>
    <w:rPr>
      <w:rFonts w:ascii="Arial Narrow" w:eastAsia="Times New Roman" w:hAnsi="Arial Narrow" w:cs="Times New Roman"/>
      <w:szCs w:val="24"/>
      <w:lang w:eastAsia="el-GR"/>
    </w:rPr>
  </w:style>
  <w:style w:type="paragraph" w:customStyle="1" w:styleId="TableHeading">
    <w:name w:val="Table Heading"/>
    <w:basedOn w:val="BodyText"/>
    <w:autoRedefine/>
    <w:rsid w:val="008E5875"/>
    <w:pPr>
      <w:spacing w:before="240" w:line="240" w:lineRule="auto"/>
      <w:jc w:val="center"/>
    </w:pPr>
    <w:rPr>
      <w:rFonts w:ascii="Calibri" w:eastAsia="Times New Roman" w:hAnsi="Calibri" w:cs="Calibri"/>
      <w:sz w:val="20"/>
      <w:szCs w:val="20"/>
      <w:lang w:eastAsia="en-GB"/>
    </w:rPr>
  </w:style>
  <w:style w:type="paragraph" w:customStyle="1" w:styleId="bullet1">
    <w:name w:val="bullet 1"/>
    <w:basedOn w:val="Normal"/>
    <w:qFormat/>
    <w:rsid w:val="008E5875"/>
    <w:pPr>
      <w:numPr>
        <w:numId w:val="6"/>
      </w:numPr>
    </w:pPr>
  </w:style>
  <w:style w:type="paragraph" w:customStyle="1" w:styleId="a">
    <w:name w:val="Υποκεφαλίδα"/>
    <w:basedOn w:val="Normal"/>
    <w:next w:val="Normal"/>
    <w:qFormat/>
    <w:rsid w:val="008E5875"/>
    <w:pPr>
      <w:pBdr>
        <w:top w:val="single" w:sz="4" w:space="1" w:color="800000"/>
        <w:left w:val="single" w:sz="4" w:space="0" w:color="800000"/>
        <w:bottom w:val="single" w:sz="4" w:space="1" w:color="800000"/>
        <w:right w:val="single" w:sz="4" w:space="0" w:color="800000"/>
      </w:pBdr>
      <w:shd w:val="clear" w:color="auto" w:fill="C0C0C0"/>
      <w:spacing w:after="120" w:line="300" w:lineRule="atLeast"/>
    </w:pPr>
    <w:rPr>
      <w:rFonts w:ascii="Arial Narrow" w:eastAsia="Times New Roman" w:hAnsi="Arial Narrow"/>
      <w:b/>
      <w:sz w:val="20"/>
      <w:szCs w:val="20"/>
    </w:rPr>
  </w:style>
  <w:style w:type="paragraph" w:customStyle="1" w:styleId="CustomCaption">
    <w:name w:val="Custom Caption"/>
    <w:basedOn w:val="Normal"/>
    <w:next w:val="Normal"/>
    <w:qFormat/>
    <w:rsid w:val="008E5875"/>
    <w:pPr>
      <w:jc w:val="center"/>
    </w:pPr>
    <w:rPr>
      <w:rFonts w:ascii="Arial Narrow" w:hAnsi="Arial Narrow"/>
      <w:b/>
      <w:bCs/>
      <w:szCs w:val="18"/>
    </w:rPr>
  </w:style>
  <w:style w:type="paragraph" w:customStyle="1" w:styleId="ullet2">
    <w:name w:val="Βullet 2"/>
    <w:basedOn w:val="ListParagraph"/>
    <w:qFormat/>
    <w:rsid w:val="008E5875"/>
    <w:pPr>
      <w:numPr>
        <w:numId w:val="7"/>
      </w:numPr>
      <w:spacing w:line="264" w:lineRule="auto"/>
    </w:pPr>
    <w:rPr>
      <w:rFonts w:ascii="Arial Narrow" w:hAnsi="Arial Narrow"/>
      <w:sz w:val="22"/>
      <w:szCs w:val="20"/>
      <w:lang w:val="x-none" w:eastAsia="x-none"/>
    </w:rPr>
  </w:style>
  <w:style w:type="numbering" w:customStyle="1" w:styleId="Style1BulletedDarkRed3">
    <w:name w:val="Style 1 Bulleted Dark Red3"/>
    <w:basedOn w:val="NoList"/>
    <w:rsid w:val="008E5875"/>
    <w:pPr>
      <w:numPr>
        <w:numId w:val="7"/>
      </w:numPr>
    </w:pPr>
  </w:style>
  <w:style w:type="paragraph" w:styleId="ListBullet2">
    <w:name w:val="List Bullet 2"/>
    <w:basedOn w:val="Normal"/>
    <w:uiPriority w:val="99"/>
    <w:semiHidden/>
    <w:unhideWhenUsed/>
    <w:rsid w:val="008E5875"/>
    <w:pPr>
      <w:numPr>
        <w:numId w:val="5"/>
      </w:numPr>
      <w:contextualSpacing/>
    </w:pPr>
  </w:style>
  <w:style w:type="paragraph" w:styleId="BodyText">
    <w:name w:val="Body Text"/>
    <w:basedOn w:val="Normal"/>
    <w:link w:val="BodyTextChar"/>
    <w:unhideWhenUsed/>
    <w:rsid w:val="008E5875"/>
    <w:pPr>
      <w:spacing w:after="120"/>
    </w:pPr>
  </w:style>
  <w:style w:type="character" w:customStyle="1" w:styleId="BodyTextChar">
    <w:name w:val="Body Text Char"/>
    <w:basedOn w:val="DefaultParagraphFont"/>
    <w:link w:val="BodyText"/>
    <w:rsid w:val="008E5875"/>
    <w:rPr>
      <w:rFonts w:ascii="Century Gothic" w:eastAsia="Calibri" w:hAnsi="Century Gothic" w:cs="Times New Roman"/>
      <w:sz w:val="18"/>
    </w:rPr>
  </w:style>
  <w:style w:type="paragraph" w:styleId="BalloonText">
    <w:name w:val="Balloon Text"/>
    <w:basedOn w:val="Normal"/>
    <w:link w:val="BalloonTextChar"/>
    <w:uiPriority w:val="99"/>
    <w:semiHidden/>
    <w:unhideWhenUsed/>
    <w:rsid w:val="008E5875"/>
    <w:pPr>
      <w:spacing w:before="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8E5875"/>
    <w:rPr>
      <w:rFonts w:ascii="Segoe UI" w:eastAsia="Calibri" w:hAnsi="Segoe UI" w:cs="Segoe UI"/>
      <w:sz w:val="18"/>
      <w:szCs w:val="18"/>
    </w:rPr>
  </w:style>
  <w:style w:type="paragraph" w:styleId="Revision">
    <w:name w:val="Revision"/>
    <w:hidden/>
    <w:uiPriority w:val="99"/>
    <w:semiHidden/>
    <w:rsid w:val="008E5875"/>
    <w:pPr>
      <w:spacing w:after="0" w:line="240" w:lineRule="auto"/>
    </w:pPr>
    <w:rPr>
      <w:rFonts w:ascii="Century Gothic" w:eastAsia="Calibri" w:hAnsi="Century Gothic" w:cs="Times New Roman"/>
      <w:sz w:val="18"/>
    </w:rPr>
  </w:style>
  <w:style w:type="character" w:styleId="CommentReference">
    <w:name w:val="annotation reference"/>
    <w:uiPriority w:val="99"/>
    <w:semiHidden/>
    <w:unhideWhenUsed/>
    <w:rsid w:val="008E5875"/>
    <w:rPr>
      <w:sz w:val="16"/>
      <w:szCs w:val="16"/>
    </w:rPr>
  </w:style>
  <w:style w:type="paragraph" w:styleId="CommentText">
    <w:name w:val="annotation text"/>
    <w:basedOn w:val="Normal"/>
    <w:link w:val="CommentTextChar"/>
    <w:uiPriority w:val="99"/>
    <w:semiHidden/>
    <w:unhideWhenUsed/>
    <w:rsid w:val="008E5875"/>
    <w:rPr>
      <w:sz w:val="20"/>
      <w:szCs w:val="20"/>
    </w:rPr>
  </w:style>
  <w:style w:type="character" w:customStyle="1" w:styleId="CommentTextChar">
    <w:name w:val="Comment Text Char"/>
    <w:basedOn w:val="DefaultParagraphFont"/>
    <w:link w:val="CommentText"/>
    <w:uiPriority w:val="99"/>
    <w:semiHidden/>
    <w:rsid w:val="008E5875"/>
    <w:rPr>
      <w:rFonts w:ascii="Century Gothic" w:eastAsia="Calibri" w:hAnsi="Century Gothic" w:cs="Times New Roman"/>
      <w:sz w:val="20"/>
      <w:szCs w:val="20"/>
    </w:rPr>
  </w:style>
  <w:style w:type="paragraph" w:styleId="CommentSubject">
    <w:name w:val="annotation subject"/>
    <w:basedOn w:val="CommentText"/>
    <w:next w:val="CommentText"/>
    <w:link w:val="CommentSubjectChar"/>
    <w:uiPriority w:val="99"/>
    <w:semiHidden/>
    <w:unhideWhenUsed/>
    <w:rsid w:val="008E5875"/>
    <w:rPr>
      <w:b/>
      <w:bCs/>
    </w:rPr>
  </w:style>
  <w:style w:type="character" w:customStyle="1" w:styleId="CommentSubjectChar">
    <w:name w:val="Comment Subject Char"/>
    <w:basedOn w:val="CommentTextChar"/>
    <w:link w:val="CommentSubject"/>
    <w:uiPriority w:val="99"/>
    <w:semiHidden/>
    <w:rsid w:val="008E5875"/>
    <w:rPr>
      <w:rFonts w:ascii="Century Gothic" w:eastAsia="Calibri" w:hAnsi="Century Gothic" w:cs="Times New Roman"/>
      <w:b/>
      <w:bCs/>
      <w:sz w:val="20"/>
      <w:szCs w:val="20"/>
    </w:rPr>
  </w:style>
  <w:style w:type="paragraph" w:customStyle="1" w:styleId="ListParagraphlevel2">
    <w:name w:val="List Paragraph level 2"/>
    <w:basedOn w:val="Normal"/>
    <w:rsid w:val="008E5875"/>
    <w:pPr>
      <w:numPr>
        <w:numId w:val="8"/>
      </w:numPr>
    </w:pPr>
  </w:style>
  <w:style w:type="paragraph" w:styleId="TOC1">
    <w:name w:val="toc 1"/>
    <w:basedOn w:val="Normal"/>
    <w:next w:val="Normal"/>
    <w:autoRedefine/>
    <w:uiPriority w:val="39"/>
    <w:unhideWhenUsed/>
    <w:rsid w:val="008E5875"/>
    <w:pPr>
      <w:shd w:val="clear" w:color="auto" w:fill="D9D9D9"/>
    </w:pPr>
    <w:rPr>
      <w:b/>
    </w:rPr>
  </w:style>
  <w:style w:type="paragraph" w:styleId="TOC2">
    <w:name w:val="toc 2"/>
    <w:basedOn w:val="Normal"/>
    <w:next w:val="Normal"/>
    <w:autoRedefine/>
    <w:uiPriority w:val="39"/>
    <w:unhideWhenUsed/>
    <w:rsid w:val="00B407F5"/>
    <w:pPr>
      <w:tabs>
        <w:tab w:val="left" w:pos="880"/>
        <w:tab w:val="right" w:leader="dot" w:pos="9350"/>
      </w:tabs>
      <w:spacing w:before="80"/>
      <w:ind w:left="181"/>
    </w:pPr>
  </w:style>
  <w:style w:type="paragraph" w:styleId="TOC3">
    <w:name w:val="toc 3"/>
    <w:basedOn w:val="Normal"/>
    <w:next w:val="Normal"/>
    <w:autoRedefine/>
    <w:uiPriority w:val="39"/>
    <w:unhideWhenUsed/>
    <w:rsid w:val="008E5875"/>
    <w:pPr>
      <w:ind w:left="360"/>
    </w:pPr>
  </w:style>
  <w:style w:type="table" w:customStyle="1" w:styleId="TableGridLight1">
    <w:name w:val="Table Grid Light1"/>
    <w:basedOn w:val="TableNormal"/>
    <w:uiPriority w:val="40"/>
    <w:rsid w:val="008E5875"/>
    <w:pPr>
      <w:spacing w:after="0" w:line="240" w:lineRule="auto"/>
    </w:pPr>
    <w:rPr>
      <w:rFonts w:ascii="Calibri" w:eastAsia="Calibri" w:hAnsi="Calibri" w:cs="Times New Roman"/>
      <w:sz w:val="20"/>
      <w:szCs w:val="20"/>
      <w:lang w:eastAsia="el-G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bullet3">
    <w:name w:val="bullet 3"/>
    <w:basedOn w:val="bullet1"/>
    <w:qFormat/>
    <w:rsid w:val="008E5875"/>
    <w:pPr>
      <w:numPr>
        <w:ilvl w:val="2"/>
      </w:numPr>
    </w:pPr>
  </w:style>
  <w:style w:type="paragraph" w:styleId="NormalWeb">
    <w:name w:val="Normal (Web)"/>
    <w:basedOn w:val="Normal"/>
    <w:uiPriority w:val="99"/>
    <w:unhideWhenUsed/>
    <w:rsid w:val="008E5875"/>
    <w:pPr>
      <w:spacing w:before="100" w:beforeAutospacing="1" w:after="100" w:afterAutospacing="1" w:line="240" w:lineRule="auto"/>
      <w:jc w:val="left"/>
    </w:pPr>
    <w:rPr>
      <w:rFonts w:ascii="Times New Roman" w:eastAsia="Times New Roman" w:hAnsi="Times New Roman"/>
      <w:sz w:val="24"/>
      <w:szCs w:val="24"/>
      <w:lang w:eastAsia="el-GR"/>
    </w:rPr>
  </w:style>
  <w:style w:type="paragraph" w:customStyle="1" w:styleId="1">
    <w:name w:val="Παράγραφος λίστας1"/>
    <w:basedOn w:val="Normal"/>
    <w:rsid w:val="008E5875"/>
    <w:pPr>
      <w:spacing w:before="0" w:after="120" w:line="264" w:lineRule="auto"/>
      <w:ind w:left="720"/>
      <w:jc w:val="left"/>
    </w:pPr>
    <w:rPr>
      <w:rFonts w:ascii="Calibri" w:eastAsia="Times New Roman" w:hAnsi="Calibri" w:cs="Calibri"/>
      <w:sz w:val="21"/>
      <w:szCs w:val="21"/>
    </w:rPr>
  </w:style>
  <w:style w:type="character" w:styleId="BookTitle">
    <w:name w:val="Book Title"/>
    <w:uiPriority w:val="33"/>
    <w:qFormat/>
    <w:rsid w:val="008E5875"/>
    <w:rPr>
      <w:b/>
      <w:bCs/>
      <w:i/>
      <w:iCs/>
      <w:spacing w:val="5"/>
    </w:rPr>
  </w:style>
  <w:style w:type="paragraph" w:styleId="TOC4">
    <w:name w:val="toc 4"/>
    <w:basedOn w:val="Normal"/>
    <w:next w:val="Normal"/>
    <w:autoRedefine/>
    <w:uiPriority w:val="39"/>
    <w:unhideWhenUsed/>
    <w:rsid w:val="008E5875"/>
    <w:pPr>
      <w:ind w:left="540"/>
    </w:pPr>
  </w:style>
  <w:style w:type="character" w:styleId="Emphasis">
    <w:name w:val="Emphasis"/>
    <w:uiPriority w:val="20"/>
    <w:qFormat/>
    <w:rsid w:val="008E5875"/>
    <w:rPr>
      <w:i/>
      <w:iCs/>
    </w:rPr>
  </w:style>
  <w:style w:type="paragraph" w:customStyle="1" w:styleId="Default">
    <w:name w:val="Default"/>
    <w:rsid w:val="008E5875"/>
    <w:pPr>
      <w:autoSpaceDE w:val="0"/>
      <w:autoSpaceDN w:val="0"/>
      <w:adjustRightInd w:val="0"/>
      <w:spacing w:after="0" w:line="240" w:lineRule="auto"/>
    </w:pPr>
    <w:rPr>
      <w:rFonts w:ascii="Tahoma" w:eastAsia="Times New Roman" w:hAnsi="Tahoma" w:cs="Tahoma"/>
      <w:color w:val="000000"/>
      <w:sz w:val="24"/>
      <w:szCs w:val="24"/>
    </w:rPr>
  </w:style>
  <w:style w:type="paragraph" w:customStyle="1" w:styleId="gmail-msolistparagraph">
    <w:name w:val="gmail-msolistparagraph"/>
    <w:basedOn w:val="Normal"/>
    <w:rsid w:val="008E5875"/>
    <w:pPr>
      <w:spacing w:before="100" w:beforeAutospacing="1" w:after="100" w:afterAutospacing="1" w:line="240" w:lineRule="auto"/>
      <w:jc w:val="left"/>
    </w:pPr>
    <w:rPr>
      <w:rFonts w:ascii="Times New Roman" w:hAnsi="Times New Roman"/>
      <w:sz w:val="24"/>
      <w:szCs w:val="24"/>
      <w:lang w:eastAsia="el-GR"/>
    </w:rPr>
  </w:style>
  <w:style w:type="paragraph" w:styleId="NoSpacing">
    <w:name w:val="No Spacing"/>
    <w:uiPriority w:val="1"/>
    <w:qFormat/>
    <w:rsid w:val="008E5875"/>
    <w:pPr>
      <w:spacing w:after="0" w:line="240" w:lineRule="auto"/>
    </w:pPr>
    <w:rPr>
      <w:rFonts w:ascii="Calibri" w:eastAsia="Calibri" w:hAnsi="Calibri" w:cs="Times New Roman"/>
      <w:lang w:val="en-US"/>
    </w:rPr>
  </w:style>
  <w:style w:type="character" w:customStyle="1" w:styleId="part-2">
    <w:name w:val="part-2"/>
    <w:rsid w:val="008E5875"/>
  </w:style>
  <w:style w:type="character" w:styleId="Strong">
    <w:name w:val="Strong"/>
    <w:uiPriority w:val="22"/>
    <w:qFormat/>
    <w:rsid w:val="008E5875"/>
    <w:rPr>
      <w:b/>
      <w:bCs/>
    </w:rPr>
  </w:style>
  <w:style w:type="character" w:customStyle="1" w:styleId="fontstyle01">
    <w:name w:val="fontstyle01"/>
    <w:rsid w:val="008E5875"/>
    <w:rPr>
      <w:rFonts w:ascii="GillSans" w:hAnsi="GillSans" w:hint="default"/>
      <w:b w:val="0"/>
      <w:bCs w:val="0"/>
      <w:i w:val="0"/>
      <w:iCs w:val="0"/>
      <w:color w:val="000000"/>
      <w:sz w:val="20"/>
      <w:szCs w:val="20"/>
    </w:rPr>
  </w:style>
  <w:style w:type="paragraph" w:customStyle="1" w:styleId="rprtbody1">
    <w:name w:val="rprtbody1"/>
    <w:basedOn w:val="Normal"/>
    <w:rsid w:val="008E5875"/>
    <w:pPr>
      <w:spacing w:before="34" w:after="34" w:line="240" w:lineRule="auto"/>
      <w:jc w:val="left"/>
    </w:pPr>
    <w:rPr>
      <w:rFonts w:ascii="Times New Roman" w:eastAsia="Times New Roman" w:hAnsi="Times New Roman"/>
      <w:sz w:val="28"/>
      <w:szCs w:val="28"/>
      <w:lang w:eastAsia="el-GR"/>
    </w:rPr>
  </w:style>
  <w:style w:type="character" w:customStyle="1" w:styleId="highlight">
    <w:name w:val="highlight"/>
    <w:rsid w:val="008E5875"/>
  </w:style>
  <w:style w:type="paragraph" w:customStyle="1" w:styleId="WW-Default">
    <w:name w:val="WW-Default"/>
    <w:rsid w:val="008E5875"/>
    <w:pPr>
      <w:widowControl w:val="0"/>
      <w:suppressAutoHyphens/>
      <w:autoSpaceDE w:val="0"/>
      <w:spacing w:after="0" w:line="240" w:lineRule="auto"/>
    </w:pPr>
    <w:rPr>
      <w:rFonts w:ascii="Free Serif Bold" w:eastAsia="Times New Roman" w:hAnsi="Free Serif Bold" w:cs="Free Serif Bold"/>
      <w:color w:val="000000"/>
      <w:sz w:val="24"/>
      <w:szCs w:val="24"/>
      <w:lang w:val="fr-FR" w:eastAsia="zh-CN"/>
    </w:rPr>
  </w:style>
  <w:style w:type="character" w:customStyle="1" w:styleId="jrnl">
    <w:name w:val="jrnl"/>
    <w:rsid w:val="008E5875"/>
  </w:style>
  <w:style w:type="character" w:customStyle="1" w:styleId="apple-converted-space">
    <w:name w:val="apple-converted-space"/>
    <w:uiPriority w:val="99"/>
    <w:rsid w:val="008E5875"/>
    <w:rPr>
      <w:rFonts w:cs="Times New Roman"/>
    </w:rPr>
  </w:style>
  <w:style w:type="paragraph" w:customStyle="1" w:styleId="ColorfulList-Accent11">
    <w:name w:val="Colorful List - Accent 11"/>
    <w:basedOn w:val="Normal"/>
    <w:uiPriority w:val="99"/>
    <w:rsid w:val="008E5875"/>
    <w:pPr>
      <w:spacing w:before="0" w:line="240" w:lineRule="auto"/>
      <w:ind w:left="720"/>
      <w:contextualSpacing/>
      <w:jc w:val="left"/>
    </w:pPr>
    <w:rPr>
      <w:rFonts w:ascii="Calibri" w:eastAsia="MS Mincho" w:hAnsi="Calibri"/>
      <w:sz w:val="24"/>
      <w:szCs w:val="24"/>
      <w:lang w:val="en-GB" w:eastAsia="fr-FR"/>
    </w:rPr>
  </w:style>
  <w:style w:type="paragraph" w:customStyle="1" w:styleId="ColorfulList-Accent12">
    <w:name w:val="Colorful List - Accent 12"/>
    <w:basedOn w:val="Normal"/>
    <w:uiPriority w:val="99"/>
    <w:rsid w:val="008E5875"/>
    <w:pPr>
      <w:spacing w:before="0" w:line="360" w:lineRule="auto"/>
      <w:ind w:left="720"/>
      <w:contextualSpacing/>
    </w:pPr>
    <w:rPr>
      <w:rFonts w:ascii="Calibri" w:hAnsi="Calibri"/>
      <w:sz w:val="22"/>
    </w:rPr>
  </w:style>
  <w:style w:type="character" w:customStyle="1" w:styleId="shorttext">
    <w:name w:val="short_text"/>
    <w:rsid w:val="008E5875"/>
  </w:style>
  <w:style w:type="paragraph" w:customStyle="1" w:styleId="p">
    <w:name w:val="p"/>
    <w:basedOn w:val="Normal"/>
    <w:rsid w:val="008E5875"/>
    <w:pPr>
      <w:spacing w:before="100" w:beforeAutospacing="1" w:after="100" w:afterAutospacing="1" w:line="240" w:lineRule="auto"/>
      <w:jc w:val="left"/>
    </w:pPr>
    <w:rPr>
      <w:rFonts w:ascii="Times New Roman" w:eastAsia="Times New Roman" w:hAnsi="Times New Roman"/>
      <w:sz w:val="24"/>
      <w:szCs w:val="24"/>
      <w:lang w:eastAsia="el-GR"/>
    </w:rPr>
  </w:style>
  <w:style w:type="character" w:styleId="FollowedHyperlink">
    <w:name w:val="FollowedHyperlink"/>
    <w:uiPriority w:val="99"/>
    <w:semiHidden/>
    <w:unhideWhenUsed/>
    <w:rsid w:val="008E5875"/>
    <w:rPr>
      <w:color w:val="800080"/>
      <w:u w:val="single"/>
    </w:rPr>
  </w:style>
  <w:style w:type="character" w:styleId="SubtleReference">
    <w:name w:val="Subtle Reference"/>
    <w:uiPriority w:val="31"/>
    <w:qFormat/>
    <w:rsid w:val="008E5875"/>
    <w:rPr>
      <w:smallCaps/>
      <w:color w:val="5A5A5A"/>
    </w:rPr>
  </w:style>
  <w:style w:type="character" w:customStyle="1" w:styleId="tlid-translation">
    <w:name w:val="tlid-translation"/>
    <w:rsid w:val="008E5875"/>
  </w:style>
  <w:style w:type="table" w:customStyle="1" w:styleId="TableGrid1">
    <w:name w:val="Table Grid1"/>
    <w:basedOn w:val="TableNormal"/>
    <w:next w:val="TableGrid"/>
    <w:uiPriority w:val="59"/>
    <w:rsid w:val="008E587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E587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D6AB2"/>
    <w:pPr>
      <w:spacing w:after="80" w:line="240" w:lineRule="auto"/>
      <w:jc w:val="center"/>
    </w:pPr>
    <w:rPr>
      <w:rFonts w:asciiTheme="minorHAnsi" w:eastAsiaTheme="minorHAnsi" w:hAnsiTheme="minorHAnsi" w:cstheme="minorBidi"/>
      <w:b/>
      <w:iCs/>
      <w:sz w:val="16"/>
      <w:szCs w:val="18"/>
    </w:rPr>
  </w:style>
  <w:style w:type="character" w:customStyle="1" w:styleId="UnresolvedMention1">
    <w:name w:val="Unresolved Mention1"/>
    <w:basedOn w:val="DefaultParagraphFont"/>
    <w:uiPriority w:val="99"/>
    <w:semiHidden/>
    <w:unhideWhenUsed/>
    <w:rsid w:val="00624D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499186">
      <w:bodyDiv w:val="1"/>
      <w:marLeft w:val="0"/>
      <w:marRight w:val="0"/>
      <w:marTop w:val="0"/>
      <w:marBottom w:val="0"/>
      <w:divBdr>
        <w:top w:val="none" w:sz="0" w:space="0" w:color="auto"/>
        <w:left w:val="none" w:sz="0" w:space="0" w:color="auto"/>
        <w:bottom w:val="none" w:sz="0" w:space="0" w:color="auto"/>
        <w:right w:val="none" w:sz="0" w:space="0" w:color="auto"/>
      </w:divBdr>
    </w:div>
    <w:div w:id="151409762">
      <w:bodyDiv w:val="1"/>
      <w:marLeft w:val="0"/>
      <w:marRight w:val="0"/>
      <w:marTop w:val="0"/>
      <w:marBottom w:val="0"/>
      <w:divBdr>
        <w:top w:val="none" w:sz="0" w:space="0" w:color="auto"/>
        <w:left w:val="none" w:sz="0" w:space="0" w:color="auto"/>
        <w:bottom w:val="none" w:sz="0" w:space="0" w:color="auto"/>
        <w:right w:val="none" w:sz="0" w:space="0" w:color="auto"/>
      </w:divBdr>
    </w:div>
    <w:div w:id="172453863">
      <w:bodyDiv w:val="1"/>
      <w:marLeft w:val="0"/>
      <w:marRight w:val="0"/>
      <w:marTop w:val="0"/>
      <w:marBottom w:val="0"/>
      <w:divBdr>
        <w:top w:val="none" w:sz="0" w:space="0" w:color="auto"/>
        <w:left w:val="none" w:sz="0" w:space="0" w:color="auto"/>
        <w:bottom w:val="none" w:sz="0" w:space="0" w:color="auto"/>
        <w:right w:val="none" w:sz="0" w:space="0" w:color="auto"/>
      </w:divBdr>
    </w:div>
    <w:div w:id="198057038">
      <w:bodyDiv w:val="1"/>
      <w:marLeft w:val="0"/>
      <w:marRight w:val="0"/>
      <w:marTop w:val="0"/>
      <w:marBottom w:val="0"/>
      <w:divBdr>
        <w:top w:val="none" w:sz="0" w:space="0" w:color="auto"/>
        <w:left w:val="none" w:sz="0" w:space="0" w:color="auto"/>
        <w:bottom w:val="none" w:sz="0" w:space="0" w:color="auto"/>
        <w:right w:val="none" w:sz="0" w:space="0" w:color="auto"/>
      </w:divBdr>
    </w:div>
    <w:div w:id="283929748">
      <w:bodyDiv w:val="1"/>
      <w:marLeft w:val="0"/>
      <w:marRight w:val="0"/>
      <w:marTop w:val="0"/>
      <w:marBottom w:val="0"/>
      <w:divBdr>
        <w:top w:val="none" w:sz="0" w:space="0" w:color="auto"/>
        <w:left w:val="none" w:sz="0" w:space="0" w:color="auto"/>
        <w:bottom w:val="none" w:sz="0" w:space="0" w:color="auto"/>
        <w:right w:val="none" w:sz="0" w:space="0" w:color="auto"/>
      </w:divBdr>
    </w:div>
    <w:div w:id="290016450">
      <w:bodyDiv w:val="1"/>
      <w:marLeft w:val="0"/>
      <w:marRight w:val="0"/>
      <w:marTop w:val="0"/>
      <w:marBottom w:val="0"/>
      <w:divBdr>
        <w:top w:val="none" w:sz="0" w:space="0" w:color="auto"/>
        <w:left w:val="none" w:sz="0" w:space="0" w:color="auto"/>
        <w:bottom w:val="none" w:sz="0" w:space="0" w:color="auto"/>
        <w:right w:val="none" w:sz="0" w:space="0" w:color="auto"/>
      </w:divBdr>
    </w:div>
    <w:div w:id="291444959">
      <w:bodyDiv w:val="1"/>
      <w:marLeft w:val="0"/>
      <w:marRight w:val="0"/>
      <w:marTop w:val="0"/>
      <w:marBottom w:val="0"/>
      <w:divBdr>
        <w:top w:val="none" w:sz="0" w:space="0" w:color="auto"/>
        <w:left w:val="none" w:sz="0" w:space="0" w:color="auto"/>
        <w:bottom w:val="none" w:sz="0" w:space="0" w:color="auto"/>
        <w:right w:val="none" w:sz="0" w:space="0" w:color="auto"/>
      </w:divBdr>
    </w:div>
    <w:div w:id="306978090">
      <w:bodyDiv w:val="1"/>
      <w:marLeft w:val="0"/>
      <w:marRight w:val="0"/>
      <w:marTop w:val="0"/>
      <w:marBottom w:val="0"/>
      <w:divBdr>
        <w:top w:val="none" w:sz="0" w:space="0" w:color="auto"/>
        <w:left w:val="none" w:sz="0" w:space="0" w:color="auto"/>
        <w:bottom w:val="none" w:sz="0" w:space="0" w:color="auto"/>
        <w:right w:val="none" w:sz="0" w:space="0" w:color="auto"/>
      </w:divBdr>
    </w:div>
    <w:div w:id="429205619">
      <w:bodyDiv w:val="1"/>
      <w:marLeft w:val="0"/>
      <w:marRight w:val="0"/>
      <w:marTop w:val="0"/>
      <w:marBottom w:val="0"/>
      <w:divBdr>
        <w:top w:val="none" w:sz="0" w:space="0" w:color="auto"/>
        <w:left w:val="none" w:sz="0" w:space="0" w:color="auto"/>
        <w:bottom w:val="none" w:sz="0" w:space="0" w:color="auto"/>
        <w:right w:val="none" w:sz="0" w:space="0" w:color="auto"/>
      </w:divBdr>
    </w:div>
    <w:div w:id="441341814">
      <w:bodyDiv w:val="1"/>
      <w:marLeft w:val="0"/>
      <w:marRight w:val="0"/>
      <w:marTop w:val="0"/>
      <w:marBottom w:val="0"/>
      <w:divBdr>
        <w:top w:val="none" w:sz="0" w:space="0" w:color="auto"/>
        <w:left w:val="none" w:sz="0" w:space="0" w:color="auto"/>
        <w:bottom w:val="none" w:sz="0" w:space="0" w:color="auto"/>
        <w:right w:val="none" w:sz="0" w:space="0" w:color="auto"/>
      </w:divBdr>
      <w:divsChild>
        <w:div w:id="1364330577">
          <w:marLeft w:val="0"/>
          <w:marRight w:val="0"/>
          <w:marTop w:val="0"/>
          <w:marBottom w:val="0"/>
          <w:divBdr>
            <w:top w:val="none" w:sz="0" w:space="0" w:color="auto"/>
            <w:left w:val="none" w:sz="0" w:space="0" w:color="auto"/>
            <w:bottom w:val="none" w:sz="0" w:space="0" w:color="auto"/>
            <w:right w:val="none" w:sz="0" w:space="0" w:color="auto"/>
          </w:divBdr>
          <w:divsChild>
            <w:div w:id="803818700">
              <w:marLeft w:val="0"/>
              <w:marRight w:val="0"/>
              <w:marTop w:val="0"/>
              <w:marBottom w:val="0"/>
              <w:divBdr>
                <w:top w:val="none" w:sz="0" w:space="0" w:color="auto"/>
                <w:left w:val="none" w:sz="0" w:space="0" w:color="auto"/>
                <w:bottom w:val="none" w:sz="0" w:space="0" w:color="auto"/>
                <w:right w:val="none" w:sz="0" w:space="0" w:color="auto"/>
              </w:divBdr>
              <w:divsChild>
                <w:div w:id="1702437041">
                  <w:marLeft w:val="0"/>
                  <w:marRight w:val="0"/>
                  <w:marTop w:val="0"/>
                  <w:marBottom w:val="0"/>
                  <w:divBdr>
                    <w:top w:val="none" w:sz="0" w:space="0" w:color="auto"/>
                    <w:left w:val="none" w:sz="0" w:space="0" w:color="auto"/>
                    <w:bottom w:val="none" w:sz="0" w:space="0" w:color="auto"/>
                    <w:right w:val="none" w:sz="0" w:space="0" w:color="auto"/>
                  </w:divBdr>
                  <w:divsChild>
                    <w:div w:id="405613187">
                      <w:marLeft w:val="0"/>
                      <w:marRight w:val="0"/>
                      <w:marTop w:val="0"/>
                      <w:marBottom w:val="0"/>
                      <w:divBdr>
                        <w:top w:val="none" w:sz="0" w:space="0" w:color="auto"/>
                        <w:left w:val="none" w:sz="0" w:space="0" w:color="auto"/>
                        <w:bottom w:val="none" w:sz="0" w:space="0" w:color="auto"/>
                        <w:right w:val="none" w:sz="0" w:space="0" w:color="auto"/>
                      </w:divBdr>
                      <w:divsChild>
                        <w:div w:id="549417148">
                          <w:marLeft w:val="0"/>
                          <w:marRight w:val="0"/>
                          <w:marTop w:val="0"/>
                          <w:marBottom w:val="0"/>
                          <w:divBdr>
                            <w:top w:val="none" w:sz="0" w:space="0" w:color="auto"/>
                            <w:left w:val="none" w:sz="0" w:space="0" w:color="auto"/>
                            <w:bottom w:val="none" w:sz="0" w:space="0" w:color="auto"/>
                            <w:right w:val="none" w:sz="0" w:space="0" w:color="auto"/>
                          </w:divBdr>
                          <w:divsChild>
                            <w:div w:id="852767445">
                              <w:marLeft w:val="0"/>
                              <w:marRight w:val="0"/>
                              <w:marTop w:val="0"/>
                              <w:marBottom w:val="0"/>
                              <w:divBdr>
                                <w:top w:val="none" w:sz="0" w:space="0" w:color="auto"/>
                                <w:left w:val="none" w:sz="0" w:space="0" w:color="auto"/>
                                <w:bottom w:val="none" w:sz="0" w:space="0" w:color="auto"/>
                                <w:right w:val="none" w:sz="0" w:space="0" w:color="auto"/>
                              </w:divBdr>
                              <w:divsChild>
                                <w:div w:id="1684235419">
                                  <w:marLeft w:val="0"/>
                                  <w:marRight w:val="0"/>
                                  <w:marTop w:val="0"/>
                                  <w:marBottom w:val="0"/>
                                  <w:divBdr>
                                    <w:top w:val="none" w:sz="0" w:space="0" w:color="auto"/>
                                    <w:left w:val="none" w:sz="0" w:space="0" w:color="auto"/>
                                    <w:bottom w:val="none" w:sz="0" w:space="0" w:color="auto"/>
                                    <w:right w:val="none" w:sz="0" w:space="0" w:color="auto"/>
                                  </w:divBdr>
                                  <w:divsChild>
                                    <w:div w:id="947158354">
                                      <w:marLeft w:val="0"/>
                                      <w:marRight w:val="0"/>
                                      <w:marTop w:val="0"/>
                                      <w:marBottom w:val="0"/>
                                      <w:divBdr>
                                        <w:top w:val="none" w:sz="0" w:space="0" w:color="auto"/>
                                        <w:left w:val="none" w:sz="0" w:space="0" w:color="auto"/>
                                        <w:bottom w:val="none" w:sz="0" w:space="0" w:color="auto"/>
                                        <w:right w:val="none" w:sz="0" w:space="0" w:color="auto"/>
                                      </w:divBdr>
                                      <w:divsChild>
                                        <w:div w:id="151795257">
                                          <w:marLeft w:val="0"/>
                                          <w:marRight w:val="0"/>
                                          <w:marTop w:val="0"/>
                                          <w:marBottom w:val="150"/>
                                          <w:divBdr>
                                            <w:top w:val="none" w:sz="0" w:space="0" w:color="auto"/>
                                            <w:left w:val="none" w:sz="0" w:space="0" w:color="auto"/>
                                            <w:bottom w:val="none" w:sz="0" w:space="0" w:color="auto"/>
                                            <w:right w:val="none" w:sz="0" w:space="0" w:color="auto"/>
                                          </w:divBdr>
                                          <w:divsChild>
                                            <w:div w:id="1927760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23776651">
      <w:bodyDiv w:val="1"/>
      <w:marLeft w:val="0"/>
      <w:marRight w:val="0"/>
      <w:marTop w:val="0"/>
      <w:marBottom w:val="0"/>
      <w:divBdr>
        <w:top w:val="none" w:sz="0" w:space="0" w:color="auto"/>
        <w:left w:val="none" w:sz="0" w:space="0" w:color="auto"/>
        <w:bottom w:val="none" w:sz="0" w:space="0" w:color="auto"/>
        <w:right w:val="none" w:sz="0" w:space="0" w:color="auto"/>
      </w:divBdr>
    </w:div>
    <w:div w:id="727846421">
      <w:bodyDiv w:val="1"/>
      <w:marLeft w:val="0"/>
      <w:marRight w:val="0"/>
      <w:marTop w:val="0"/>
      <w:marBottom w:val="0"/>
      <w:divBdr>
        <w:top w:val="none" w:sz="0" w:space="0" w:color="auto"/>
        <w:left w:val="none" w:sz="0" w:space="0" w:color="auto"/>
        <w:bottom w:val="none" w:sz="0" w:space="0" w:color="auto"/>
        <w:right w:val="none" w:sz="0" w:space="0" w:color="auto"/>
      </w:divBdr>
    </w:div>
    <w:div w:id="794636341">
      <w:bodyDiv w:val="1"/>
      <w:marLeft w:val="0"/>
      <w:marRight w:val="0"/>
      <w:marTop w:val="0"/>
      <w:marBottom w:val="0"/>
      <w:divBdr>
        <w:top w:val="none" w:sz="0" w:space="0" w:color="auto"/>
        <w:left w:val="none" w:sz="0" w:space="0" w:color="auto"/>
        <w:bottom w:val="none" w:sz="0" w:space="0" w:color="auto"/>
        <w:right w:val="none" w:sz="0" w:space="0" w:color="auto"/>
      </w:divBdr>
    </w:div>
    <w:div w:id="796677767">
      <w:bodyDiv w:val="1"/>
      <w:marLeft w:val="0"/>
      <w:marRight w:val="0"/>
      <w:marTop w:val="0"/>
      <w:marBottom w:val="0"/>
      <w:divBdr>
        <w:top w:val="none" w:sz="0" w:space="0" w:color="auto"/>
        <w:left w:val="none" w:sz="0" w:space="0" w:color="auto"/>
        <w:bottom w:val="none" w:sz="0" w:space="0" w:color="auto"/>
        <w:right w:val="none" w:sz="0" w:space="0" w:color="auto"/>
      </w:divBdr>
    </w:div>
    <w:div w:id="803422529">
      <w:bodyDiv w:val="1"/>
      <w:marLeft w:val="0"/>
      <w:marRight w:val="0"/>
      <w:marTop w:val="0"/>
      <w:marBottom w:val="0"/>
      <w:divBdr>
        <w:top w:val="none" w:sz="0" w:space="0" w:color="auto"/>
        <w:left w:val="none" w:sz="0" w:space="0" w:color="auto"/>
        <w:bottom w:val="none" w:sz="0" w:space="0" w:color="auto"/>
        <w:right w:val="none" w:sz="0" w:space="0" w:color="auto"/>
      </w:divBdr>
    </w:div>
    <w:div w:id="823549643">
      <w:bodyDiv w:val="1"/>
      <w:marLeft w:val="0"/>
      <w:marRight w:val="0"/>
      <w:marTop w:val="0"/>
      <w:marBottom w:val="0"/>
      <w:divBdr>
        <w:top w:val="none" w:sz="0" w:space="0" w:color="auto"/>
        <w:left w:val="none" w:sz="0" w:space="0" w:color="auto"/>
        <w:bottom w:val="none" w:sz="0" w:space="0" w:color="auto"/>
        <w:right w:val="none" w:sz="0" w:space="0" w:color="auto"/>
      </w:divBdr>
    </w:div>
    <w:div w:id="851454395">
      <w:bodyDiv w:val="1"/>
      <w:marLeft w:val="0"/>
      <w:marRight w:val="0"/>
      <w:marTop w:val="0"/>
      <w:marBottom w:val="0"/>
      <w:divBdr>
        <w:top w:val="none" w:sz="0" w:space="0" w:color="auto"/>
        <w:left w:val="none" w:sz="0" w:space="0" w:color="auto"/>
        <w:bottom w:val="none" w:sz="0" w:space="0" w:color="auto"/>
        <w:right w:val="none" w:sz="0" w:space="0" w:color="auto"/>
      </w:divBdr>
    </w:div>
    <w:div w:id="881526901">
      <w:bodyDiv w:val="1"/>
      <w:marLeft w:val="0"/>
      <w:marRight w:val="0"/>
      <w:marTop w:val="0"/>
      <w:marBottom w:val="0"/>
      <w:divBdr>
        <w:top w:val="none" w:sz="0" w:space="0" w:color="auto"/>
        <w:left w:val="none" w:sz="0" w:space="0" w:color="auto"/>
        <w:bottom w:val="none" w:sz="0" w:space="0" w:color="auto"/>
        <w:right w:val="none" w:sz="0" w:space="0" w:color="auto"/>
      </w:divBdr>
    </w:div>
    <w:div w:id="936014797">
      <w:bodyDiv w:val="1"/>
      <w:marLeft w:val="0"/>
      <w:marRight w:val="0"/>
      <w:marTop w:val="0"/>
      <w:marBottom w:val="0"/>
      <w:divBdr>
        <w:top w:val="none" w:sz="0" w:space="0" w:color="auto"/>
        <w:left w:val="none" w:sz="0" w:space="0" w:color="auto"/>
        <w:bottom w:val="none" w:sz="0" w:space="0" w:color="auto"/>
        <w:right w:val="none" w:sz="0" w:space="0" w:color="auto"/>
      </w:divBdr>
    </w:div>
    <w:div w:id="986277346">
      <w:bodyDiv w:val="1"/>
      <w:marLeft w:val="0"/>
      <w:marRight w:val="0"/>
      <w:marTop w:val="0"/>
      <w:marBottom w:val="0"/>
      <w:divBdr>
        <w:top w:val="none" w:sz="0" w:space="0" w:color="auto"/>
        <w:left w:val="none" w:sz="0" w:space="0" w:color="auto"/>
        <w:bottom w:val="none" w:sz="0" w:space="0" w:color="auto"/>
        <w:right w:val="none" w:sz="0" w:space="0" w:color="auto"/>
      </w:divBdr>
    </w:div>
    <w:div w:id="1275331188">
      <w:bodyDiv w:val="1"/>
      <w:marLeft w:val="0"/>
      <w:marRight w:val="0"/>
      <w:marTop w:val="0"/>
      <w:marBottom w:val="0"/>
      <w:divBdr>
        <w:top w:val="none" w:sz="0" w:space="0" w:color="auto"/>
        <w:left w:val="none" w:sz="0" w:space="0" w:color="auto"/>
        <w:bottom w:val="none" w:sz="0" w:space="0" w:color="auto"/>
        <w:right w:val="none" w:sz="0" w:space="0" w:color="auto"/>
      </w:divBdr>
    </w:div>
    <w:div w:id="1281035135">
      <w:bodyDiv w:val="1"/>
      <w:marLeft w:val="0"/>
      <w:marRight w:val="0"/>
      <w:marTop w:val="0"/>
      <w:marBottom w:val="0"/>
      <w:divBdr>
        <w:top w:val="none" w:sz="0" w:space="0" w:color="auto"/>
        <w:left w:val="none" w:sz="0" w:space="0" w:color="auto"/>
        <w:bottom w:val="none" w:sz="0" w:space="0" w:color="auto"/>
        <w:right w:val="none" w:sz="0" w:space="0" w:color="auto"/>
      </w:divBdr>
    </w:div>
    <w:div w:id="1294140510">
      <w:bodyDiv w:val="1"/>
      <w:marLeft w:val="0"/>
      <w:marRight w:val="0"/>
      <w:marTop w:val="0"/>
      <w:marBottom w:val="0"/>
      <w:divBdr>
        <w:top w:val="none" w:sz="0" w:space="0" w:color="auto"/>
        <w:left w:val="none" w:sz="0" w:space="0" w:color="auto"/>
        <w:bottom w:val="none" w:sz="0" w:space="0" w:color="auto"/>
        <w:right w:val="none" w:sz="0" w:space="0" w:color="auto"/>
      </w:divBdr>
    </w:div>
    <w:div w:id="1301768778">
      <w:bodyDiv w:val="1"/>
      <w:marLeft w:val="0"/>
      <w:marRight w:val="0"/>
      <w:marTop w:val="0"/>
      <w:marBottom w:val="0"/>
      <w:divBdr>
        <w:top w:val="none" w:sz="0" w:space="0" w:color="auto"/>
        <w:left w:val="none" w:sz="0" w:space="0" w:color="auto"/>
        <w:bottom w:val="none" w:sz="0" w:space="0" w:color="auto"/>
        <w:right w:val="none" w:sz="0" w:space="0" w:color="auto"/>
      </w:divBdr>
    </w:div>
    <w:div w:id="1328443250">
      <w:bodyDiv w:val="1"/>
      <w:marLeft w:val="0"/>
      <w:marRight w:val="0"/>
      <w:marTop w:val="0"/>
      <w:marBottom w:val="0"/>
      <w:divBdr>
        <w:top w:val="none" w:sz="0" w:space="0" w:color="auto"/>
        <w:left w:val="none" w:sz="0" w:space="0" w:color="auto"/>
        <w:bottom w:val="none" w:sz="0" w:space="0" w:color="auto"/>
        <w:right w:val="none" w:sz="0" w:space="0" w:color="auto"/>
      </w:divBdr>
    </w:div>
    <w:div w:id="1377899430">
      <w:bodyDiv w:val="1"/>
      <w:marLeft w:val="0"/>
      <w:marRight w:val="0"/>
      <w:marTop w:val="0"/>
      <w:marBottom w:val="0"/>
      <w:divBdr>
        <w:top w:val="none" w:sz="0" w:space="0" w:color="auto"/>
        <w:left w:val="none" w:sz="0" w:space="0" w:color="auto"/>
        <w:bottom w:val="none" w:sz="0" w:space="0" w:color="auto"/>
        <w:right w:val="none" w:sz="0" w:space="0" w:color="auto"/>
      </w:divBdr>
    </w:div>
    <w:div w:id="1404063639">
      <w:bodyDiv w:val="1"/>
      <w:marLeft w:val="0"/>
      <w:marRight w:val="0"/>
      <w:marTop w:val="0"/>
      <w:marBottom w:val="0"/>
      <w:divBdr>
        <w:top w:val="none" w:sz="0" w:space="0" w:color="auto"/>
        <w:left w:val="none" w:sz="0" w:space="0" w:color="auto"/>
        <w:bottom w:val="none" w:sz="0" w:space="0" w:color="auto"/>
        <w:right w:val="none" w:sz="0" w:space="0" w:color="auto"/>
      </w:divBdr>
    </w:div>
    <w:div w:id="1463647753">
      <w:bodyDiv w:val="1"/>
      <w:marLeft w:val="0"/>
      <w:marRight w:val="0"/>
      <w:marTop w:val="0"/>
      <w:marBottom w:val="0"/>
      <w:divBdr>
        <w:top w:val="none" w:sz="0" w:space="0" w:color="auto"/>
        <w:left w:val="none" w:sz="0" w:space="0" w:color="auto"/>
        <w:bottom w:val="none" w:sz="0" w:space="0" w:color="auto"/>
        <w:right w:val="none" w:sz="0" w:space="0" w:color="auto"/>
      </w:divBdr>
    </w:div>
    <w:div w:id="1478494525">
      <w:bodyDiv w:val="1"/>
      <w:marLeft w:val="0"/>
      <w:marRight w:val="0"/>
      <w:marTop w:val="0"/>
      <w:marBottom w:val="0"/>
      <w:divBdr>
        <w:top w:val="none" w:sz="0" w:space="0" w:color="auto"/>
        <w:left w:val="none" w:sz="0" w:space="0" w:color="auto"/>
        <w:bottom w:val="none" w:sz="0" w:space="0" w:color="auto"/>
        <w:right w:val="none" w:sz="0" w:space="0" w:color="auto"/>
      </w:divBdr>
    </w:div>
    <w:div w:id="1585720143">
      <w:bodyDiv w:val="1"/>
      <w:marLeft w:val="0"/>
      <w:marRight w:val="0"/>
      <w:marTop w:val="0"/>
      <w:marBottom w:val="0"/>
      <w:divBdr>
        <w:top w:val="none" w:sz="0" w:space="0" w:color="auto"/>
        <w:left w:val="none" w:sz="0" w:space="0" w:color="auto"/>
        <w:bottom w:val="none" w:sz="0" w:space="0" w:color="auto"/>
        <w:right w:val="none" w:sz="0" w:space="0" w:color="auto"/>
      </w:divBdr>
    </w:div>
    <w:div w:id="1619488269">
      <w:bodyDiv w:val="1"/>
      <w:marLeft w:val="0"/>
      <w:marRight w:val="0"/>
      <w:marTop w:val="0"/>
      <w:marBottom w:val="0"/>
      <w:divBdr>
        <w:top w:val="none" w:sz="0" w:space="0" w:color="auto"/>
        <w:left w:val="none" w:sz="0" w:space="0" w:color="auto"/>
        <w:bottom w:val="none" w:sz="0" w:space="0" w:color="auto"/>
        <w:right w:val="none" w:sz="0" w:space="0" w:color="auto"/>
      </w:divBdr>
    </w:div>
    <w:div w:id="1665474380">
      <w:bodyDiv w:val="1"/>
      <w:marLeft w:val="0"/>
      <w:marRight w:val="0"/>
      <w:marTop w:val="0"/>
      <w:marBottom w:val="0"/>
      <w:divBdr>
        <w:top w:val="none" w:sz="0" w:space="0" w:color="auto"/>
        <w:left w:val="none" w:sz="0" w:space="0" w:color="auto"/>
        <w:bottom w:val="none" w:sz="0" w:space="0" w:color="auto"/>
        <w:right w:val="none" w:sz="0" w:space="0" w:color="auto"/>
      </w:divBdr>
    </w:div>
    <w:div w:id="1740905859">
      <w:bodyDiv w:val="1"/>
      <w:marLeft w:val="0"/>
      <w:marRight w:val="0"/>
      <w:marTop w:val="0"/>
      <w:marBottom w:val="0"/>
      <w:divBdr>
        <w:top w:val="none" w:sz="0" w:space="0" w:color="auto"/>
        <w:left w:val="none" w:sz="0" w:space="0" w:color="auto"/>
        <w:bottom w:val="none" w:sz="0" w:space="0" w:color="auto"/>
        <w:right w:val="none" w:sz="0" w:space="0" w:color="auto"/>
      </w:divBdr>
    </w:div>
    <w:div w:id="1785073200">
      <w:bodyDiv w:val="1"/>
      <w:marLeft w:val="0"/>
      <w:marRight w:val="0"/>
      <w:marTop w:val="0"/>
      <w:marBottom w:val="0"/>
      <w:divBdr>
        <w:top w:val="none" w:sz="0" w:space="0" w:color="auto"/>
        <w:left w:val="none" w:sz="0" w:space="0" w:color="auto"/>
        <w:bottom w:val="none" w:sz="0" w:space="0" w:color="auto"/>
        <w:right w:val="none" w:sz="0" w:space="0" w:color="auto"/>
      </w:divBdr>
    </w:div>
    <w:div w:id="1845128452">
      <w:bodyDiv w:val="1"/>
      <w:marLeft w:val="0"/>
      <w:marRight w:val="0"/>
      <w:marTop w:val="0"/>
      <w:marBottom w:val="0"/>
      <w:divBdr>
        <w:top w:val="none" w:sz="0" w:space="0" w:color="auto"/>
        <w:left w:val="none" w:sz="0" w:space="0" w:color="auto"/>
        <w:bottom w:val="none" w:sz="0" w:space="0" w:color="auto"/>
        <w:right w:val="none" w:sz="0" w:space="0" w:color="auto"/>
      </w:divBdr>
    </w:div>
    <w:div w:id="1879507367">
      <w:bodyDiv w:val="1"/>
      <w:marLeft w:val="0"/>
      <w:marRight w:val="0"/>
      <w:marTop w:val="0"/>
      <w:marBottom w:val="0"/>
      <w:divBdr>
        <w:top w:val="none" w:sz="0" w:space="0" w:color="auto"/>
        <w:left w:val="none" w:sz="0" w:space="0" w:color="auto"/>
        <w:bottom w:val="none" w:sz="0" w:space="0" w:color="auto"/>
        <w:right w:val="none" w:sz="0" w:space="0" w:color="auto"/>
      </w:divBdr>
    </w:div>
    <w:div w:id="1911649680">
      <w:bodyDiv w:val="1"/>
      <w:marLeft w:val="0"/>
      <w:marRight w:val="0"/>
      <w:marTop w:val="0"/>
      <w:marBottom w:val="0"/>
      <w:divBdr>
        <w:top w:val="none" w:sz="0" w:space="0" w:color="auto"/>
        <w:left w:val="none" w:sz="0" w:space="0" w:color="auto"/>
        <w:bottom w:val="none" w:sz="0" w:space="0" w:color="auto"/>
        <w:right w:val="none" w:sz="0" w:space="0" w:color="auto"/>
      </w:divBdr>
    </w:div>
    <w:div w:id="1933707465">
      <w:bodyDiv w:val="1"/>
      <w:marLeft w:val="0"/>
      <w:marRight w:val="0"/>
      <w:marTop w:val="0"/>
      <w:marBottom w:val="0"/>
      <w:divBdr>
        <w:top w:val="none" w:sz="0" w:space="0" w:color="auto"/>
        <w:left w:val="none" w:sz="0" w:space="0" w:color="auto"/>
        <w:bottom w:val="none" w:sz="0" w:space="0" w:color="auto"/>
        <w:right w:val="none" w:sz="0" w:space="0" w:color="auto"/>
      </w:divBdr>
    </w:div>
    <w:div w:id="1966933139">
      <w:bodyDiv w:val="1"/>
      <w:marLeft w:val="0"/>
      <w:marRight w:val="0"/>
      <w:marTop w:val="0"/>
      <w:marBottom w:val="0"/>
      <w:divBdr>
        <w:top w:val="none" w:sz="0" w:space="0" w:color="auto"/>
        <w:left w:val="none" w:sz="0" w:space="0" w:color="auto"/>
        <w:bottom w:val="none" w:sz="0" w:space="0" w:color="auto"/>
        <w:right w:val="none" w:sz="0" w:space="0" w:color="auto"/>
      </w:divBdr>
    </w:div>
    <w:div w:id="2007005883">
      <w:bodyDiv w:val="1"/>
      <w:marLeft w:val="0"/>
      <w:marRight w:val="0"/>
      <w:marTop w:val="0"/>
      <w:marBottom w:val="0"/>
      <w:divBdr>
        <w:top w:val="none" w:sz="0" w:space="0" w:color="auto"/>
        <w:left w:val="none" w:sz="0" w:space="0" w:color="auto"/>
        <w:bottom w:val="none" w:sz="0" w:space="0" w:color="auto"/>
        <w:right w:val="none" w:sz="0" w:space="0" w:color="auto"/>
      </w:divBdr>
    </w:div>
    <w:div w:id="2053382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1.xml"/><Relationship Id="rId26" Type="http://schemas.openxmlformats.org/officeDocument/2006/relationships/header" Target="header3.xml"/><Relationship Id="rId39" Type="http://schemas.openxmlformats.org/officeDocument/2006/relationships/header" Target="header5.xml"/><Relationship Id="rId21" Type="http://schemas.openxmlformats.org/officeDocument/2006/relationships/image" Target="media/image7.jpeg"/><Relationship Id="rId34" Type="http://schemas.openxmlformats.org/officeDocument/2006/relationships/chart" Target="charts/chart5.xml"/><Relationship Id="rId42" Type="http://schemas.openxmlformats.org/officeDocument/2006/relationships/header" Target="header6.xml"/><Relationship Id="rId47" Type="http://schemas.openxmlformats.org/officeDocument/2006/relationships/image" Target="media/image16.emf"/><Relationship Id="rId50" Type="http://schemas.openxmlformats.org/officeDocument/2006/relationships/image" Target="media/image19.png"/><Relationship Id="rId55" Type="http://schemas.openxmlformats.org/officeDocument/2006/relationships/chart" Target="charts/chart8.xml"/><Relationship Id="rId63" Type="http://schemas.openxmlformats.org/officeDocument/2006/relationships/header" Target="header9.xml"/><Relationship Id="rId68" Type="http://schemas.openxmlformats.org/officeDocument/2006/relationships/footer" Target="footer13.xml"/><Relationship Id="rId76" Type="http://schemas.openxmlformats.org/officeDocument/2006/relationships/footer" Target="footer16.xml"/><Relationship Id="rId84" Type="http://schemas.openxmlformats.org/officeDocument/2006/relationships/image" Target="media/image26.png"/><Relationship Id="rId89" Type="http://schemas.openxmlformats.org/officeDocument/2006/relationships/footer" Target="footer21.xml"/><Relationship Id="rId7" Type="http://schemas.openxmlformats.org/officeDocument/2006/relationships/endnotes" Target="endnotes.xml"/><Relationship Id="rId71" Type="http://schemas.openxmlformats.org/officeDocument/2006/relationships/image" Target="media/image23.emf"/><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image" Target="media/image11.emf"/><Relationship Id="rId11" Type="http://schemas.openxmlformats.org/officeDocument/2006/relationships/image" Target="media/image2.jpeg"/><Relationship Id="rId24" Type="http://schemas.openxmlformats.org/officeDocument/2006/relationships/header" Target="header2.xml"/><Relationship Id="rId32" Type="http://schemas.openxmlformats.org/officeDocument/2006/relationships/chart" Target="charts/chart3.xml"/><Relationship Id="rId37" Type="http://schemas.openxmlformats.org/officeDocument/2006/relationships/image" Target="media/image12.png"/><Relationship Id="rId40" Type="http://schemas.openxmlformats.org/officeDocument/2006/relationships/footer" Target="footer6.xml"/><Relationship Id="rId45" Type="http://schemas.openxmlformats.org/officeDocument/2006/relationships/header" Target="header7.xml"/><Relationship Id="rId53" Type="http://schemas.openxmlformats.org/officeDocument/2006/relationships/chart" Target="charts/chart7.xml"/><Relationship Id="rId58" Type="http://schemas.openxmlformats.org/officeDocument/2006/relationships/chart" Target="charts/chart11.xml"/><Relationship Id="rId66" Type="http://schemas.openxmlformats.org/officeDocument/2006/relationships/footer" Target="footer12.xml"/><Relationship Id="rId74" Type="http://schemas.openxmlformats.org/officeDocument/2006/relationships/footer" Target="footer15.xml"/><Relationship Id="rId79" Type="http://schemas.openxmlformats.org/officeDocument/2006/relationships/header" Target="header16.xml"/><Relationship Id="rId87" Type="http://schemas.openxmlformats.org/officeDocument/2006/relationships/header" Target="header18.xml"/><Relationship Id="rId5" Type="http://schemas.openxmlformats.org/officeDocument/2006/relationships/webSettings" Target="webSettings.xml"/><Relationship Id="rId61" Type="http://schemas.openxmlformats.org/officeDocument/2006/relationships/footer" Target="footer9.xml"/><Relationship Id="rId82" Type="http://schemas.openxmlformats.org/officeDocument/2006/relationships/footer" Target="footer19.xml"/><Relationship Id="rId90" Type="http://schemas.openxmlformats.org/officeDocument/2006/relationships/fontTable" Target="fontTable.xml"/><Relationship Id="rId1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8.emf"/><Relationship Id="rId27" Type="http://schemas.openxmlformats.org/officeDocument/2006/relationships/footer" Target="footer3.xml"/><Relationship Id="rId30" Type="http://schemas.openxmlformats.org/officeDocument/2006/relationships/header" Target="header4.xml"/><Relationship Id="rId35" Type="http://schemas.openxmlformats.org/officeDocument/2006/relationships/chart" Target="charts/chart6.xml"/><Relationship Id="rId43" Type="http://schemas.openxmlformats.org/officeDocument/2006/relationships/footer" Target="footer7.xml"/><Relationship Id="rId48" Type="http://schemas.openxmlformats.org/officeDocument/2006/relationships/image" Target="media/image17.emf"/><Relationship Id="rId56" Type="http://schemas.openxmlformats.org/officeDocument/2006/relationships/chart" Target="charts/chart9.xml"/><Relationship Id="rId64" Type="http://schemas.openxmlformats.org/officeDocument/2006/relationships/footer" Target="footer11.xml"/><Relationship Id="rId69" Type="http://schemas.openxmlformats.org/officeDocument/2006/relationships/header" Target="header12.xml"/><Relationship Id="rId77" Type="http://schemas.openxmlformats.org/officeDocument/2006/relationships/header" Target="header15.xml"/><Relationship Id="rId8" Type="http://schemas.openxmlformats.org/officeDocument/2006/relationships/hyperlink" Target="http://www.gsrt.gr/central.aspx?langId=2" TargetMode="External"/><Relationship Id="rId51" Type="http://schemas.openxmlformats.org/officeDocument/2006/relationships/image" Target="media/image20.png"/><Relationship Id="rId72" Type="http://schemas.openxmlformats.org/officeDocument/2006/relationships/image" Target="media/image24.emf"/><Relationship Id="rId80" Type="http://schemas.openxmlformats.org/officeDocument/2006/relationships/footer" Target="footer18.xml"/><Relationship Id="rId85"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hyperlink" Target="https://www.google.gr/url?sa=i&amp;rct=j&amp;q=&amp;esrc=s&amp;source=images&amp;cd=&amp;cad=rja&amp;uact=8&amp;ved=2ahUKEwi3i8rV_IvjAhUC3aQKHXU7AjoQjRx6BAgBEAU&amp;url=https://www.shma.gr/content/3/nea-/&amp;psig=AOvVaw0cAFqecWjG8bh1mEVkbsPB&amp;ust=1561804181581059" TargetMode="External"/><Relationship Id="rId17" Type="http://schemas.openxmlformats.org/officeDocument/2006/relationships/chart" Target="charts/chart2.xml"/><Relationship Id="rId25" Type="http://schemas.openxmlformats.org/officeDocument/2006/relationships/footer" Target="footer2.xml"/><Relationship Id="rId33" Type="http://schemas.openxmlformats.org/officeDocument/2006/relationships/chart" Target="charts/chart4.xml"/><Relationship Id="rId38" Type="http://schemas.openxmlformats.org/officeDocument/2006/relationships/image" Target="media/image13.emf"/><Relationship Id="rId46" Type="http://schemas.openxmlformats.org/officeDocument/2006/relationships/footer" Target="footer8.xml"/><Relationship Id="rId59" Type="http://schemas.openxmlformats.org/officeDocument/2006/relationships/chart" Target="charts/chart12.xml"/><Relationship Id="rId67" Type="http://schemas.openxmlformats.org/officeDocument/2006/relationships/header" Target="header11.xml"/><Relationship Id="rId20" Type="http://schemas.openxmlformats.org/officeDocument/2006/relationships/image" Target="media/image6.emf"/><Relationship Id="rId41" Type="http://schemas.openxmlformats.org/officeDocument/2006/relationships/image" Target="media/image14.png"/><Relationship Id="rId54" Type="http://schemas.openxmlformats.org/officeDocument/2006/relationships/image" Target="media/image22.png"/><Relationship Id="rId62" Type="http://schemas.openxmlformats.org/officeDocument/2006/relationships/footer" Target="footer10.xml"/><Relationship Id="rId70" Type="http://schemas.openxmlformats.org/officeDocument/2006/relationships/footer" Target="footer14.xml"/><Relationship Id="rId75" Type="http://schemas.openxmlformats.org/officeDocument/2006/relationships/header" Target="header14.xml"/><Relationship Id="rId83" Type="http://schemas.openxmlformats.org/officeDocument/2006/relationships/image" Target="media/image25.jpeg"/><Relationship Id="rId88" Type="http://schemas.openxmlformats.org/officeDocument/2006/relationships/footer" Target="footer20.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emf"/><Relationship Id="rId28" Type="http://schemas.openxmlformats.org/officeDocument/2006/relationships/image" Target="media/image10.emf"/><Relationship Id="rId36" Type="http://schemas.openxmlformats.org/officeDocument/2006/relationships/footer" Target="footer5.xml"/><Relationship Id="rId49" Type="http://schemas.openxmlformats.org/officeDocument/2006/relationships/image" Target="media/image18.png"/><Relationship Id="rId57" Type="http://schemas.openxmlformats.org/officeDocument/2006/relationships/chart" Target="charts/chart10.xml"/><Relationship Id="rId10" Type="http://schemas.openxmlformats.org/officeDocument/2006/relationships/hyperlink" Target="http://www.google.gr/url?sa=i&amp;rct=j&amp;q=&amp;esrc=s&amp;source=images&amp;cd=&amp;ved=2ahUKEwi6vt2t_IvjAhUFDOwKHXsICDQQjRx6BAgBEAU&amp;url=http://www.antagonistikotita.gr/epanek/proskliseis.asp&amp;psig=AOvVaw0cAFqecWjG8bh1mEVkbsPB&amp;ust=1561804181581059" TargetMode="External"/><Relationship Id="rId31" Type="http://schemas.openxmlformats.org/officeDocument/2006/relationships/footer" Target="footer4.xml"/><Relationship Id="rId44" Type="http://schemas.openxmlformats.org/officeDocument/2006/relationships/image" Target="media/image15.emf"/><Relationship Id="rId52" Type="http://schemas.openxmlformats.org/officeDocument/2006/relationships/image" Target="media/image21.jpg"/><Relationship Id="rId60" Type="http://schemas.openxmlformats.org/officeDocument/2006/relationships/header" Target="header8.xml"/><Relationship Id="rId65" Type="http://schemas.openxmlformats.org/officeDocument/2006/relationships/header" Target="header10.xml"/><Relationship Id="rId73" Type="http://schemas.openxmlformats.org/officeDocument/2006/relationships/header" Target="header13.xml"/><Relationship Id="rId78" Type="http://schemas.openxmlformats.org/officeDocument/2006/relationships/footer" Target="footer17.xml"/><Relationship Id="rId81" Type="http://schemas.openxmlformats.org/officeDocument/2006/relationships/header" Target="header17.xml"/><Relationship Id="rId86" Type="http://schemas.openxmlformats.org/officeDocument/2006/relationships/image" Target="media/image28.png"/><Relationship Id="rId4" Type="http://schemas.openxmlformats.org/officeDocument/2006/relationships/settings" Target="settings.xml"/><Relationship Id="rId9" Type="http://schemas.openxmlformats.org/officeDocument/2006/relationships/image" Target="media/image1.png"/></Relationships>
</file>

<file path=word/_rels/footnotes.xml.rels><?xml version="1.0" encoding="UTF-8" standalone="yes"?>
<Relationships xmlns="http://schemas.openxmlformats.org/package/2006/relationships"><Relationship Id="rId1" Type="http://schemas.openxmlformats.org/officeDocument/2006/relationships/hyperlink" Target="http://metrics.ekt.gr/el/node/378"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file:///C:\Users\dmanos\Desktop\&#917;&#916;&#922;_&#916;&#924;.xlsx" TargetMode="External"/><Relationship Id="rId2" Type="http://schemas.microsoft.com/office/2011/relationships/chartColorStyle" Target="colors1.xml"/><Relationship Id="rId1" Type="http://schemas.microsoft.com/office/2011/relationships/chartStyle" Target="style1.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user\Downloads\fe61eae9-a090-4d2f-b040-52b374d5ef4f.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user\Downloads\0c46e490-bfe3-46c6-b34a-725dfcc9e869.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914;&#953;&#946;&#955;&#943;&#959;1"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914;&#953;&#946;&#955;&#943;&#959;1"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914;&#953;&#946;&#955;&#943;&#959;1"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Users\user\Downloads\money-allocated-par-topics.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Φύλλο1!$A$6</c:f>
              <c:strCache>
                <c:ptCount val="1"/>
                <c:pt idx="0">
                  <c:v>GERD</c:v>
                </c:pt>
              </c:strCache>
            </c:strRef>
          </c:tx>
          <c:dLbls>
            <c:spPr>
              <a:noFill/>
              <a:ln>
                <a:noFill/>
              </a:ln>
              <a:effectLst/>
            </c:spPr>
            <c:txPr>
              <a:bodyPr/>
              <a:lstStyle/>
              <a:p>
                <a:pPr>
                  <a:defRPr sz="9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Φύλλο1!$B$6:$H$6</c:f>
              <c:numCache>
                <c:formatCode>#,##0.0</c:formatCode>
                <c:ptCount val="7"/>
                <c:pt idx="0">
                  <c:v>1391.1</c:v>
                </c:pt>
                <c:pt idx="1">
                  <c:v>1337.6</c:v>
                </c:pt>
                <c:pt idx="2">
                  <c:v>1465.7</c:v>
                </c:pt>
                <c:pt idx="3">
                  <c:v>1488.8</c:v>
                </c:pt>
                <c:pt idx="4">
                  <c:v>1703.8999999999999</c:v>
                </c:pt>
                <c:pt idx="5">
                  <c:v>1754.1999999999998</c:v>
                </c:pt>
                <c:pt idx="6">
                  <c:v>2033.0000000000002</c:v>
                </c:pt>
              </c:numCache>
            </c:numRef>
          </c:val>
          <c:smooth val="0"/>
          <c:extLst>
            <c:ext xmlns:c16="http://schemas.microsoft.com/office/drawing/2014/chart" uri="{C3380CC4-5D6E-409C-BE32-E72D297353CC}">
              <c16:uniqueId val="{00000000-09E7-4E1F-AF83-0C78DB8CA969}"/>
            </c:ext>
          </c:extLst>
        </c:ser>
        <c:dLbls>
          <c:showLegendKey val="0"/>
          <c:showVal val="0"/>
          <c:showCatName val="0"/>
          <c:showSerName val="0"/>
          <c:showPercent val="0"/>
          <c:showBubbleSize val="0"/>
        </c:dLbls>
        <c:marker val="1"/>
        <c:smooth val="0"/>
        <c:axId val="366608000"/>
        <c:axId val="366608560"/>
      </c:lineChart>
      <c:lineChart>
        <c:grouping val="standard"/>
        <c:varyColors val="0"/>
        <c:ser>
          <c:idx val="1"/>
          <c:order val="1"/>
          <c:tx>
            <c:strRef>
              <c:f>Φύλλο1!$A$8</c:f>
              <c:strCache>
                <c:ptCount val="1"/>
                <c:pt idx="0">
                  <c:v>R&amp;D Intensity</c:v>
                </c:pt>
              </c:strCache>
            </c:strRef>
          </c:tx>
          <c:spPr>
            <a:ln>
              <a:noFill/>
            </a:ln>
          </c:spPr>
          <c:dLbls>
            <c:spPr>
              <a:noFill/>
              <a:ln>
                <a:noFill/>
              </a:ln>
              <a:effectLst/>
            </c:spPr>
            <c:txPr>
              <a:bodyPr/>
              <a:lstStyle/>
              <a:p>
                <a:pPr>
                  <a:defRPr sz="900" b="1">
                    <a:solidFill>
                      <a:srgbClr val="FF0000"/>
                    </a:solidFill>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Φύλλο1!$B$8:$H$8</c:f>
              <c:numCache>
                <c:formatCode>0.00%</c:formatCode>
                <c:ptCount val="7"/>
                <c:pt idx="0">
                  <c:v>6.7193517426794034E-3</c:v>
                </c:pt>
                <c:pt idx="1">
                  <c:v>6.9956732054105592E-3</c:v>
                </c:pt>
                <c:pt idx="2">
                  <c:v>8.1252182782763915E-3</c:v>
                </c:pt>
                <c:pt idx="3">
                  <c:v>8.3333100111107061E-3</c:v>
                </c:pt>
                <c:pt idx="4">
                  <c:v>9.6641181541812227E-3</c:v>
                </c:pt>
                <c:pt idx="5">
                  <c:v>1.007007490845256E-2</c:v>
                </c:pt>
                <c:pt idx="6">
                  <c:v>1.1293189645594936E-2</c:v>
                </c:pt>
              </c:numCache>
            </c:numRef>
          </c:val>
          <c:smooth val="0"/>
          <c:extLst>
            <c:ext xmlns:c16="http://schemas.microsoft.com/office/drawing/2014/chart" uri="{C3380CC4-5D6E-409C-BE32-E72D297353CC}">
              <c16:uniqueId val="{00000001-09E7-4E1F-AF83-0C78DB8CA969}"/>
            </c:ext>
          </c:extLst>
        </c:ser>
        <c:dLbls>
          <c:showLegendKey val="0"/>
          <c:showVal val="0"/>
          <c:showCatName val="0"/>
          <c:showSerName val="0"/>
          <c:showPercent val="0"/>
          <c:showBubbleSize val="0"/>
        </c:dLbls>
        <c:marker val="1"/>
        <c:smooth val="0"/>
        <c:axId val="366609680"/>
        <c:axId val="366609120"/>
      </c:lineChart>
      <c:catAx>
        <c:axId val="366608000"/>
        <c:scaling>
          <c:orientation val="minMax"/>
        </c:scaling>
        <c:delete val="0"/>
        <c:axPos val="b"/>
        <c:numFmt formatCode="General" sourceLinked="1"/>
        <c:majorTickMark val="none"/>
        <c:minorTickMark val="none"/>
        <c:tickLblPos val="nextTo"/>
        <c:txPr>
          <a:bodyPr/>
          <a:lstStyle/>
          <a:p>
            <a:pPr>
              <a:defRPr sz="900"/>
            </a:pPr>
            <a:endParaRPr lang="en-US"/>
          </a:p>
        </c:txPr>
        <c:crossAx val="366608560"/>
        <c:crosses val="autoZero"/>
        <c:auto val="1"/>
        <c:lblAlgn val="ctr"/>
        <c:lblOffset val="100"/>
        <c:noMultiLvlLbl val="0"/>
      </c:catAx>
      <c:valAx>
        <c:axId val="366608560"/>
        <c:scaling>
          <c:orientation val="minMax"/>
          <c:max val="4000"/>
        </c:scaling>
        <c:delete val="0"/>
        <c:axPos val="l"/>
        <c:majorGridlines/>
        <c:numFmt formatCode="#,##0.0" sourceLinked="1"/>
        <c:majorTickMark val="none"/>
        <c:minorTickMark val="none"/>
        <c:tickLblPos val="nextTo"/>
        <c:spPr>
          <a:ln w="9525">
            <a:noFill/>
          </a:ln>
        </c:spPr>
        <c:txPr>
          <a:bodyPr/>
          <a:lstStyle/>
          <a:p>
            <a:pPr>
              <a:defRPr sz="900"/>
            </a:pPr>
            <a:endParaRPr lang="en-US"/>
          </a:p>
        </c:txPr>
        <c:crossAx val="366608000"/>
        <c:crosses val="autoZero"/>
        <c:crossBetween val="between"/>
      </c:valAx>
      <c:valAx>
        <c:axId val="366609120"/>
        <c:scaling>
          <c:orientation val="minMax"/>
        </c:scaling>
        <c:delete val="0"/>
        <c:axPos val="r"/>
        <c:numFmt formatCode="0.00%" sourceLinked="1"/>
        <c:majorTickMark val="out"/>
        <c:minorTickMark val="none"/>
        <c:tickLblPos val="nextTo"/>
        <c:txPr>
          <a:bodyPr/>
          <a:lstStyle/>
          <a:p>
            <a:pPr>
              <a:defRPr sz="900"/>
            </a:pPr>
            <a:endParaRPr lang="en-US"/>
          </a:p>
        </c:txPr>
        <c:crossAx val="366609680"/>
        <c:crosses val="max"/>
        <c:crossBetween val="between"/>
      </c:valAx>
      <c:catAx>
        <c:axId val="366609680"/>
        <c:scaling>
          <c:orientation val="minMax"/>
        </c:scaling>
        <c:delete val="1"/>
        <c:axPos val="b"/>
        <c:numFmt formatCode="General" sourceLinked="1"/>
        <c:majorTickMark val="out"/>
        <c:minorTickMark val="none"/>
        <c:tickLblPos val="nextTo"/>
        <c:crossAx val="366609120"/>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Φύλλο1!$A$2</c:f>
              <c:strCache>
                <c:ptCount val="1"/>
                <c:pt idx="0">
                  <c:v>BES</c:v>
                </c:pt>
              </c:strCache>
            </c:strRef>
          </c:tx>
          <c:dLbls>
            <c:spPr>
              <a:noFill/>
              <a:ln>
                <a:noFill/>
              </a:ln>
              <a:effectLst/>
            </c:spPr>
            <c:txPr>
              <a:bodyPr/>
              <a:lstStyle/>
              <a:p>
                <a:pPr>
                  <a:defRPr sz="9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Φύλλο1!$B$2:$H$2</c:f>
              <c:numCache>
                <c:formatCode>0.0</c:formatCode>
                <c:ptCount val="7"/>
                <c:pt idx="0">
                  <c:v>485.9</c:v>
                </c:pt>
                <c:pt idx="1">
                  <c:v>458.6</c:v>
                </c:pt>
                <c:pt idx="2">
                  <c:v>488.7</c:v>
                </c:pt>
                <c:pt idx="3">
                  <c:v>504.4</c:v>
                </c:pt>
                <c:pt idx="4">
                  <c:v>561.6</c:v>
                </c:pt>
                <c:pt idx="5">
                  <c:v>740.4</c:v>
                </c:pt>
                <c:pt idx="6">
                  <c:v>990.8</c:v>
                </c:pt>
              </c:numCache>
            </c:numRef>
          </c:val>
          <c:smooth val="0"/>
          <c:extLst>
            <c:ext xmlns:c16="http://schemas.microsoft.com/office/drawing/2014/chart" uri="{C3380CC4-5D6E-409C-BE32-E72D297353CC}">
              <c16:uniqueId val="{00000000-9AA6-4E53-9148-BDC95A1220DE}"/>
            </c:ext>
          </c:extLst>
        </c:ser>
        <c:ser>
          <c:idx val="1"/>
          <c:order val="1"/>
          <c:tx>
            <c:strRef>
              <c:f>Φύλλο1!$A$3</c:f>
              <c:strCache>
                <c:ptCount val="1"/>
                <c:pt idx="0">
                  <c:v>GOV</c:v>
                </c:pt>
              </c:strCache>
            </c:strRef>
          </c:tx>
          <c:dLbls>
            <c:spPr>
              <a:noFill/>
              <a:ln>
                <a:noFill/>
              </a:ln>
              <a:effectLst/>
            </c:spPr>
            <c:txPr>
              <a:bodyPr/>
              <a:lstStyle/>
              <a:p>
                <a:pPr>
                  <a:defRPr sz="9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Φύλλο1!$B$3:$H$3</c:f>
              <c:numCache>
                <c:formatCode>0.0</c:formatCode>
                <c:ptCount val="7"/>
                <c:pt idx="0">
                  <c:v>331.7</c:v>
                </c:pt>
                <c:pt idx="1">
                  <c:v>331.9</c:v>
                </c:pt>
                <c:pt idx="2">
                  <c:v>410.1</c:v>
                </c:pt>
                <c:pt idx="3">
                  <c:v>412.7</c:v>
                </c:pt>
                <c:pt idx="4">
                  <c:v>479.4</c:v>
                </c:pt>
                <c:pt idx="5">
                  <c:v>438.8</c:v>
                </c:pt>
                <c:pt idx="6">
                  <c:v>448.1</c:v>
                </c:pt>
              </c:numCache>
            </c:numRef>
          </c:val>
          <c:smooth val="0"/>
          <c:extLst>
            <c:ext xmlns:c16="http://schemas.microsoft.com/office/drawing/2014/chart" uri="{C3380CC4-5D6E-409C-BE32-E72D297353CC}">
              <c16:uniqueId val="{00000001-9AA6-4E53-9148-BDC95A1220DE}"/>
            </c:ext>
          </c:extLst>
        </c:ser>
        <c:ser>
          <c:idx val="2"/>
          <c:order val="2"/>
          <c:tx>
            <c:strRef>
              <c:f>Φύλλο1!$A$4</c:f>
              <c:strCache>
                <c:ptCount val="1"/>
                <c:pt idx="0">
                  <c:v>HES</c:v>
                </c:pt>
              </c:strCache>
            </c:strRef>
          </c:tx>
          <c:dLbls>
            <c:spPr>
              <a:noFill/>
              <a:ln>
                <a:noFill/>
              </a:ln>
              <a:effectLst/>
            </c:spPr>
            <c:txPr>
              <a:bodyPr/>
              <a:lstStyle/>
              <a:p>
                <a:pPr>
                  <a:defRPr sz="9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Φύλλο1!$B$4:$H$4</c:f>
              <c:numCache>
                <c:formatCode>0.0</c:formatCode>
                <c:ptCount val="7"/>
                <c:pt idx="0">
                  <c:v>559.5</c:v>
                </c:pt>
                <c:pt idx="1">
                  <c:v>534.29999999999995</c:v>
                </c:pt>
                <c:pt idx="2">
                  <c:v>548.6</c:v>
                </c:pt>
                <c:pt idx="3">
                  <c:v>553.20000000000005</c:v>
                </c:pt>
                <c:pt idx="4">
                  <c:v>643.79999999999995</c:v>
                </c:pt>
                <c:pt idx="5">
                  <c:v>559.4</c:v>
                </c:pt>
                <c:pt idx="6">
                  <c:v>577.70000000000005</c:v>
                </c:pt>
              </c:numCache>
            </c:numRef>
          </c:val>
          <c:smooth val="0"/>
          <c:extLst>
            <c:ext xmlns:c16="http://schemas.microsoft.com/office/drawing/2014/chart" uri="{C3380CC4-5D6E-409C-BE32-E72D297353CC}">
              <c16:uniqueId val="{00000002-9AA6-4E53-9148-BDC95A1220DE}"/>
            </c:ext>
          </c:extLst>
        </c:ser>
        <c:ser>
          <c:idx val="3"/>
          <c:order val="3"/>
          <c:tx>
            <c:strRef>
              <c:f>Φύλλο1!$A$5</c:f>
              <c:strCache>
                <c:ptCount val="1"/>
                <c:pt idx="0">
                  <c:v>PNP</c:v>
                </c:pt>
              </c:strCache>
            </c:strRef>
          </c:tx>
          <c:dLbls>
            <c:spPr>
              <a:noFill/>
              <a:ln>
                <a:noFill/>
              </a:ln>
              <a:effectLst/>
            </c:spPr>
            <c:txPr>
              <a:bodyPr/>
              <a:lstStyle/>
              <a:p>
                <a:pPr>
                  <a:defRPr sz="9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Φύλλο1!$B$1:$H$1</c:f>
              <c:numCache>
                <c:formatCode>General</c:formatCode>
                <c:ptCount val="7"/>
                <c:pt idx="0">
                  <c:v>2011</c:v>
                </c:pt>
                <c:pt idx="1">
                  <c:v>2012</c:v>
                </c:pt>
                <c:pt idx="2">
                  <c:v>2013</c:v>
                </c:pt>
                <c:pt idx="3">
                  <c:v>2014</c:v>
                </c:pt>
                <c:pt idx="4">
                  <c:v>2015</c:v>
                </c:pt>
                <c:pt idx="5">
                  <c:v>2016</c:v>
                </c:pt>
                <c:pt idx="6">
                  <c:v>2017</c:v>
                </c:pt>
              </c:numCache>
            </c:numRef>
          </c:cat>
          <c:val>
            <c:numRef>
              <c:f>Φύλλο1!$B$5:$H$5</c:f>
              <c:numCache>
                <c:formatCode>0.0</c:formatCode>
                <c:ptCount val="7"/>
                <c:pt idx="0">
                  <c:v>14</c:v>
                </c:pt>
                <c:pt idx="1">
                  <c:v>12.8</c:v>
                </c:pt>
                <c:pt idx="2">
                  <c:v>18.3</c:v>
                </c:pt>
                <c:pt idx="3">
                  <c:v>18.5</c:v>
                </c:pt>
                <c:pt idx="4">
                  <c:v>19.100000000000001</c:v>
                </c:pt>
                <c:pt idx="5">
                  <c:v>15.6</c:v>
                </c:pt>
                <c:pt idx="6">
                  <c:v>16.399999999999999</c:v>
                </c:pt>
              </c:numCache>
            </c:numRef>
          </c:val>
          <c:smooth val="0"/>
          <c:extLst>
            <c:ext xmlns:c16="http://schemas.microsoft.com/office/drawing/2014/chart" uri="{C3380CC4-5D6E-409C-BE32-E72D297353CC}">
              <c16:uniqueId val="{00000003-9AA6-4E53-9148-BDC95A1220DE}"/>
            </c:ext>
          </c:extLst>
        </c:ser>
        <c:dLbls>
          <c:showLegendKey val="0"/>
          <c:showVal val="1"/>
          <c:showCatName val="0"/>
          <c:showSerName val="0"/>
          <c:showPercent val="0"/>
          <c:showBubbleSize val="0"/>
        </c:dLbls>
        <c:marker val="1"/>
        <c:smooth val="0"/>
        <c:axId val="366613600"/>
        <c:axId val="366614160"/>
      </c:lineChart>
      <c:catAx>
        <c:axId val="366613600"/>
        <c:scaling>
          <c:orientation val="minMax"/>
        </c:scaling>
        <c:delete val="0"/>
        <c:axPos val="b"/>
        <c:numFmt formatCode="General" sourceLinked="1"/>
        <c:majorTickMark val="none"/>
        <c:minorTickMark val="none"/>
        <c:tickLblPos val="nextTo"/>
        <c:txPr>
          <a:bodyPr/>
          <a:lstStyle/>
          <a:p>
            <a:pPr>
              <a:defRPr sz="900"/>
            </a:pPr>
            <a:endParaRPr lang="en-US"/>
          </a:p>
        </c:txPr>
        <c:crossAx val="366614160"/>
        <c:crosses val="autoZero"/>
        <c:auto val="1"/>
        <c:lblAlgn val="ctr"/>
        <c:lblOffset val="100"/>
        <c:noMultiLvlLbl val="0"/>
      </c:catAx>
      <c:valAx>
        <c:axId val="366614160"/>
        <c:scaling>
          <c:orientation val="minMax"/>
        </c:scaling>
        <c:delete val="0"/>
        <c:axPos val="l"/>
        <c:majorGridlines/>
        <c:numFmt formatCode="0.0" sourceLinked="1"/>
        <c:majorTickMark val="none"/>
        <c:minorTickMark val="none"/>
        <c:tickLblPos val="nextTo"/>
        <c:txPr>
          <a:bodyPr/>
          <a:lstStyle/>
          <a:p>
            <a:pPr>
              <a:defRPr sz="900"/>
            </a:pPr>
            <a:endParaRPr lang="en-US"/>
          </a:p>
        </c:txPr>
        <c:crossAx val="366613600"/>
        <c:crosses val="autoZero"/>
        <c:crossBetween val="between"/>
      </c:valAx>
    </c:plotArea>
    <c:legend>
      <c:legendPos val="r"/>
      <c:overlay val="0"/>
      <c:txPr>
        <a:bodyPr/>
        <a:lstStyle/>
        <a:p>
          <a:pPr>
            <a:defRPr sz="900"/>
          </a:pPr>
          <a:endParaRPr lang="en-US"/>
        </a:p>
      </c:tx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b="1"/>
              <a:t>Υποβολές - Προϋπολογισμός Δ.Δ. ανά Τομέα</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'Υποβολές ΕΔΚ'!$B$26</c:f>
              <c:strCache>
                <c:ptCount val="1"/>
                <c:pt idx="0">
                  <c:v>Υποβολές - Προϋπολογισμός Δ.Δ. ανά Τομέα</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768-4288-BB24-5E3116227899}"/>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768-4288-BB24-5E311622789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768-4288-BB24-5E3116227899}"/>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768-4288-BB24-5E3116227899}"/>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768-4288-BB24-5E3116227899}"/>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D768-4288-BB24-5E3116227899}"/>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D768-4288-BB24-5E3116227899}"/>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D768-4288-BB24-5E3116227899}"/>
              </c:ext>
            </c:extLst>
          </c:dPt>
          <c:dLbls>
            <c:dLbl>
              <c:idx val="0"/>
              <c:layout>
                <c:manualLayout>
                  <c:x val="4.027777777777778E-2"/>
                  <c:y val="-2.5306492368565761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0C4B399F-6ADE-43D2-89EC-259EFC91CE6F}" type="VALUE">
                      <a:rPr lang="en-US"/>
                      <a:pPr>
                        <a:defRPr/>
                      </a:pPr>
                      <a:t>[VALUE]</a:t>
                    </a:fld>
                    <a:r>
                      <a:rPr lang="en-US"/>
                      <a:t> (7%)</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4305555555555555"/>
                      <c:h val="4.3230939091375119E-2"/>
                    </c:manualLayout>
                  </c15:layout>
                  <c15:dlblFieldTable/>
                  <c15:showDataLabelsRange val="0"/>
                </c:ext>
                <c:ext xmlns:c16="http://schemas.microsoft.com/office/drawing/2014/chart" uri="{C3380CC4-5D6E-409C-BE32-E72D297353CC}">
                  <c16:uniqueId val="{00000001-D768-4288-BB24-5E3116227899}"/>
                </c:ext>
              </c:extLst>
            </c:dLbl>
            <c:dLbl>
              <c:idx val="1"/>
              <c:tx>
                <c:rich>
                  <a:bodyPr/>
                  <a:lstStyle/>
                  <a:p>
                    <a:fld id="{236E8533-C0B5-4BA0-AD26-30840036386A}" type="VALUE">
                      <a:rPr lang="en-US"/>
                      <a:pPr/>
                      <a:t>[VALUE]</a:t>
                    </a:fld>
                    <a:r>
                      <a:rPr lang="en-US"/>
                      <a:t> (11,9%)</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D768-4288-BB24-5E3116227899}"/>
                </c:ext>
              </c:extLst>
            </c:dLbl>
            <c:dLbl>
              <c:idx val="2"/>
              <c:layout>
                <c:manualLayout>
                  <c:x val="-1.3087270341207349E-3"/>
                  <c:y val="-7.7018076850862274E-2"/>
                </c:manualLayout>
              </c:layout>
              <c:tx>
                <c:rich>
                  <a:bodyPr/>
                  <a:lstStyle/>
                  <a:p>
                    <a:fld id="{68BF3FD1-4D5A-467A-9011-EEC78F402B39}" type="VALUE">
                      <a:rPr lang="en-US"/>
                      <a:pPr/>
                      <a:t>[VALUE]</a:t>
                    </a:fld>
                    <a:r>
                      <a:rPr lang="en-US"/>
                      <a:t> (20,1%)</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D768-4288-BB24-5E3116227899}"/>
                </c:ext>
              </c:extLst>
            </c:dLbl>
            <c:dLbl>
              <c:idx val="3"/>
              <c:layout>
                <c:manualLayout>
                  <c:x val="3.6733844978238353E-2"/>
                  <c:y val="4.459427892897699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88999673-6BA8-4E7C-B120-7EA687302DC8}" type="VALUE">
                      <a:rPr lang="en-US"/>
                      <a:pPr>
                        <a:defRPr/>
                      </a:pPr>
                      <a:t>[VALUE]</a:t>
                    </a:fld>
                    <a:r>
                      <a:rPr lang="en-US"/>
                      <a:t> (11,2%)</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6550011628293296"/>
                      <c:h val="9.5074116971472514E-2"/>
                    </c:manualLayout>
                  </c15:layout>
                  <c15:dlblFieldTable/>
                  <c15:showDataLabelsRange val="0"/>
                </c:ext>
                <c:ext xmlns:c16="http://schemas.microsoft.com/office/drawing/2014/chart" uri="{C3380CC4-5D6E-409C-BE32-E72D297353CC}">
                  <c16:uniqueId val="{00000007-D768-4288-BB24-5E3116227899}"/>
                </c:ext>
              </c:extLst>
            </c:dLbl>
            <c:dLbl>
              <c:idx val="4"/>
              <c:layout>
                <c:manualLayout>
                  <c:x val="-9.8588131039753918E-3"/>
                  <c:y val="2.8787728416291717E-3"/>
                </c:manualLayout>
              </c:layout>
              <c:tx>
                <c:rich>
                  <a:bodyPr/>
                  <a:lstStyle/>
                  <a:p>
                    <a:fld id="{0864327D-81F9-43AB-B0A8-583DFC1EC1B9}" type="VALUE">
                      <a:rPr lang="en-US"/>
                      <a:pPr/>
                      <a:t>[VALUE]</a:t>
                    </a:fld>
                    <a:r>
                      <a:rPr lang="en-US"/>
                      <a:t> (18,5%)</a:t>
                    </a:r>
                  </a:p>
                </c:rich>
              </c:tx>
              <c:showLegendKey val="0"/>
              <c:showVal val="1"/>
              <c:showCatName val="0"/>
              <c:showSerName val="0"/>
              <c:showPercent val="0"/>
              <c:showBubbleSize val="0"/>
              <c:extLst>
                <c:ext xmlns:c15="http://schemas.microsoft.com/office/drawing/2012/chart" uri="{CE6537A1-D6FC-4f65-9D91-7224C49458BB}">
                  <c15:layout>
                    <c:manualLayout>
                      <c:w val="0.28620459151466826"/>
                      <c:h val="7.575284934253429E-2"/>
                    </c:manualLayout>
                  </c15:layout>
                  <c15:dlblFieldTable/>
                  <c15:showDataLabelsRange val="0"/>
                </c:ext>
                <c:ext xmlns:c16="http://schemas.microsoft.com/office/drawing/2014/chart" uri="{C3380CC4-5D6E-409C-BE32-E72D297353CC}">
                  <c16:uniqueId val="{00000009-D768-4288-BB24-5E3116227899}"/>
                </c:ext>
              </c:extLst>
            </c:dLbl>
            <c:dLbl>
              <c:idx val="5"/>
              <c:layout>
                <c:manualLayout>
                  <c:x val="-6.7836720729884656E-2"/>
                  <c:y val="7.926926276050239E-3"/>
                </c:manualLayout>
              </c:layout>
              <c:tx>
                <c:rich>
                  <a:bodyPr/>
                  <a:lstStyle/>
                  <a:p>
                    <a:fld id="{2FB604B4-C188-45BF-ABCE-6EBBF6AF0A90}" type="VALUE">
                      <a:rPr lang="en-US"/>
                      <a:pPr/>
                      <a:t>[VALUE]</a:t>
                    </a:fld>
                    <a:r>
                      <a:rPr lang="en-US"/>
                      <a:t> (4,7%)</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D768-4288-BB24-5E3116227899}"/>
                </c:ext>
              </c:extLst>
            </c:dLbl>
            <c:dLbl>
              <c:idx val="6"/>
              <c:layout>
                <c:manualLayout>
                  <c:x val="-2.2222222222222223E-2"/>
                  <c:y val="-9.1917850824535068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B81C3B4E-39E9-476F-A316-13BC1522C8A7}" type="VALUE">
                      <a:rPr lang="en-US"/>
                      <a:pPr>
                        <a:defRPr/>
                      </a:pPr>
                      <a:t>[VALUE]</a:t>
                    </a:fld>
                    <a:r>
                      <a:rPr lang="en-US"/>
                      <a:t> (7,6%)</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1597222222222223"/>
                      <c:h val="7.8119065375642754E-2"/>
                    </c:manualLayout>
                  </c15:layout>
                  <c15:dlblFieldTable/>
                  <c15:showDataLabelsRange val="0"/>
                </c:ext>
                <c:ext xmlns:c16="http://schemas.microsoft.com/office/drawing/2014/chart" uri="{C3380CC4-5D6E-409C-BE32-E72D297353CC}">
                  <c16:uniqueId val="{0000000D-D768-4288-BB24-5E3116227899}"/>
                </c:ext>
              </c:extLst>
            </c:dLbl>
            <c:dLbl>
              <c:idx val="7"/>
              <c:layout>
                <c:manualLayout>
                  <c:x val="0.1182237131355416"/>
                  <c:y val="-2.3064090416503785E-2"/>
                </c:manualLayout>
              </c:layout>
              <c:tx>
                <c:rich>
                  <a:bodyPr/>
                  <a:lstStyle/>
                  <a:p>
                    <a:fld id="{3740A4E5-AF7F-445A-AC94-4C8F44CA9687}" type="VALUE">
                      <a:rPr lang="en-US"/>
                      <a:pPr/>
                      <a:t>[VALUE]</a:t>
                    </a:fld>
                    <a:r>
                      <a:rPr lang="en-US"/>
                      <a:t> (19%)</a:t>
                    </a:r>
                  </a:p>
                </c:rich>
              </c:tx>
              <c:showLegendKey val="0"/>
              <c:showVal val="1"/>
              <c:showCatName val="0"/>
              <c:showSerName val="0"/>
              <c:showPercent val="0"/>
              <c:showBubbleSize val="0"/>
              <c:extLst>
                <c:ext xmlns:c15="http://schemas.microsoft.com/office/drawing/2012/chart" uri="{CE6537A1-D6FC-4f65-9D91-7224C49458BB}">
                  <c15:layout>
                    <c:manualLayout>
                      <c:w val="0.27625954350642878"/>
                      <c:h val="7.575284934253429E-2"/>
                    </c:manualLayout>
                  </c15:layout>
                  <c15:dlblFieldTable/>
                  <c15:showDataLabelsRange val="0"/>
                </c:ext>
                <c:ext xmlns:c16="http://schemas.microsoft.com/office/drawing/2014/chart" uri="{C3380CC4-5D6E-409C-BE32-E72D297353CC}">
                  <c16:uniqueId val="{0000000F-D768-4288-BB24-5E311622789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'Υποβολές ΕΔΚ'!$A$27:$A$34</c:f>
              <c:strCache>
                <c:ptCount val="8"/>
                <c:pt idx="0">
                  <c:v>1-ΥΚΑ: Υλικά – Κατασκευές</c:v>
                </c:pt>
                <c:pt idx="1">
                  <c:v>2-ΤΠΔ: Τουρισμός Πολιτισμός και Δημιουργικές Βιομηχανίες</c:v>
                </c:pt>
                <c:pt idx="2">
                  <c:v>3-ΑΓΡ: Αγροδιατροφή και Βιομηχανία τροφίμων</c:v>
                </c:pt>
                <c:pt idx="3">
                  <c:v>4-ΠΒΑ: Περιβάλλον και Βιώσιμη Ανάπτυξη</c:v>
                </c:pt>
                <c:pt idx="4">
                  <c:v>5-ΥΦΑ: Υγεία και Φάρμακα</c:v>
                </c:pt>
                <c:pt idx="5">
                  <c:v>6-ΜΕΑ: Μεταφορές και Εφοδιαστική Αλυσίδα</c:v>
                </c:pt>
                <c:pt idx="6">
                  <c:v>7-ΕΝΕ: Ενέργεια</c:v>
                </c:pt>
                <c:pt idx="7">
                  <c:v>8-ΤΠΕ: Τεχνολογίες Πληροφορικής και Επικοινωνιών</c:v>
                </c:pt>
              </c:strCache>
            </c:strRef>
          </c:cat>
          <c:val>
            <c:numRef>
              <c:f>'Υποβολές ΕΔΚ'!$B$27:$B$34</c:f>
              <c:numCache>
                <c:formatCode>#,##0</c:formatCode>
                <c:ptCount val="8"/>
                <c:pt idx="0">
                  <c:v>97284200.234313965</c:v>
                </c:pt>
                <c:pt idx="1">
                  <c:v>164658428.02355957</c:v>
                </c:pt>
                <c:pt idx="2">
                  <c:v>278426138.36743164</c:v>
                </c:pt>
                <c:pt idx="3">
                  <c:v>155304042.11578983</c:v>
                </c:pt>
                <c:pt idx="4">
                  <c:v>256919432.00053954</c:v>
                </c:pt>
                <c:pt idx="5">
                  <c:v>65531404.054321289</c:v>
                </c:pt>
                <c:pt idx="6">
                  <c:v>105591400.89254761</c:v>
                </c:pt>
                <c:pt idx="7">
                  <c:v>262928533.57306349</c:v>
                </c:pt>
              </c:numCache>
            </c:numRef>
          </c:val>
          <c:extLst>
            <c:ext xmlns:c16="http://schemas.microsoft.com/office/drawing/2014/chart" uri="{C3380CC4-5D6E-409C-BE32-E72D297353CC}">
              <c16:uniqueId val="{00000010-D768-4288-BB24-5E3116227899}"/>
            </c:ext>
          </c:extLst>
        </c:ser>
        <c:ser>
          <c:idx val="1"/>
          <c:order val="1"/>
          <c:tx>
            <c:strRef>
              <c:f>'Υποβολές ΕΔΚ'!$C$26</c:f>
              <c:strCache>
                <c:ptCount val="1"/>
                <c:pt idx="0">
                  <c:v>%</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12-D768-4288-BB24-5E3116227899}"/>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4-D768-4288-BB24-5E311622789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16-D768-4288-BB24-5E3116227899}"/>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18-D768-4288-BB24-5E3116227899}"/>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1A-D768-4288-BB24-5E3116227899}"/>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1C-D768-4288-BB24-5E3116227899}"/>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E-D768-4288-BB24-5E3116227899}"/>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0-D768-4288-BB24-5E3116227899}"/>
              </c:ext>
            </c:extLst>
          </c:dPt>
          <c:cat>
            <c:strRef>
              <c:f>'Υποβολές ΕΔΚ'!$A$27:$A$34</c:f>
              <c:strCache>
                <c:ptCount val="8"/>
                <c:pt idx="0">
                  <c:v>1-ΥΚΑ: Υλικά – Κατασκευές</c:v>
                </c:pt>
                <c:pt idx="1">
                  <c:v>2-ΤΠΔ: Τουρισμός Πολιτισμός και Δημιουργικές Βιομηχανίες</c:v>
                </c:pt>
                <c:pt idx="2">
                  <c:v>3-ΑΓΡ: Αγροδιατροφή και Βιομηχανία τροφίμων</c:v>
                </c:pt>
                <c:pt idx="3">
                  <c:v>4-ΠΒΑ: Περιβάλλον και Βιώσιμη Ανάπτυξη</c:v>
                </c:pt>
                <c:pt idx="4">
                  <c:v>5-ΥΦΑ: Υγεία και Φάρμακα</c:v>
                </c:pt>
                <c:pt idx="5">
                  <c:v>6-ΜΕΑ: Μεταφορές και Εφοδιαστική Αλυσίδα</c:v>
                </c:pt>
                <c:pt idx="6">
                  <c:v>7-ΕΝΕ: Ενέργεια</c:v>
                </c:pt>
                <c:pt idx="7">
                  <c:v>8-ΤΠΕ: Τεχνολογίες Πληροφορικής και Επικοινωνιών</c:v>
                </c:pt>
              </c:strCache>
            </c:strRef>
          </c:cat>
          <c:val>
            <c:numRef>
              <c:f>'Υποβολές ΕΔΚ'!$C$27:$C$34</c:f>
              <c:numCache>
                <c:formatCode>0.0%</c:formatCode>
                <c:ptCount val="8"/>
                <c:pt idx="0">
                  <c:v>7.0158043270298037E-2</c:v>
                </c:pt>
                <c:pt idx="1">
                  <c:v>0.11874603574138752</c:v>
                </c:pt>
                <c:pt idx="2">
                  <c:v>0.20079142364449748</c:v>
                </c:pt>
                <c:pt idx="3">
                  <c:v>0.11199997204652568</c:v>
                </c:pt>
                <c:pt idx="4">
                  <c:v>0.18528152139669338</c:v>
                </c:pt>
                <c:pt idx="5">
                  <c:v>4.7259010919892548E-2</c:v>
                </c:pt>
                <c:pt idx="6">
                  <c:v>7.6148912721161172E-2</c:v>
                </c:pt>
                <c:pt idx="7">
                  <c:v>0.18961508025954407</c:v>
                </c:pt>
              </c:numCache>
            </c:numRef>
          </c:val>
          <c:extLst>
            <c:ext xmlns:c16="http://schemas.microsoft.com/office/drawing/2014/chart" uri="{C3380CC4-5D6E-409C-BE32-E72D297353CC}">
              <c16:uniqueId val="{00000021-D768-4288-BB24-5E3116227899}"/>
            </c:ext>
          </c:extLst>
        </c:ser>
        <c:dLbls>
          <c:showLegendKey val="0"/>
          <c:showVal val="0"/>
          <c:showCatName val="0"/>
          <c:showSerName val="0"/>
          <c:showPercent val="0"/>
          <c:showBubbleSize val="0"/>
          <c:showLeaderLines val="1"/>
        </c:dLbls>
      </c:pie3DChart>
      <c:spPr>
        <a:noFill/>
        <a:ln>
          <a:noFill/>
        </a:ln>
        <a:effectLst/>
      </c:spPr>
    </c:plotArea>
    <c:legend>
      <c:legendPos val="b"/>
      <c:legendEntry>
        <c:idx val="0"/>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1"/>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2"/>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3"/>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4"/>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5"/>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6"/>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legendEntry>
        <c:idx val="7"/>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sz="1200" b="1"/>
              <a:t>Υποβολές - Προϋπολογισμός Δ.Δ.</a:t>
            </a:r>
          </a:p>
          <a:p>
            <a:pPr>
              <a:defRPr/>
            </a:pPr>
            <a:r>
              <a:rPr lang="el-GR" sz="1200" b="1"/>
              <a:t>ανά</a:t>
            </a:r>
            <a:r>
              <a:rPr lang="el-GR" sz="1200" b="1" baseline="0"/>
              <a:t> Περιφέρεια</a:t>
            </a:r>
            <a:endParaRPr lang="el-GR" sz="1200" b="1"/>
          </a:p>
        </c:rich>
      </c:tx>
      <c:layout>
        <c:manualLayout>
          <c:xMode val="edge"/>
          <c:yMode val="edge"/>
          <c:x val="0.48560411101605655"/>
          <c:y val="2.6203831041853544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1658343899855471E-2"/>
          <c:y val="0.18948361791854673"/>
          <c:w val="0.81668331220028911"/>
          <c:h val="0.41584328644312718"/>
        </c:manualLayout>
      </c:layout>
      <c:pie3DChart>
        <c:varyColors val="1"/>
        <c:ser>
          <c:idx val="0"/>
          <c:order val="0"/>
          <c:tx>
            <c:strRef>
              <c:f>'Υποβολές ΕΔΚ'!$B$1</c:f>
              <c:strCache>
                <c:ptCount val="1"/>
                <c:pt idx="0">
                  <c:v>Υποβολές - Π.Υ Δ.Δ.</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3A04-46A8-BA01-5E8547F740E0}"/>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3A04-46A8-BA01-5E8547F740E0}"/>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3A04-46A8-BA01-5E8547F740E0}"/>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3A04-46A8-BA01-5E8547F740E0}"/>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3A04-46A8-BA01-5E8547F740E0}"/>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3A04-46A8-BA01-5E8547F740E0}"/>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3A04-46A8-BA01-5E8547F740E0}"/>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3A04-46A8-BA01-5E8547F740E0}"/>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3A04-46A8-BA01-5E8547F740E0}"/>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3A04-46A8-BA01-5E8547F740E0}"/>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3A04-46A8-BA01-5E8547F740E0}"/>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3A04-46A8-BA01-5E8547F740E0}"/>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3A04-46A8-BA01-5E8547F740E0}"/>
              </c:ext>
            </c:extLst>
          </c:dPt>
          <c:dLbls>
            <c:dLbl>
              <c:idx val="0"/>
              <c:tx>
                <c:rich>
                  <a:bodyPr/>
                  <a:lstStyle/>
                  <a:p>
                    <a:fld id="{0616C28A-36B1-46B7-8D3E-D21CE77C51D9}" type="VALUE">
                      <a:rPr lang="en-US"/>
                      <a:pPr/>
                      <a:t>[VALUE]</a:t>
                    </a:fld>
                    <a:r>
                      <a:rPr lang="en-US"/>
                      <a:t> (3,7%)</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3A04-46A8-BA01-5E8547F740E0}"/>
                </c:ext>
              </c:extLst>
            </c:dLbl>
            <c:dLbl>
              <c:idx val="1"/>
              <c:layout>
                <c:manualLayout>
                  <c:x val="-2.794024361145544E-3"/>
                  <c:y val="-0.16626541999808217"/>
                </c:manualLayout>
              </c:layout>
              <c:tx>
                <c:rich>
                  <a:bodyPr/>
                  <a:lstStyle/>
                  <a:p>
                    <a:fld id="{DFB031D6-2D26-4B9F-9990-B8C6E8DFE906}" type="VALUE">
                      <a:rPr lang="en-US"/>
                      <a:pPr/>
                      <a:t>[VALUE]</a:t>
                    </a:fld>
                    <a:r>
                      <a:rPr lang="en-US"/>
                      <a:t> (42,4%)</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3A04-46A8-BA01-5E8547F740E0}"/>
                </c:ext>
              </c:extLst>
            </c:dLbl>
            <c:dLbl>
              <c:idx val="2"/>
              <c:tx>
                <c:rich>
                  <a:bodyPr/>
                  <a:lstStyle/>
                  <a:p>
                    <a:fld id="{DB9F0E8F-5CFB-40EE-8FD3-962EA9DC5727}" type="VALUE">
                      <a:rPr lang="en-US"/>
                      <a:pPr/>
                      <a:t>[VALUE]</a:t>
                    </a:fld>
                    <a:r>
                      <a:rPr lang="en-US" baseline="0"/>
                      <a:t> </a:t>
                    </a:r>
                    <a:r>
                      <a:rPr lang="en-US" b="0" baseline="0"/>
                      <a:t>(</a:t>
                    </a:r>
                    <a:r>
                      <a:rPr lang="en-US" b="0"/>
                      <a:t>1,1%)</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3A04-46A8-BA01-5E8547F740E0}"/>
                </c:ext>
              </c:extLst>
            </c:dLbl>
            <c:dLbl>
              <c:idx val="3"/>
              <c:tx>
                <c:rich>
                  <a:bodyPr/>
                  <a:lstStyle/>
                  <a:p>
                    <a:fld id="{29A19F50-3929-4294-95EE-C4ACC91BF9C5}" type="VALUE">
                      <a:rPr lang="en-US"/>
                      <a:pPr/>
                      <a:t>[VALUE]</a:t>
                    </a:fld>
                    <a:r>
                      <a:rPr lang="en-US"/>
                      <a:t> (8,2%)</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3A04-46A8-BA01-5E8547F740E0}"/>
                </c:ext>
              </c:extLst>
            </c:dLbl>
            <c:dLbl>
              <c:idx val="4"/>
              <c:tx>
                <c:rich>
                  <a:bodyPr/>
                  <a:lstStyle/>
                  <a:p>
                    <a:fld id="{34A901EF-87FE-4769-A34F-B9C8229B3EF3}" type="VALUE">
                      <a:rPr lang="en-US"/>
                      <a:pPr/>
                      <a:t>[VALUE]</a:t>
                    </a:fld>
                    <a:r>
                      <a:rPr lang="en-US"/>
                      <a:t> (1,7%)</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3A04-46A8-BA01-5E8547F740E0}"/>
                </c:ext>
              </c:extLst>
            </c:dLbl>
            <c:dLbl>
              <c:idx val="5"/>
              <c:tx>
                <c:rich>
                  <a:bodyPr/>
                  <a:lstStyle/>
                  <a:p>
                    <a:fld id="{8DCBC3BA-E4A5-4E01-9F88-57E7056C9499}" type="VALUE">
                      <a:rPr lang="en-US"/>
                      <a:pPr/>
                      <a:t>[VALUE]</a:t>
                    </a:fld>
                    <a:r>
                      <a:rPr lang="en-US"/>
                      <a:t> (3,9%)</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3A04-46A8-BA01-5E8547F740E0}"/>
                </c:ext>
              </c:extLst>
            </c:dLbl>
            <c:dLbl>
              <c:idx val="6"/>
              <c:tx>
                <c:rich>
                  <a:bodyPr/>
                  <a:lstStyle/>
                  <a:p>
                    <a:fld id="{9549B2D9-A76E-4555-A249-169EBC368B13}" type="VALUE">
                      <a:rPr lang="en-US"/>
                      <a:pPr/>
                      <a:t>[VALUE]</a:t>
                    </a:fld>
                    <a:r>
                      <a:rPr lang="en-US"/>
                      <a:t> (5,6%)</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3A04-46A8-BA01-5E8547F740E0}"/>
                </c:ext>
              </c:extLst>
            </c:dLbl>
            <c:dLbl>
              <c:idx val="7"/>
              <c:tx>
                <c:rich>
                  <a:bodyPr/>
                  <a:lstStyle/>
                  <a:p>
                    <a:fld id="{ECE2B64B-C180-4B86-97C5-C5291D92D54F}" type="VALUE">
                      <a:rPr lang="en-US"/>
                      <a:pPr/>
                      <a:t>[VALUE]</a:t>
                    </a:fld>
                    <a:r>
                      <a:rPr lang="en-US"/>
                      <a:t> (0,6%)</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F-3A04-46A8-BA01-5E8547F740E0}"/>
                </c:ext>
              </c:extLst>
            </c:dLbl>
            <c:dLbl>
              <c:idx val="8"/>
              <c:layout>
                <c:manualLayout>
                  <c:x val="-8.5690009369671361E-3"/>
                  <c:y val="7.5045305632464206E-3"/>
                </c:manualLayout>
              </c:layout>
              <c:tx>
                <c:rich>
                  <a:bodyPr/>
                  <a:lstStyle/>
                  <a:p>
                    <a:fld id="{A4048903-E4BD-453B-8B50-ECA5492CDE09}" type="VALUE">
                      <a:rPr lang="en-US"/>
                      <a:pPr/>
                      <a:t>[VALUE]</a:t>
                    </a:fld>
                    <a:r>
                      <a:rPr lang="en-US"/>
                      <a:t> (21,6%)</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1-3A04-46A8-BA01-5E8547F740E0}"/>
                </c:ext>
              </c:extLst>
            </c:dLbl>
            <c:dLbl>
              <c:idx val="9"/>
              <c:tx>
                <c:rich>
                  <a:bodyPr/>
                  <a:lstStyle/>
                  <a:p>
                    <a:fld id="{CF05E389-0A91-4821-94E6-6CE7000775A9}" type="VALUE">
                      <a:rPr lang="en-US"/>
                      <a:pPr/>
                      <a:t>[VALUE]</a:t>
                    </a:fld>
                    <a:r>
                      <a:rPr lang="en-US"/>
                      <a:t> (7%)</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3-3A04-46A8-BA01-5E8547F740E0}"/>
                </c:ext>
              </c:extLst>
            </c:dLbl>
            <c:dLbl>
              <c:idx val="10"/>
              <c:tx>
                <c:rich>
                  <a:bodyPr/>
                  <a:lstStyle/>
                  <a:p>
                    <a:fld id="{E3705D73-C267-4775-888F-64BB09AA65D0}" type="VALUE">
                      <a:rPr lang="en-US"/>
                      <a:pPr/>
                      <a:t>[VALUE]</a:t>
                    </a:fld>
                    <a:r>
                      <a:rPr lang="en-US"/>
                      <a:t> (0,4%)</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5-3A04-46A8-BA01-5E8547F740E0}"/>
                </c:ext>
              </c:extLst>
            </c:dLbl>
            <c:dLbl>
              <c:idx val="11"/>
              <c:tx>
                <c:rich>
                  <a:bodyPr/>
                  <a:lstStyle/>
                  <a:p>
                    <a:fld id="{517CDA72-29C5-401E-AF5C-BBCC8BFF0712}" type="VALUE">
                      <a:rPr lang="en-US"/>
                      <a:pPr/>
                      <a:t>[VALUE]</a:t>
                    </a:fld>
                    <a:r>
                      <a:rPr lang="en-US"/>
                      <a:t> (1,5%)</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7-3A04-46A8-BA01-5E8547F740E0}"/>
                </c:ext>
              </c:extLst>
            </c:dLbl>
            <c:dLbl>
              <c:idx val="12"/>
              <c:layout>
                <c:manualLayout>
                  <c:x val="2.2338460464060621E-2"/>
                  <c:y val="-8.8126100778176591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8926829268292683"/>
                      <c:h val="4.6200213874144413E-2"/>
                    </c:manualLayout>
                  </c15:layout>
                </c:ext>
                <c:ext xmlns:c16="http://schemas.microsoft.com/office/drawing/2014/chart" uri="{C3380CC4-5D6E-409C-BE32-E72D297353CC}">
                  <c16:uniqueId val="{00000019-3A04-46A8-BA01-5E8547F740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'Υποβολές ΕΔΚ'!$A$2:$A$14</c:f>
              <c:strCache>
                <c:ptCount val="13"/>
                <c:pt idx="0">
                  <c:v>Αν. Μακεδονίας-Θράκης</c:v>
                </c:pt>
                <c:pt idx="1">
                  <c:v>Αττικής</c:v>
                </c:pt>
                <c:pt idx="2">
                  <c:v>Β. Αιγαίου </c:v>
                </c:pt>
                <c:pt idx="3">
                  <c:v>Δ. Ελλάδας</c:v>
                </c:pt>
                <c:pt idx="4">
                  <c:v>Δ. Μακεδονίας</c:v>
                </c:pt>
                <c:pt idx="5">
                  <c:v>Ηπείρου</c:v>
                </c:pt>
                <c:pt idx="6">
                  <c:v>Θεσσαλίας</c:v>
                </c:pt>
                <c:pt idx="7">
                  <c:v>Ιονίων Νήσων</c:v>
                </c:pt>
                <c:pt idx="8">
                  <c:v>Κ.Μακεδονία</c:v>
                </c:pt>
                <c:pt idx="9">
                  <c:v>Κρήτη</c:v>
                </c:pt>
                <c:pt idx="10">
                  <c:v>Ν. Αιγαίο</c:v>
                </c:pt>
                <c:pt idx="11">
                  <c:v>Πελοπόννησος</c:v>
                </c:pt>
                <c:pt idx="12">
                  <c:v>Σ. Ελλάδα</c:v>
                </c:pt>
              </c:strCache>
            </c:strRef>
          </c:cat>
          <c:val>
            <c:numRef>
              <c:f>'Υποβολές ΕΔΚ'!$B$2:$B$14</c:f>
              <c:numCache>
                <c:formatCode>#,##0</c:formatCode>
                <c:ptCount val="13"/>
                <c:pt idx="0">
                  <c:v>51618365.190460205</c:v>
                </c:pt>
                <c:pt idx="1">
                  <c:v>587390609.34589064</c:v>
                </c:pt>
                <c:pt idx="2">
                  <c:v>15444625.807128906</c:v>
                </c:pt>
                <c:pt idx="3">
                  <c:v>113488765.07382816</c:v>
                </c:pt>
                <c:pt idx="4">
                  <c:v>23217356.060546875</c:v>
                </c:pt>
                <c:pt idx="5">
                  <c:v>54612637.441650391</c:v>
                </c:pt>
                <c:pt idx="6">
                  <c:v>77189358.432067871</c:v>
                </c:pt>
                <c:pt idx="7">
                  <c:v>8907378.5141601563</c:v>
                </c:pt>
                <c:pt idx="8">
                  <c:v>299520073.63552856</c:v>
                </c:pt>
                <c:pt idx="9">
                  <c:v>97494127.070729971</c:v>
                </c:pt>
                <c:pt idx="10">
                  <c:v>6074849.6240234375</c:v>
                </c:pt>
                <c:pt idx="11">
                  <c:v>21428490.411132813</c:v>
                </c:pt>
                <c:pt idx="12">
                  <c:v>30256942.654418945</c:v>
                </c:pt>
              </c:numCache>
            </c:numRef>
          </c:val>
          <c:extLst>
            <c:ext xmlns:c16="http://schemas.microsoft.com/office/drawing/2014/chart" uri="{C3380CC4-5D6E-409C-BE32-E72D297353CC}">
              <c16:uniqueId val="{0000001A-3A04-46A8-BA01-5E8547F740E0}"/>
            </c:ext>
          </c:extLst>
        </c:ser>
        <c:ser>
          <c:idx val="1"/>
          <c:order val="1"/>
          <c:tx>
            <c:strRef>
              <c:f>'Υποβολές ΕΔΚ'!$C$1</c:f>
              <c:strCache>
                <c:ptCount val="1"/>
                <c:pt idx="0">
                  <c:v>%</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1C-3A04-46A8-BA01-5E8547F740E0}"/>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E-3A04-46A8-BA01-5E8547F740E0}"/>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20-3A04-46A8-BA01-5E8547F740E0}"/>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22-3A04-46A8-BA01-5E8547F740E0}"/>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24-3A04-46A8-BA01-5E8547F740E0}"/>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26-3A04-46A8-BA01-5E8547F740E0}"/>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8-3A04-46A8-BA01-5E8547F740E0}"/>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A-3A04-46A8-BA01-5E8547F740E0}"/>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C-3A04-46A8-BA01-5E8547F740E0}"/>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E-3A04-46A8-BA01-5E8547F740E0}"/>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0-3A04-46A8-BA01-5E8547F740E0}"/>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2-3A04-46A8-BA01-5E8547F740E0}"/>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4-3A04-46A8-BA01-5E8547F740E0}"/>
              </c:ext>
            </c:extLst>
          </c:dPt>
          <c:cat>
            <c:strRef>
              <c:f>'Υποβολές ΕΔΚ'!$A$2:$A$14</c:f>
              <c:strCache>
                <c:ptCount val="13"/>
                <c:pt idx="0">
                  <c:v>Αν. Μακεδονίας-Θράκης</c:v>
                </c:pt>
                <c:pt idx="1">
                  <c:v>Αττικής</c:v>
                </c:pt>
                <c:pt idx="2">
                  <c:v>Β. Αιγαίου </c:v>
                </c:pt>
                <c:pt idx="3">
                  <c:v>Δ. Ελλάδας</c:v>
                </c:pt>
                <c:pt idx="4">
                  <c:v>Δ. Μακεδονίας</c:v>
                </c:pt>
                <c:pt idx="5">
                  <c:v>Ηπείρου</c:v>
                </c:pt>
                <c:pt idx="6">
                  <c:v>Θεσσαλίας</c:v>
                </c:pt>
                <c:pt idx="7">
                  <c:v>Ιονίων Νήσων</c:v>
                </c:pt>
                <c:pt idx="8">
                  <c:v>Κ.Μακεδονία</c:v>
                </c:pt>
                <c:pt idx="9">
                  <c:v>Κρήτη</c:v>
                </c:pt>
                <c:pt idx="10">
                  <c:v>Ν. Αιγαίο</c:v>
                </c:pt>
                <c:pt idx="11">
                  <c:v>Πελοπόννησος</c:v>
                </c:pt>
                <c:pt idx="12">
                  <c:v>Σ. Ελλάδα</c:v>
                </c:pt>
              </c:strCache>
            </c:strRef>
          </c:cat>
          <c:val>
            <c:numRef>
              <c:f>'Υποβολές ΕΔΚ'!$C$2:$C$14</c:f>
              <c:numCache>
                <c:formatCode>0.0%</c:formatCode>
                <c:ptCount val="13"/>
                <c:pt idx="0">
                  <c:v>3.7225402376253512E-2</c:v>
                </c:pt>
                <c:pt idx="1">
                  <c:v>0.42360604998343943</c:v>
                </c:pt>
                <c:pt idx="2">
                  <c:v>1.11381367484164E-2</c:v>
                </c:pt>
                <c:pt idx="3">
                  <c:v>8.1844222099427058E-2</c:v>
                </c:pt>
                <c:pt idx="4">
                  <c:v>1.6743564393750611E-2</c:v>
                </c:pt>
                <c:pt idx="5">
                  <c:v>3.9384769279163581E-2</c:v>
                </c:pt>
                <c:pt idx="6">
                  <c:v>5.5666329535938669E-2</c:v>
                </c:pt>
                <c:pt idx="7">
                  <c:v>6.4236972264376888E-3</c:v>
                </c:pt>
                <c:pt idx="8">
                  <c:v>0.2160036494706396</c:v>
                </c:pt>
                <c:pt idx="9">
                  <c:v>7.0309435336403311E-2</c:v>
                </c:pt>
                <c:pt idx="10">
                  <c:v>4.38097411251022E-3</c:v>
                </c:pt>
                <c:pt idx="11">
                  <c:v>1.5453495571330727E-2</c:v>
                </c:pt>
                <c:pt idx="12">
                  <c:v>2.1820273866289243E-2</c:v>
                </c:pt>
              </c:numCache>
            </c:numRef>
          </c:val>
          <c:extLst>
            <c:ext xmlns:c16="http://schemas.microsoft.com/office/drawing/2014/chart" uri="{C3380CC4-5D6E-409C-BE32-E72D297353CC}">
              <c16:uniqueId val="{00000035-3A04-46A8-BA01-5E8547F740E0}"/>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10152460564695814"/>
          <c:y val="0.74729756002721881"/>
          <c:w val="0.79695057998465901"/>
          <c:h val="0.2341839214542626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b="1"/>
              <a:t>Εγκρίσεις - Προϋπολογισμός Δ.Δ. ανά Τομέα</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'Εγκρίσεις ΕΔΚ'!$B$26</c:f>
              <c:strCache>
                <c:ptCount val="1"/>
                <c:pt idx="0">
                  <c:v>Υποβολές - Προϋπολογισμός Δ.Δ. ανά Τομέα</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6289-41F0-A070-8B1EDDEE3B8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6289-41F0-A070-8B1EDDEE3B8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6289-41F0-A070-8B1EDDEE3B8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6289-41F0-A070-8B1EDDEE3B8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6289-41F0-A070-8B1EDDEE3B8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6289-41F0-A070-8B1EDDEE3B8F}"/>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6289-41F0-A070-8B1EDDEE3B8F}"/>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6289-41F0-A070-8B1EDDEE3B8F}"/>
              </c:ext>
            </c:extLst>
          </c:dPt>
          <c:dLbls>
            <c:dLbl>
              <c:idx val="0"/>
              <c:layout>
                <c:manualLayout>
                  <c:x val="4.027777777777778E-2"/>
                  <c:y val="-2.5306492368565761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0C4B399F-6ADE-43D2-89EC-259EFC91CE6F}" type="VALUE">
                      <a:rPr lang="en-US"/>
                      <a:pPr>
                        <a:defRPr/>
                      </a:pPr>
                      <a:t>[VALUE]</a:t>
                    </a:fld>
                    <a:r>
                      <a:rPr lang="en-US"/>
                      <a:t> (6,8%)</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4305555555555555"/>
                      <c:h val="4.3230939091375119E-2"/>
                    </c:manualLayout>
                  </c15:layout>
                  <c15:dlblFieldTable/>
                  <c15:showDataLabelsRange val="0"/>
                </c:ext>
                <c:ext xmlns:c16="http://schemas.microsoft.com/office/drawing/2014/chart" uri="{C3380CC4-5D6E-409C-BE32-E72D297353CC}">
                  <c16:uniqueId val="{00000001-6289-41F0-A070-8B1EDDEE3B8F}"/>
                </c:ext>
              </c:extLst>
            </c:dLbl>
            <c:dLbl>
              <c:idx val="1"/>
              <c:tx>
                <c:rich>
                  <a:bodyPr/>
                  <a:lstStyle/>
                  <a:p>
                    <a:fld id="{236E8533-C0B5-4BA0-AD26-30840036386A}" type="VALUE">
                      <a:rPr lang="en-US"/>
                      <a:pPr/>
                      <a:t>[VALUE]</a:t>
                    </a:fld>
                    <a:r>
                      <a:rPr lang="en-US"/>
                      <a:t> (13,9%)</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6289-41F0-A070-8B1EDDEE3B8F}"/>
                </c:ext>
              </c:extLst>
            </c:dLbl>
            <c:dLbl>
              <c:idx val="2"/>
              <c:layout>
                <c:manualLayout>
                  <c:x val="2.5586980625035234E-2"/>
                  <c:y val="-5.7787073490813648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68BF3FD1-4D5A-467A-9011-EEC78F402B39}" type="VALUE">
                      <a:rPr lang="en-US"/>
                      <a:pPr>
                        <a:defRPr/>
                      </a:pPr>
                      <a:t>[VALUE]</a:t>
                    </a:fld>
                    <a:r>
                      <a:rPr lang="en-US"/>
                      <a:t> (17,4%)</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9681180663872863"/>
                      <c:h val="0.10780410862103774"/>
                    </c:manualLayout>
                  </c15:layout>
                  <c15:dlblFieldTable/>
                  <c15:showDataLabelsRange val="0"/>
                </c:ext>
                <c:ext xmlns:c16="http://schemas.microsoft.com/office/drawing/2014/chart" uri="{C3380CC4-5D6E-409C-BE32-E72D297353CC}">
                  <c16:uniqueId val="{00000005-6289-41F0-A070-8B1EDDEE3B8F}"/>
                </c:ext>
              </c:extLst>
            </c:dLbl>
            <c:dLbl>
              <c:idx val="3"/>
              <c:layout>
                <c:manualLayout>
                  <c:x val="1.6480643044619429E-2"/>
                  <c:y val="9.0948006300645128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88999673-6BA8-4E7C-B120-7EA687302DC8}" type="VALUE">
                      <a:rPr lang="en-US"/>
                      <a:pPr>
                        <a:defRPr/>
                      </a:pPr>
                      <a:t>[VALUE]</a:t>
                    </a:fld>
                    <a:r>
                      <a:rPr lang="en-US"/>
                      <a:t> (11,1%)</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6550000000000001"/>
                      <c:h val="3.6359614527411009E-2"/>
                    </c:manualLayout>
                  </c15:layout>
                  <c15:dlblFieldTable/>
                  <c15:showDataLabelsRange val="0"/>
                </c:ext>
                <c:ext xmlns:c16="http://schemas.microsoft.com/office/drawing/2014/chart" uri="{C3380CC4-5D6E-409C-BE32-E72D297353CC}">
                  <c16:uniqueId val="{00000007-6289-41F0-A070-8B1EDDEE3B8F}"/>
                </c:ext>
              </c:extLst>
            </c:dLbl>
            <c:dLbl>
              <c:idx val="4"/>
              <c:layout>
                <c:manualLayout>
                  <c:x val="-7.6736943585735337E-2"/>
                  <c:y val="-5.134092736636227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0864327D-81F9-43AB-B0A8-583DFC1EC1B9}" type="VALUE">
                      <a:rPr lang="en-US"/>
                      <a:pPr>
                        <a:defRPr/>
                      </a:pPr>
                      <a:t>[VALUE]</a:t>
                    </a:fld>
                    <a:r>
                      <a:rPr lang="en-US"/>
                      <a:t> (20,4%)</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2882052631249253"/>
                      <c:h val="0.10459898041590954"/>
                    </c:manualLayout>
                  </c15:layout>
                  <c15:dlblFieldTable/>
                  <c15:showDataLabelsRange val="0"/>
                </c:ext>
                <c:ext xmlns:c16="http://schemas.microsoft.com/office/drawing/2014/chart" uri="{C3380CC4-5D6E-409C-BE32-E72D297353CC}">
                  <c16:uniqueId val="{00000009-6289-41F0-A070-8B1EDDEE3B8F}"/>
                </c:ext>
              </c:extLst>
            </c:dLbl>
            <c:dLbl>
              <c:idx val="5"/>
              <c:layout>
                <c:manualLayout>
                  <c:x val="-6.7836720729884656E-2"/>
                  <c:y val="7.926926276050239E-3"/>
                </c:manualLayout>
              </c:layout>
              <c:tx>
                <c:rich>
                  <a:bodyPr/>
                  <a:lstStyle/>
                  <a:p>
                    <a:fld id="{2FB604B4-C188-45BF-ABCE-6EBBF6AF0A90}" type="VALUE">
                      <a:rPr lang="en-US"/>
                      <a:pPr/>
                      <a:t>[VALUE]</a:t>
                    </a:fld>
                    <a:r>
                      <a:rPr lang="en-US"/>
                      <a:t> (6,7%)</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6289-41F0-A070-8B1EDDEE3B8F}"/>
                </c:ext>
              </c:extLst>
            </c:dLbl>
            <c:dLbl>
              <c:idx val="6"/>
              <c:layout>
                <c:manualLayout>
                  <c:x val="1.6442097482444766E-3"/>
                  <c:y val="-4.765318998586715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B81C3B4E-39E9-476F-A316-13BC1522C8A7}" type="VALUE">
                      <a:rPr lang="en-US"/>
                      <a:pPr>
                        <a:defRPr/>
                      </a:pPr>
                      <a:t>[VALUE]</a:t>
                    </a:fld>
                    <a:r>
                      <a:rPr lang="en-US"/>
                      <a:t> (6,7%)</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8279806312993694"/>
                      <c:h val="7.8119069250959017E-2"/>
                    </c:manualLayout>
                  </c15:layout>
                  <c15:dlblFieldTable/>
                  <c15:showDataLabelsRange val="0"/>
                </c:ext>
                <c:ext xmlns:c16="http://schemas.microsoft.com/office/drawing/2014/chart" uri="{C3380CC4-5D6E-409C-BE32-E72D297353CC}">
                  <c16:uniqueId val="{0000000D-6289-41F0-A070-8B1EDDEE3B8F}"/>
                </c:ext>
              </c:extLst>
            </c:dLbl>
            <c:dLbl>
              <c:idx val="7"/>
              <c:layout>
                <c:manualLayout>
                  <c:x val="-1.0803639774741754E-2"/>
                  <c:y val="-4.8705160776208206E-2"/>
                </c:manualLayout>
              </c:layout>
              <c:tx>
                <c:rich>
                  <a:bodyPr/>
                  <a:lstStyle/>
                  <a:p>
                    <a:fld id="{3740A4E5-AF7F-445A-AC94-4C8F44CA9687}" type="VALUE">
                      <a:rPr lang="en-US"/>
                      <a:pPr/>
                      <a:t>[VALUE]</a:t>
                    </a:fld>
                    <a:r>
                      <a:rPr lang="en-US"/>
                      <a:t> (16,9%)</a:t>
                    </a:r>
                  </a:p>
                </c:rich>
              </c:tx>
              <c:showLegendKey val="0"/>
              <c:showVal val="1"/>
              <c:showCatName val="0"/>
              <c:showSerName val="0"/>
              <c:showPercent val="0"/>
              <c:showBubbleSize val="0"/>
              <c:extLst>
                <c:ext xmlns:c15="http://schemas.microsoft.com/office/drawing/2012/chart" uri="{CE6537A1-D6FC-4f65-9D91-7224C49458BB}">
                  <c15:layout>
                    <c:manualLayout>
                      <c:w val="0.27914356767456572"/>
                      <c:h val="7.575282656975571E-2"/>
                    </c:manualLayout>
                  </c15:layout>
                  <c15:dlblFieldTable/>
                  <c15:showDataLabelsRange val="0"/>
                </c:ext>
                <c:ext xmlns:c16="http://schemas.microsoft.com/office/drawing/2014/chart" uri="{C3380CC4-5D6E-409C-BE32-E72D297353CC}">
                  <c16:uniqueId val="{0000000F-6289-41F0-A070-8B1EDDEE3B8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'Εγκρίσεις ΕΔΚ'!$A$27:$A$34</c:f>
              <c:strCache>
                <c:ptCount val="8"/>
                <c:pt idx="0">
                  <c:v>1-ΥΚΑ: Υλικά – Κατασκευές</c:v>
                </c:pt>
                <c:pt idx="1">
                  <c:v>2-ΤΠΔ: Τουρισμός Πολιτισμός και Δημιουργικές Βιομηχανίες</c:v>
                </c:pt>
                <c:pt idx="2">
                  <c:v>3-ΑΓΡ: Αγροδιατροφή και Βιομηχανία τροφίμων</c:v>
                </c:pt>
                <c:pt idx="3">
                  <c:v>4-ΠΒΑ: Περιβάλλον και Βιώσιμη Ανάπτυξη</c:v>
                </c:pt>
                <c:pt idx="4">
                  <c:v>5-ΥΦΑ: Υγεία και Φάρμακα</c:v>
                </c:pt>
                <c:pt idx="5">
                  <c:v>6-ΜΕΑ: Μεταφορές και Εφοδιαστική Αλυσίδα</c:v>
                </c:pt>
                <c:pt idx="6">
                  <c:v>7-ΕΝΕ: Ενέργεια</c:v>
                </c:pt>
                <c:pt idx="7">
                  <c:v>8-ΤΠΕ: Τεχνολογίες Πληροφορικής και Επικοινωνιών</c:v>
                </c:pt>
              </c:strCache>
            </c:strRef>
          </c:cat>
          <c:val>
            <c:numRef>
              <c:f>'Εγκρίσεις ΕΔΚ'!$B$27:$B$34</c:f>
              <c:numCache>
                <c:formatCode>#,##0</c:formatCode>
                <c:ptCount val="8"/>
                <c:pt idx="0">
                  <c:v>25265312.018554699</c:v>
                </c:pt>
                <c:pt idx="1">
                  <c:v>51902367.863769501</c:v>
                </c:pt>
                <c:pt idx="2">
                  <c:v>64894447.358886696</c:v>
                </c:pt>
                <c:pt idx="3">
                  <c:v>41536565.274597198</c:v>
                </c:pt>
                <c:pt idx="4">
                  <c:v>76270265.352539107</c:v>
                </c:pt>
                <c:pt idx="5">
                  <c:v>25068178.104003899</c:v>
                </c:pt>
                <c:pt idx="6">
                  <c:v>24844967.6884766</c:v>
                </c:pt>
                <c:pt idx="7">
                  <c:v>63191387.073185503</c:v>
                </c:pt>
              </c:numCache>
            </c:numRef>
          </c:val>
          <c:extLst>
            <c:ext xmlns:c16="http://schemas.microsoft.com/office/drawing/2014/chart" uri="{C3380CC4-5D6E-409C-BE32-E72D297353CC}">
              <c16:uniqueId val="{00000010-6289-41F0-A070-8B1EDDEE3B8F}"/>
            </c:ext>
          </c:extLst>
        </c:ser>
        <c:ser>
          <c:idx val="1"/>
          <c:order val="1"/>
          <c:tx>
            <c:strRef>
              <c:f>'Εγκρίσεις ΕΔΚ'!$C$26</c:f>
              <c:strCache>
                <c:ptCount val="1"/>
                <c:pt idx="0">
                  <c:v>%</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12-6289-41F0-A070-8B1EDDEE3B8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4-6289-41F0-A070-8B1EDDEE3B8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16-6289-41F0-A070-8B1EDDEE3B8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18-6289-41F0-A070-8B1EDDEE3B8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1A-6289-41F0-A070-8B1EDDEE3B8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1C-6289-41F0-A070-8B1EDDEE3B8F}"/>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E-6289-41F0-A070-8B1EDDEE3B8F}"/>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0-6289-41F0-A070-8B1EDDEE3B8F}"/>
              </c:ext>
            </c:extLst>
          </c:dPt>
          <c:cat>
            <c:strRef>
              <c:f>'Εγκρίσεις ΕΔΚ'!$A$27:$A$34</c:f>
              <c:strCache>
                <c:ptCount val="8"/>
                <c:pt idx="0">
                  <c:v>1-ΥΚΑ: Υλικά – Κατασκευές</c:v>
                </c:pt>
                <c:pt idx="1">
                  <c:v>2-ΤΠΔ: Τουρισμός Πολιτισμός και Δημιουργικές Βιομηχανίες</c:v>
                </c:pt>
                <c:pt idx="2">
                  <c:v>3-ΑΓΡ: Αγροδιατροφή και Βιομηχανία τροφίμων</c:v>
                </c:pt>
                <c:pt idx="3">
                  <c:v>4-ΠΒΑ: Περιβάλλον και Βιώσιμη Ανάπτυξη</c:v>
                </c:pt>
                <c:pt idx="4">
                  <c:v>5-ΥΦΑ: Υγεία και Φάρμακα</c:v>
                </c:pt>
                <c:pt idx="5">
                  <c:v>6-ΜΕΑ: Μεταφορές και Εφοδιαστική Αλυσίδα</c:v>
                </c:pt>
                <c:pt idx="6">
                  <c:v>7-ΕΝΕ: Ενέργεια</c:v>
                </c:pt>
                <c:pt idx="7">
                  <c:v>8-ΤΠΕ: Τεχνολογίες Πληροφορικής και Επικοινωνιών</c:v>
                </c:pt>
              </c:strCache>
            </c:strRef>
          </c:cat>
          <c:val>
            <c:numRef>
              <c:f>'Εγκρίσεις ΕΔΚ'!$C$27:$C$34</c:f>
              <c:numCache>
                <c:formatCode>0.0%</c:formatCode>
                <c:ptCount val="8"/>
                <c:pt idx="0">
                  <c:v>6.7740235288123202E-2</c:v>
                </c:pt>
                <c:pt idx="1">
                  <c:v>0.13915832935371744</c:v>
                </c:pt>
                <c:pt idx="2">
                  <c:v>0.17399211732494493</c:v>
                </c:pt>
                <c:pt idx="3">
                  <c:v>0.11136599867420358</c:v>
                </c:pt>
                <c:pt idx="4">
                  <c:v>0.20449245656156134</c:v>
                </c:pt>
                <c:pt idx="5">
                  <c:v>6.7211688569795217E-2</c:v>
                </c:pt>
                <c:pt idx="6">
                  <c:v>6.661322669228209E-2</c:v>
                </c:pt>
                <c:pt idx="7">
                  <c:v>0.16942594753537205</c:v>
                </c:pt>
              </c:numCache>
            </c:numRef>
          </c:val>
          <c:extLst>
            <c:ext xmlns:c16="http://schemas.microsoft.com/office/drawing/2014/chart" uri="{C3380CC4-5D6E-409C-BE32-E72D297353CC}">
              <c16:uniqueId val="{00000021-6289-41F0-A070-8B1EDDEE3B8F}"/>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18825678481662775"/>
          <c:y val="0.5767889928857366"/>
          <c:w val="0.61291469820587918"/>
          <c:h val="0.4050085064442107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b="1"/>
              <a:t>Εγκρίσεις - Προϋπολογισμός Δ.Δ.</a:t>
            </a:r>
          </a:p>
          <a:p>
            <a:pPr>
              <a:defRPr/>
            </a:pPr>
            <a:r>
              <a:rPr lang="el-GR" b="1"/>
              <a:t>ανά</a:t>
            </a:r>
            <a:r>
              <a:rPr lang="el-GR" b="1" baseline="0"/>
              <a:t> Περιφέρεια</a:t>
            </a:r>
            <a:endParaRPr lang="el-GR" b="1"/>
          </a:p>
        </c:rich>
      </c:tx>
      <c:layout>
        <c:manualLayout>
          <c:xMode val="edge"/>
          <c:yMode val="edge"/>
          <c:x val="0.44421471172962229"/>
          <c:y val="1.498127340823970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1658343899855471E-2"/>
          <c:y val="0.18948361791854673"/>
          <c:w val="0.81668331220028911"/>
          <c:h val="0.41584328644312718"/>
        </c:manualLayout>
      </c:layout>
      <c:pie3DChart>
        <c:varyColors val="1"/>
        <c:ser>
          <c:idx val="0"/>
          <c:order val="0"/>
          <c:tx>
            <c:strRef>
              <c:f>'Εγκρίσεις ΕΔΚ'!$B$1</c:f>
              <c:strCache>
                <c:ptCount val="1"/>
                <c:pt idx="0">
                  <c:v>Υποβολές - Π.Υ Δ.Δ.</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81AF-4ABA-A419-DF0374B16C3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81AF-4ABA-A419-DF0374B16C3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81AF-4ABA-A419-DF0374B16C3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81AF-4ABA-A419-DF0374B16C3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81AF-4ABA-A419-DF0374B16C3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81AF-4ABA-A419-DF0374B16C33}"/>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81AF-4ABA-A419-DF0374B16C33}"/>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81AF-4ABA-A419-DF0374B16C33}"/>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81AF-4ABA-A419-DF0374B16C33}"/>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81AF-4ABA-A419-DF0374B16C33}"/>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81AF-4ABA-A419-DF0374B16C33}"/>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81AF-4ABA-A419-DF0374B16C33}"/>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81AF-4ABA-A419-DF0374B16C33}"/>
              </c:ext>
            </c:extLst>
          </c:dPt>
          <c:dLbls>
            <c:dLbl>
              <c:idx val="0"/>
              <c:layout>
                <c:manualLayout>
                  <c:x val="0.24488063743523114"/>
                  <c:y val="1.4561582579955283E-2"/>
                </c:manualLayout>
              </c:layout>
              <c:tx>
                <c:rich>
                  <a:bodyPr/>
                  <a:lstStyle/>
                  <a:p>
                    <a:fld id="{0616C28A-36B1-46B7-8D3E-D21CE77C51D9}" type="VALUE">
                      <a:rPr lang="en-US"/>
                      <a:pPr/>
                      <a:t>[VALUE]</a:t>
                    </a:fld>
                    <a:r>
                      <a:rPr lang="en-US"/>
                      <a:t> (4,1%)</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81AF-4ABA-A419-DF0374B16C33}"/>
                </c:ext>
              </c:extLst>
            </c:dLbl>
            <c:dLbl>
              <c:idx val="1"/>
              <c:layout>
                <c:manualLayout>
                  <c:x val="3.8580172508257446E-2"/>
                  <c:y val="4.2860892388451442E-2"/>
                </c:manualLayout>
              </c:layout>
              <c:tx>
                <c:rich>
                  <a:bodyPr/>
                  <a:lstStyle/>
                  <a:p>
                    <a:fld id="{DFB031D6-2D26-4B9F-9990-B8C6E8DFE906}" type="VALUE">
                      <a:rPr lang="en-US"/>
                      <a:pPr/>
                      <a:t>[VALUE]</a:t>
                    </a:fld>
                    <a:r>
                      <a:rPr lang="en-US"/>
                      <a:t> (35,1%)</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81AF-4ABA-A419-DF0374B16C33}"/>
                </c:ext>
              </c:extLst>
            </c:dLbl>
            <c:dLbl>
              <c:idx val="2"/>
              <c:layout>
                <c:manualLayout>
                  <c:x val="0.11319077660024107"/>
                  <c:y val="1.3485224069213571E-2"/>
                </c:manualLayout>
              </c:layout>
              <c:tx>
                <c:rich>
                  <a:bodyPr/>
                  <a:lstStyle/>
                  <a:p>
                    <a:fld id="{DB9F0E8F-5CFB-40EE-8FD3-962EA9DC5727}" type="VALUE">
                      <a:rPr lang="en-US"/>
                      <a:pPr/>
                      <a:t>[VALUE]</a:t>
                    </a:fld>
                    <a:r>
                      <a:rPr lang="en-US" baseline="0"/>
                      <a:t> </a:t>
                    </a:r>
                    <a:r>
                      <a:rPr lang="en-US" b="0" baseline="0"/>
                      <a:t>(0,5</a:t>
                    </a:r>
                    <a:r>
                      <a:rPr lang="en-US" b="0"/>
                      <a:t>%)</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81AF-4ABA-A419-DF0374B16C33}"/>
                </c:ext>
              </c:extLst>
            </c:dLbl>
            <c:dLbl>
              <c:idx val="3"/>
              <c:layout>
                <c:manualLayout>
                  <c:x val="0.17227334157782961"/>
                  <c:y val="6.1840186643336251E-2"/>
                </c:manualLayout>
              </c:layout>
              <c:tx>
                <c:rich>
                  <a:bodyPr/>
                  <a:lstStyle/>
                  <a:p>
                    <a:fld id="{29A19F50-3929-4294-95EE-C4ACC91BF9C5}" type="VALUE">
                      <a:rPr lang="en-US"/>
                      <a:pPr/>
                      <a:t>[VALUE]</a:t>
                    </a:fld>
                    <a:r>
                      <a:rPr lang="en-US"/>
                      <a:t> (8,3%)</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81AF-4ABA-A419-DF0374B16C33}"/>
                </c:ext>
              </c:extLst>
            </c:dLbl>
            <c:dLbl>
              <c:idx val="4"/>
              <c:tx>
                <c:rich>
                  <a:bodyPr/>
                  <a:lstStyle/>
                  <a:p>
                    <a:fld id="{34A901EF-87FE-4769-A34F-B9C8229B3EF3}" type="VALUE">
                      <a:rPr lang="en-US"/>
                      <a:pPr/>
                      <a:t>[VALUE]</a:t>
                    </a:fld>
                    <a:r>
                      <a:rPr lang="en-US"/>
                      <a:t> (1,2%)</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81AF-4ABA-A419-DF0374B16C33}"/>
                </c:ext>
              </c:extLst>
            </c:dLbl>
            <c:dLbl>
              <c:idx val="5"/>
              <c:tx>
                <c:rich>
                  <a:bodyPr/>
                  <a:lstStyle/>
                  <a:p>
                    <a:fld id="{8DCBC3BA-E4A5-4E01-9F88-57E7056C9499}" type="VALUE">
                      <a:rPr lang="en-US"/>
                      <a:pPr/>
                      <a:t>[VALUE]</a:t>
                    </a:fld>
                    <a:r>
                      <a:rPr lang="en-US"/>
                      <a:t> (4%)</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81AF-4ABA-A419-DF0374B16C33}"/>
                </c:ext>
              </c:extLst>
            </c:dLbl>
            <c:dLbl>
              <c:idx val="6"/>
              <c:tx>
                <c:rich>
                  <a:bodyPr/>
                  <a:lstStyle/>
                  <a:p>
                    <a:fld id="{9549B2D9-A76E-4555-A249-169EBC368B13}" type="VALUE">
                      <a:rPr lang="en-US"/>
                      <a:pPr/>
                      <a:t>[VALUE]</a:t>
                    </a:fld>
                    <a:r>
                      <a:rPr lang="en-US"/>
                      <a:t> (6,4%)</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81AF-4ABA-A419-DF0374B16C33}"/>
                </c:ext>
              </c:extLst>
            </c:dLbl>
            <c:dLbl>
              <c:idx val="7"/>
              <c:tx>
                <c:rich>
                  <a:bodyPr/>
                  <a:lstStyle/>
                  <a:p>
                    <a:fld id="{ECE2B64B-C180-4B86-97C5-C5291D92D54F}" type="VALUE">
                      <a:rPr lang="en-US"/>
                      <a:pPr/>
                      <a:t>[VALUE]</a:t>
                    </a:fld>
                    <a:r>
                      <a:rPr lang="en-US"/>
                      <a:t> (0,5%)</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F-81AF-4ABA-A419-DF0374B16C33}"/>
                </c:ext>
              </c:extLst>
            </c:dLbl>
            <c:dLbl>
              <c:idx val="8"/>
              <c:layout>
                <c:manualLayout>
                  <c:x val="-2.772999796496611E-2"/>
                  <c:y val="-0.12382764654418198"/>
                </c:manualLayout>
              </c:layout>
              <c:tx>
                <c:rich>
                  <a:bodyPr/>
                  <a:lstStyle/>
                  <a:p>
                    <a:fld id="{A4048903-E4BD-453B-8B50-ECA5492CDE09}" type="VALUE">
                      <a:rPr lang="en-US"/>
                      <a:pPr/>
                      <a:t>[VALUE]</a:t>
                    </a:fld>
                    <a:r>
                      <a:rPr lang="en-US"/>
                      <a:t> (25,8%)</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1-81AF-4ABA-A419-DF0374B16C33}"/>
                </c:ext>
              </c:extLst>
            </c:dLbl>
            <c:dLbl>
              <c:idx val="9"/>
              <c:tx>
                <c:rich>
                  <a:bodyPr/>
                  <a:lstStyle/>
                  <a:p>
                    <a:fld id="{CF05E389-0A91-4821-94E6-6CE7000775A9}" type="VALUE">
                      <a:rPr lang="en-US"/>
                      <a:pPr/>
                      <a:t>[VALUE]</a:t>
                    </a:fld>
                    <a:r>
                      <a:rPr lang="en-US"/>
                      <a:t> (9,8%)</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3-81AF-4ABA-A419-DF0374B16C33}"/>
                </c:ext>
              </c:extLst>
            </c:dLbl>
            <c:dLbl>
              <c:idx val="10"/>
              <c:tx>
                <c:rich>
                  <a:bodyPr/>
                  <a:lstStyle/>
                  <a:p>
                    <a:fld id="{E3705D73-C267-4775-888F-64BB09AA65D0}" type="VALUE">
                      <a:rPr lang="en-US"/>
                      <a:pPr/>
                      <a:t>[VALUE]</a:t>
                    </a:fld>
                    <a:r>
                      <a:rPr lang="en-US"/>
                      <a:t> (0,3%)</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5-81AF-4ABA-A419-DF0374B16C33}"/>
                </c:ext>
              </c:extLst>
            </c:dLbl>
            <c:dLbl>
              <c:idx val="11"/>
              <c:tx>
                <c:rich>
                  <a:bodyPr/>
                  <a:lstStyle/>
                  <a:p>
                    <a:fld id="{517CDA72-29C5-401E-AF5C-BBCC8BFF0712}" type="VALUE">
                      <a:rPr lang="en-US"/>
                      <a:pPr/>
                      <a:t>[VALUE]</a:t>
                    </a:fld>
                    <a:r>
                      <a:rPr lang="en-US"/>
                      <a:t> (2%)</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7-81AF-4ABA-A419-DF0374B16C33}"/>
                </c:ext>
              </c:extLst>
            </c:dLbl>
            <c:dLbl>
              <c:idx val="12"/>
              <c:tx>
                <c:rich>
                  <a:bodyPr/>
                  <a:lstStyle/>
                  <a:p>
                    <a:fld id="{50D71FF7-26F6-4E3F-85AA-1B5A63DF3159}" type="VALUE">
                      <a:rPr lang="en-US"/>
                      <a:pPr/>
                      <a:t>[VALUE]</a:t>
                    </a:fld>
                    <a:r>
                      <a:rPr lang="en-US"/>
                      <a:t> (2%)</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9-81AF-4ABA-A419-DF0374B16C3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'Εγκρίσεις ΕΔΚ'!$A$2:$A$14</c:f>
              <c:strCache>
                <c:ptCount val="13"/>
                <c:pt idx="0">
                  <c:v>Αν. Μακεδονίας-Θράκης</c:v>
                </c:pt>
                <c:pt idx="1">
                  <c:v>Αττικής</c:v>
                </c:pt>
                <c:pt idx="2">
                  <c:v>Β. Αιγαίου </c:v>
                </c:pt>
                <c:pt idx="3">
                  <c:v>Δ. Ελλάδας</c:v>
                </c:pt>
                <c:pt idx="4">
                  <c:v>Δ. Μακεδονίας</c:v>
                </c:pt>
                <c:pt idx="5">
                  <c:v>Ηπείρου</c:v>
                </c:pt>
                <c:pt idx="6">
                  <c:v>Θεσσαλίας</c:v>
                </c:pt>
                <c:pt idx="7">
                  <c:v>Ιονίων Νήσων</c:v>
                </c:pt>
                <c:pt idx="8">
                  <c:v>Κ.Μακεδονία</c:v>
                </c:pt>
                <c:pt idx="9">
                  <c:v>Κρήτη</c:v>
                </c:pt>
                <c:pt idx="10">
                  <c:v>Ν. Αιγαίο</c:v>
                </c:pt>
                <c:pt idx="11">
                  <c:v>Πελοπόννησος</c:v>
                </c:pt>
                <c:pt idx="12">
                  <c:v>Σ. Ελλάδα</c:v>
                </c:pt>
              </c:strCache>
            </c:strRef>
          </c:cat>
          <c:val>
            <c:numRef>
              <c:f>'Εγκρίσεις ΕΔΚ'!$B$2:$B$14</c:f>
              <c:numCache>
                <c:formatCode>#,##0</c:formatCode>
                <c:ptCount val="13"/>
                <c:pt idx="0">
                  <c:v>15261310.575683594</c:v>
                </c:pt>
                <c:pt idx="1">
                  <c:v>130882999.22443067</c:v>
                </c:pt>
                <c:pt idx="2">
                  <c:v>1811165.7290039063</c:v>
                </c:pt>
                <c:pt idx="3">
                  <c:v>30809344.283691406</c:v>
                </c:pt>
                <c:pt idx="4">
                  <c:v>4481190.84765625</c:v>
                </c:pt>
                <c:pt idx="5">
                  <c:v>15005862.851074219</c:v>
                </c:pt>
                <c:pt idx="6">
                  <c:v>23821844.582275391</c:v>
                </c:pt>
                <c:pt idx="7">
                  <c:v>1864716.5649414063</c:v>
                </c:pt>
                <c:pt idx="8">
                  <c:v>96231584.749145508</c:v>
                </c:pt>
                <c:pt idx="9">
                  <c:v>36570109.408630371</c:v>
                </c:pt>
                <c:pt idx="10">
                  <c:v>1098499.93359375</c:v>
                </c:pt>
                <c:pt idx="11">
                  <c:v>7554635.6020507813</c:v>
                </c:pt>
                <c:pt idx="12">
                  <c:v>7580226.3818359375</c:v>
                </c:pt>
              </c:numCache>
            </c:numRef>
          </c:val>
          <c:extLst>
            <c:ext xmlns:c16="http://schemas.microsoft.com/office/drawing/2014/chart" uri="{C3380CC4-5D6E-409C-BE32-E72D297353CC}">
              <c16:uniqueId val="{0000001A-81AF-4ABA-A419-DF0374B16C33}"/>
            </c:ext>
          </c:extLst>
        </c:ser>
        <c:ser>
          <c:idx val="1"/>
          <c:order val="1"/>
          <c:tx>
            <c:strRef>
              <c:f>'Εγκρίσεις ΕΔΚ'!$C$1</c:f>
              <c:strCache>
                <c:ptCount val="1"/>
                <c:pt idx="0">
                  <c:v>%</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1C-81AF-4ABA-A419-DF0374B16C3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E-81AF-4ABA-A419-DF0374B16C3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20-81AF-4ABA-A419-DF0374B16C3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22-81AF-4ABA-A419-DF0374B16C3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24-81AF-4ABA-A419-DF0374B16C3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26-81AF-4ABA-A419-DF0374B16C33}"/>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8-81AF-4ABA-A419-DF0374B16C33}"/>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A-81AF-4ABA-A419-DF0374B16C33}"/>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C-81AF-4ABA-A419-DF0374B16C33}"/>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E-81AF-4ABA-A419-DF0374B16C33}"/>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0-81AF-4ABA-A419-DF0374B16C33}"/>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2-81AF-4ABA-A419-DF0374B16C33}"/>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34-81AF-4ABA-A419-DF0374B16C33}"/>
              </c:ext>
            </c:extLst>
          </c:dPt>
          <c:cat>
            <c:strRef>
              <c:f>'Εγκρίσεις ΕΔΚ'!$A$2:$A$14</c:f>
              <c:strCache>
                <c:ptCount val="13"/>
                <c:pt idx="0">
                  <c:v>Αν. Μακεδονίας-Θράκης</c:v>
                </c:pt>
                <c:pt idx="1">
                  <c:v>Αττικής</c:v>
                </c:pt>
                <c:pt idx="2">
                  <c:v>Β. Αιγαίου </c:v>
                </c:pt>
                <c:pt idx="3">
                  <c:v>Δ. Ελλάδας</c:v>
                </c:pt>
                <c:pt idx="4">
                  <c:v>Δ. Μακεδονίας</c:v>
                </c:pt>
                <c:pt idx="5">
                  <c:v>Ηπείρου</c:v>
                </c:pt>
                <c:pt idx="6">
                  <c:v>Θεσσαλίας</c:v>
                </c:pt>
                <c:pt idx="7">
                  <c:v>Ιονίων Νήσων</c:v>
                </c:pt>
                <c:pt idx="8">
                  <c:v>Κ.Μακεδονία</c:v>
                </c:pt>
                <c:pt idx="9">
                  <c:v>Κρήτη</c:v>
                </c:pt>
                <c:pt idx="10">
                  <c:v>Ν. Αιγαίο</c:v>
                </c:pt>
                <c:pt idx="11">
                  <c:v>Πελοπόννησος</c:v>
                </c:pt>
                <c:pt idx="12">
                  <c:v>Σ. Ελλάδα</c:v>
                </c:pt>
              </c:strCache>
            </c:strRef>
          </c:cat>
          <c:val>
            <c:numRef>
              <c:f>'Εγκρίσεις ΕΔΚ'!$C$2:$C$14</c:f>
              <c:numCache>
                <c:formatCode>0.0%</c:formatCode>
                <c:ptCount val="13"/>
                <c:pt idx="0">
                  <c:v>4.0917949813669807E-2</c:v>
                </c:pt>
                <c:pt idx="1">
                  <c:v>0.35091769918246052</c:v>
                </c:pt>
                <c:pt idx="2">
                  <c:v>4.8560173149022612E-3</c:v>
                </c:pt>
                <c:pt idx="3">
                  <c:v>8.2604648987407936E-2</c:v>
                </c:pt>
                <c:pt idx="4">
                  <c:v>1.2014770376407314E-2</c:v>
                </c:pt>
                <c:pt idx="5">
                  <c:v>4.0233054691213112E-2</c:v>
                </c:pt>
                <c:pt idx="6">
                  <c:v>6.3870074346018296E-2</c:v>
                </c:pt>
                <c:pt idx="7">
                  <c:v>4.9995954438253436E-3</c:v>
                </c:pt>
                <c:pt idx="8">
                  <c:v>0.25801186180755475</c:v>
                </c:pt>
                <c:pt idx="9">
                  <c:v>9.8050157228762452E-2</c:v>
                </c:pt>
                <c:pt idx="10">
                  <c:v>2.9452493565478291E-3</c:v>
                </c:pt>
                <c:pt idx="11">
                  <c:v>2.0255154293092603E-2</c:v>
                </c:pt>
                <c:pt idx="12">
                  <c:v>2.0323767158137766E-2</c:v>
                </c:pt>
              </c:numCache>
            </c:numRef>
          </c:val>
          <c:extLst>
            <c:ext xmlns:c16="http://schemas.microsoft.com/office/drawing/2014/chart" uri="{C3380CC4-5D6E-409C-BE32-E72D297353CC}">
              <c16:uniqueId val="{00000035-81AF-4ABA-A419-DF0374B16C33}"/>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10152460564695814"/>
          <c:y val="0.74729756002721881"/>
          <c:w val="0.79695057998465901"/>
          <c:h val="0.2341839214542626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Sheet1!$B$1</c:f>
              <c:strCache>
                <c:ptCount val="1"/>
                <c:pt idx="0">
                  <c:v>H2020 Net EU Contribution</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Sheet1!$A$2:$A$6</c:f>
              <c:strCache>
                <c:ptCount val="5"/>
                <c:pt idx="0">
                  <c:v>REC</c:v>
                </c:pt>
                <c:pt idx="1">
                  <c:v>PRC</c:v>
                </c:pt>
                <c:pt idx="2">
                  <c:v>HES</c:v>
                </c:pt>
                <c:pt idx="3">
                  <c:v>PUB</c:v>
                </c:pt>
                <c:pt idx="4">
                  <c:v>OTH</c:v>
                </c:pt>
              </c:strCache>
            </c:strRef>
          </c:cat>
          <c:val>
            <c:numRef>
              <c:f>Sheet1!$B$2:$B$6</c:f>
              <c:numCache>
                <c:formatCode>_-* #,##0.00\ [$€-408]_-;\-* #,##0.00\ [$€-408]_-;_-* "-"??\ [$€-408]_-;_-@_-</c:formatCode>
                <c:ptCount val="5"/>
                <c:pt idx="0">
                  <c:v>256108891.06999981</c:v>
                </c:pt>
                <c:pt idx="1">
                  <c:v>193150194.7699998</c:v>
                </c:pt>
                <c:pt idx="2">
                  <c:v>193935713.31000009</c:v>
                </c:pt>
                <c:pt idx="3">
                  <c:v>12017675.970000001</c:v>
                </c:pt>
                <c:pt idx="4">
                  <c:v>9919850.5899999999</c:v>
                </c:pt>
              </c:numCache>
            </c:numRef>
          </c:val>
          <c:extLst>
            <c:ext xmlns:c16="http://schemas.microsoft.com/office/drawing/2014/chart" uri="{C3380CC4-5D6E-409C-BE32-E72D297353CC}">
              <c16:uniqueId val="{00000000-0B17-4A9C-B77D-318E08BB9A9D}"/>
            </c:ext>
          </c:extLst>
        </c:ser>
        <c:dLbls>
          <c:dLblPos val="inEnd"/>
          <c:showLegendKey val="0"/>
          <c:showVal val="1"/>
          <c:showCatName val="0"/>
          <c:showSerName val="0"/>
          <c:showPercent val="0"/>
          <c:showBubbleSize val="0"/>
        </c:dLbls>
        <c:gapWidth val="65"/>
        <c:axId val="368441648"/>
        <c:axId val="368442208"/>
      </c:barChart>
      <c:catAx>
        <c:axId val="368441648"/>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68442208"/>
        <c:crosses val="autoZero"/>
        <c:auto val="1"/>
        <c:lblAlgn val="ctr"/>
        <c:lblOffset val="100"/>
        <c:noMultiLvlLbl val="0"/>
      </c:catAx>
      <c:valAx>
        <c:axId val="368442208"/>
        <c:scaling>
          <c:orientation val="minMax"/>
        </c:scaling>
        <c:delete val="1"/>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_-* #,##0.00\ [$€-408]_-;\-* #,##0.00\ [$€-408]_-;_-* &quot;-&quot;??\ [$€-408]_-;_-@_-" sourceLinked="1"/>
        <c:majorTickMark val="none"/>
        <c:minorTickMark val="none"/>
        <c:tickLblPos val="nextTo"/>
        <c:crossAx val="368441648"/>
        <c:crosses val="autoZero"/>
        <c:crossBetween val="between"/>
      </c:valAx>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Sheet1!$B$1</c:f>
              <c:strCache>
                <c:ptCount val="1"/>
                <c:pt idx="0">
                  <c:v>H2020 Signed Grants</c:v>
                </c:pt>
              </c:strCache>
            </c:strRef>
          </c:tx>
          <c:spPr>
            <a:noFill/>
            <a:ln w="9525" cap="flat" cmpd="sng" algn="ctr">
              <a:solidFill>
                <a:schemeClr val="accent1"/>
              </a:solidFill>
              <a:miter lim="800000"/>
            </a:ln>
            <a:effectLst>
              <a:glow rad="63500">
                <a:schemeClr val="accent1">
                  <a:satMod val="175000"/>
                  <a:alpha val="25000"/>
                </a:schemeClr>
              </a:glo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75000"/>
                      </a:schemeClr>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50000"/>
                        </a:schemeClr>
                      </a:solidFill>
                      <a:round/>
                    </a:ln>
                    <a:effectLst/>
                  </c:spPr>
                </c15:leaderLines>
              </c:ext>
            </c:extLst>
          </c:dLbls>
          <c:cat>
            <c:strRef>
              <c:f>Sheet1!$A$2:$A$30</c:f>
              <c:strCache>
                <c:ptCount val="29"/>
                <c:pt idx="0">
                  <c:v>LEIT-ICT - Information and Communication Technologies</c:v>
                </c:pt>
                <c:pt idx="1">
                  <c:v>MSCA - Marie-Sklodowska-Curie Actions</c:v>
                </c:pt>
                <c:pt idx="2">
                  <c:v>ENERGY - Secure, clean and efficient energy</c:v>
                </c:pt>
                <c:pt idx="3">
                  <c:v>INFRA - Research Infrastructures</c:v>
                </c:pt>
                <c:pt idx="4">
                  <c:v>TPT - Smart, green and integrated transport</c:v>
                </c:pt>
                <c:pt idx="5">
                  <c:v>FOOD - Food security, sustainable agriculture and forestry, marine and maritime and inland water research and the bioeconomy</c:v>
                </c:pt>
                <c:pt idx="6">
                  <c:v>HEALTH - Health, demographic change and wellbeing</c:v>
                </c:pt>
                <c:pt idx="7">
                  <c:v>ENV - Climate action, environment, resource efficiency and raw materials</c:v>
                </c:pt>
                <c:pt idx="8">
                  <c:v>SOCIETY - Europe in a changing world - inclusive, innovative and reflective Societies</c:v>
                </c:pt>
                <c:pt idx="9">
                  <c:v>SECURITY - Secure societies - Protecting freedom and security of Europe and its citizens</c:v>
                </c:pt>
                <c:pt idx="10">
                  <c:v>LEIT-ADVMANU - Advanced manufacturing and processing</c:v>
                </c:pt>
                <c:pt idx="11">
                  <c:v>LEIT-SPACE - Space</c:v>
                </c:pt>
                <c:pt idx="12">
                  <c:v>FET - Future and Emerging Technologies (FET)</c:v>
                </c:pt>
                <c:pt idx="13">
                  <c:v>LEIT-ADVMAT - Advanced materials</c:v>
                </c:pt>
                <c:pt idx="14">
                  <c:v>ERC - European Research Council (ERC)</c:v>
                </c:pt>
                <c:pt idx="15">
                  <c:v>INNOSUPSME - Innovation in SMEs</c:v>
                </c:pt>
                <c:pt idx="16">
                  <c:v>LEIT-NMP - Nanotechnologies</c:v>
                </c:pt>
                <c:pt idx="17">
                  <c:v>CROSST - Cross-theme</c:v>
                </c:pt>
                <c:pt idx="18">
                  <c:v>GOV - Develop the governance for the advancement of responsible research and innovation</c:v>
                </c:pt>
                <c:pt idx="19">
                  <c:v>CAREER - Make scientific and technological careers attractive for young people</c:v>
                </c:pt>
                <c:pt idx="20">
                  <c:v>EURATOM - Euratom</c:v>
                </c:pt>
                <c:pt idx="21">
                  <c:v>INEGSOC - Integrate society in science and innovation</c:v>
                </c:pt>
                <c:pt idx="22">
                  <c:v>LEIT-BIOTECH - Biotechnology</c:v>
                </c:pt>
                <c:pt idx="23">
                  <c:v>GENDEREQ - Promote gender equality in research and innovation</c:v>
                </c:pt>
                <c:pt idx="24">
                  <c:v>TWINING - Twinning of research institutions</c:v>
                </c:pt>
                <c:pt idx="25">
                  <c:v>WIDESPREAD - Teaming of excellent research institutions and low performing RDI regions</c:v>
                </c:pt>
                <c:pt idx="26">
                  <c:v>RISKFINANCE - Access to risk finance</c:v>
                </c:pt>
                <c:pt idx="27">
                  <c:v>SCIENCE - Encourage citizens to engage in science</c:v>
                </c:pt>
                <c:pt idx="28">
                  <c:v>NCPNET - Transnational networks of National Contact Points</c:v>
                </c:pt>
              </c:strCache>
            </c:strRef>
          </c:cat>
          <c:val>
            <c:numRef>
              <c:f>Sheet1!$B$2:$B$30</c:f>
              <c:numCache>
                <c:formatCode>#,##0</c:formatCode>
                <c:ptCount val="29"/>
                <c:pt idx="0">
                  <c:v>251</c:v>
                </c:pt>
                <c:pt idx="1">
                  <c:v>180</c:v>
                </c:pt>
                <c:pt idx="2">
                  <c:v>113</c:v>
                </c:pt>
                <c:pt idx="3">
                  <c:v>90</c:v>
                </c:pt>
                <c:pt idx="4">
                  <c:v>83</c:v>
                </c:pt>
                <c:pt idx="5">
                  <c:v>80</c:v>
                </c:pt>
                <c:pt idx="6">
                  <c:v>72</c:v>
                </c:pt>
                <c:pt idx="7">
                  <c:v>71</c:v>
                </c:pt>
                <c:pt idx="8">
                  <c:v>64</c:v>
                </c:pt>
                <c:pt idx="9">
                  <c:v>63</c:v>
                </c:pt>
                <c:pt idx="10">
                  <c:v>62</c:v>
                </c:pt>
                <c:pt idx="11">
                  <c:v>36</c:v>
                </c:pt>
                <c:pt idx="12">
                  <c:v>28</c:v>
                </c:pt>
                <c:pt idx="13">
                  <c:v>20</c:v>
                </c:pt>
                <c:pt idx="14">
                  <c:v>19</c:v>
                </c:pt>
                <c:pt idx="15">
                  <c:v>18</c:v>
                </c:pt>
                <c:pt idx="16">
                  <c:v>17</c:v>
                </c:pt>
                <c:pt idx="17">
                  <c:v>12</c:v>
                </c:pt>
                <c:pt idx="18">
                  <c:v>8</c:v>
                </c:pt>
                <c:pt idx="19">
                  <c:v>7</c:v>
                </c:pt>
                <c:pt idx="20">
                  <c:v>6</c:v>
                </c:pt>
                <c:pt idx="21">
                  <c:v>5</c:v>
                </c:pt>
                <c:pt idx="22">
                  <c:v>4</c:v>
                </c:pt>
                <c:pt idx="23">
                  <c:v>4</c:v>
                </c:pt>
                <c:pt idx="24">
                  <c:v>4</c:v>
                </c:pt>
                <c:pt idx="25">
                  <c:v>3</c:v>
                </c:pt>
                <c:pt idx="26">
                  <c:v>1</c:v>
                </c:pt>
                <c:pt idx="27">
                  <c:v>1</c:v>
                </c:pt>
                <c:pt idx="28">
                  <c:v>1</c:v>
                </c:pt>
              </c:numCache>
            </c:numRef>
          </c:val>
          <c:extLst>
            <c:ext xmlns:c16="http://schemas.microsoft.com/office/drawing/2014/chart" uri="{C3380CC4-5D6E-409C-BE32-E72D297353CC}">
              <c16:uniqueId val="{00000000-932C-4BEE-9B57-185F171CDB31}"/>
            </c:ext>
          </c:extLst>
        </c:ser>
        <c:dLbls>
          <c:dLblPos val="inEnd"/>
          <c:showLegendKey val="0"/>
          <c:showVal val="1"/>
          <c:showCatName val="0"/>
          <c:showSerName val="0"/>
          <c:showPercent val="0"/>
          <c:showBubbleSize val="0"/>
        </c:dLbls>
        <c:gapWidth val="182"/>
        <c:overlap val="-50"/>
        <c:axId val="368444448"/>
        <c:axId val="368445008"/>
      </c:barChart>
      <c:catAx>
        <c:axId val="368444448"/>
        <c:scaling>
          <c:orientation val="minMax"/>
        </c:scaling>
        <c:delete val="0"/>
        <c:axPos val="l"/>
        <c:majorGridlines>
          <c:spPr>
            <a:ln w="9525" cap="flat" cmpd="sng" algn="ctr">
              <a:gradFill>
                <a:gsLst>
                  <a:gs pos="0">
                    <a:schemeClr val="dk1">
                      <a:lumMod val="65000"/>
                      <a:lumOff val="35000"/>
                    </a:schemeClr>
                  </a:gs>
                  <a:gs pos="100000">
                    <a:schemeClr val="dk1">
                      <a:lumMod val="75000"/>
                      <a:lumOff val="25000"/>
                    </a:schemeClr>
                  </a:gs>
                </a:gsLst>
                <a:lin ang="108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75000"/>
                  </a:schemeClr>
                </a:solidFill>
                <a:latin typeface="+mn-lt"/>
                <a:ea typeface="+mn-ea"/>
                <a:cs typeface="+mn-cs"/>
              </a:defRPr>
            </a:pPr>
            <a:endParaRPr lang="en-US"/>
          </a:p>
        </c:txPr>
        <c:crossAx val="368445008"/>
        <c:crosses val="autoZero"/>
        <c:auto val="1"/>
        <c:lblAlgn val="ctr"/>
        <c:lblOffset val="100"/>
        <c:noMultiLvlLbl val="0"/>
      </c:catAx>
      <c:valAx>
        <c:axId val="368445008"/>
        <c:scaling>
          <c:orientation val="minMax"/>
        </c:scaling>
        <c:delete val="0"/>
        <c:axPos val="b"/>
        <c:majorGridlines>
          <c:spPr>
            <a:ln w="9525" cap="flat" cmpd="sng" algn="ctr">
              <a:gradFill>
                <a:gsLst>
                  <a:gs pos="0">
                    <a:schemeClr val="dk1">
                      <a:lumMod val="65000"/>
                      <a:lumOff val="35000"/>
                    </a:schemeClr>
                  </a:gs>
                  <a:gs pos="100000">
                    <a:schemeClr val="dk1">
                      <a:lumMod val="75000"/>
                      <a:lumOff val="25000"/>
                    </a:schemeClr>
                  </a:gs>
                </a:gsLst>
                <a:lin ang="108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75000"/>
                  </a:schemeClr>
                </a:solidFill>
                <a:latin typeface="+mn-lt"/>
                <a:ea typeface="+mn-ea"/>
                <a:cs typeface="+mn-cs"/>
              </a:defRPr>
            </a:pPr>
            <a:endParaRPr lang="en-US"/>
          </a:p>
        </c:txPr>
        <c:crossAx val="36844444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dk1">
        <a:lumMod val="75000"/>
        <a:lumOff val="25000"/>
      </a:schemeClr>
    </a:solidFill>
    <a:ln w="9525" cap="flat" cmpd="sng" algn="ctr">
      <a:solidFill>
        <a:schemeClr val="dk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Φύλλο2!$F$2</c:f>
              <c:strCache>
                <c:ptCount val="1"/>
                <c:pt idx="0">
                  <c:v>ΣΥΝΟΛΟ ΥΠΟΨΗΦΙΩΝ</c:v>
                </c:pt>
              </c:strCache>
            </c:strRef>
          </c:tx>
          <c:spPr>
            <a:solidFill>
              <a:schemeClr val="accent1"/>
            </a:solidFill>
            <a:ln>
              <a:noFill/>
            </a:ln>
            <a:effectLst/>
          </c:spPr>
          <c:invertIfNegative val="0"/>
          <c:cat>
            <c:strRef>
              <c:f>Φύλλο2!$B$3:$B$9</c:f>
              <c:strCache>
                <c:ptCount val="7"/>
                <c:pt idx="0">
                  <c:v>«ΙΑΤΡΙΚΗ ΚΑΙ ΕΠΙΣΤΗΜΕΣ ΥΓΕΙΑΣ»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Φύλλο2!$F$3:$F$9</c:f>
              <c:numCache>
                <c:formatCode>General</c:formatCode>
                <c:ptCount val="7"/>
                <c:pt idx="0">
                  <c:v>244</c:v>
                </c:pt>
                <c:pt idx="1">
                  <c:v>189</c:v>
                </c:pt>
                <c:pt idx="2">
                  <c:v>178</c:v>
                </c:pt>
                <c:pt idx="3">
                  <c:v>141</c:v>
                </c:pt>
                <c:pt idx="4">
                  <c:v>247</c:v>
                </c:pt>
                <c:pt idx="5">
                  <c:v>219</c:v>
                </c:pt>
                <c:pt idx="6">
                  <c:v>68</c:v>
                </c:pt>
              </c:numCache>
            </c:numRef>
          </c:val>
          <c:extLst>
            <c:ext xmlns:c16="http://schemas.microsoft.com/office/drawing/2014/chart" uri="{C3380CC4-5D6E-409C-BE32-E72D297353CC}">
              <c16:uniqueId val="{00000000-7C29-4E3D-84F4-642443AC3350}"/>
            </c:ext>
          </c:extLst>
        </c:ser>
        <c:dLbls>
          <c:showLegendKey val="0"/>
          <c:showVal val="0"/>
          <c:showCatName val="0"/>
          <c:showSerName val="0"/>
          <c:showPercent val="0"/>
          <c:showBubbleSize val="0"/>
        </c:dLbls>
        <c:gapWidth val="219"/>
        <c:overlap val="-27"/>
        <c:axId val="369135408"/>
        <c:axId val="369135968"/>
      </c:barChart>
      <c:lineChart>
        <c:grouping val="standard"/>
        <c:varyColors val="0"/>
        <c:ser>
          <c:idx val="1"/>
          <c:order val="1"/>
          <c:tx>
            <c:strRef>
              <c:f>Φύλλο2!$G$2</c:f>
              <c:strCache>
                <c:ptCount val="1"/>
                <c:pt idx="0">
                  <c:v>ΠΟΣΟΣΟΤΟ ΕΠΙΤΥΧΙΑΣ</c:v>
                </c:pt>
              </c:strCache>
            </c:strRef>
          </c:tx>
          <c:spPr>
            <a:ln w="28575" cap="rnd">
              <a:solidFill>
                <a:schemeClr val="accent2"/>
              </a:solidFill>
              <a:round/>
            </a:ln>
            <a:effectLst/>
          </c:spPr>
          <c:marker>
            <c:symbol val="none"/>
          </c:marker>
          <c:cat>
            <c:strRef>
              <c:f>Φύλλο2!$B$3:$B$9</c:f>
              <c:strCache>
                <c:ptCount val="7"/>
                <c:pt idx="0">
                  <c:v>«ΙΑΤΡΙΚΗ ΚΑΙ ΕΠΙΣΤΗΜΕΣ ΥΓΕΙΑΣ»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Φύλλο2!$G$3:$G$9</c:f>
              <c:numCache>
                <c:formatCode>0%</c:formatCode>
                <c:ptCount val="7"/>
                <c:pt idx="0">
                  <c:v>0.20491803278688525</c:v>
                </c:pt>
                <c:pt idx="1">
                  <c:v>0.17989417989417988</c:v>
                </c:pt>
                <c:pt idx="2">
                  <c:v>0.20224719101123595</c:v>
                </c:pt>
                <c:pt idx="3">
                  <c:v>0.1276595744680851</c:v>
                </c:pt>
                <c:pt idx="4">
                  <c:v>0.1417004048582996</c:v>
                </c:pt>
                <c:pt idx="5">
                  <c:v>0.14155251141552511</c:v>
                </c:pt>
                <c:pt idx="6">
                  <c:v>0.10294117647058823</c:v>
                </c:pt>
              </c:numCache>
            </c:numRef>
          </c:val>
          <c:smooth val="0"/>
          <c:extLst>
            <c:ext xmlns:c16="http://schemas.microsoft.com/office/drawing/2014/chart" uri="{C3380CC4-5D6E-409C-BE32-E72D297353CC}">
              <c16:uniqueId val="{00000001-7C29-4E3D-84F4-642443AC3350}"/>
            </c:ext>
          </c:extLst>
        </c:ser>
        <c:dLbls>
          <c:showLegendKey val="0"/>
          <c:showVal val="0"/>
          <c:showCatName val="0"/>
          <c:showSerName val="0"/>
          <c:showPercent val="0"/>
          <c:showBubbleSize val="0"/>
        </c:dLbls>
        <c:marker val="1"/>
        <c:smooth val="0"/>
        <c:axId val="369137088"/>
        <c:axId val="369136528"/>
      </c:lineChart>
      <c:catAx>
        <c:axId val="369135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369135968"/>
        <c:crosses val="autoZero"/>
        <c:auto val="1"/>
        <c:lblAlgn val="ctr"/>
        <c:lblOffset val="100"/>
        <c:noMultiLvlLbl val="0"/>
      </c:catAx>
      <c:valAx>
        <c:axId val="3691359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135408"/>
        <c:crosses val="autoZero"/>
        <c:crossBetween val="between"/>
      </c:valAx>
      <c:valAx>
        <c:axId val="369136528"/>
        <c:scaling>
          <c:orientation val="minMax"/>
        </c:scaling>
        <c:delete val="0"/>
        <c:axPos val="r"/>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137088"/>
        <c:crosses val="max"/>
        <c:crossBetween val="between"/>
      </c:valAx>
      <c:catAx>
        <c:axId val="369137088"/>
        <c:scaling>
          <c:orientation val="minMax"/>
        </c:scaling>
        <c:delete val="1"/>
        <c:axPos val="b"/>
        <c:numFmt formatCode="General" sourceLinked="1"/>
        <c:majorTickMark val="none"/>
        <c:minorTickMark val="none"/>
        <c:tickLblPos val="nextTo"/>
        <c:crossAx val="36913652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Φύλλο2!$F$27</c:f>
              <c:strCache>
                <c:ptCount val="1"/>
                <c:pt idx="0">
                  <c:v>ΣΥΝΟΛΟ ΥΠΟΨΗΦΙΩΝ</c:v>
                </c:pt>
              </c:strCache>
            </c:strRef>
          </c:tx>
          <c:spPr>
            <a:solidFill>
              <a:schemeClr val="accent1"/>
            </a:solidFill>
            <a:ln>
              <a:noFill/>
            </a:ln>
            <a:effectLst/>
          </c:spPr>
          <c:invertIfNegative val="0"/>
          <c:cat>
            <c:strRef>
              <c:f>Φύλλο2!$B$28:$B$34</c:f>
              <c:strCache>
                <c:ptCount val="7"/>
                <c:pt idx="0">
                  <c:v>«ΕΠΙΣΤΗΜΕΣ ΖΩΗΣ, ΥΓΕΙΑΣ ΚΑΙ ΔΙΑΤΡΟΦΗΣ»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Φύλλο2!$F$28:$F$34</c:f>
              <c:numCache>
                <c:formatCode>General</c:formatCode>
                <c:ptCount val="7"/>
                <c:pt idx="0">
                  <c:v>78</c:v>
                </c:pt>
                <c:pt idx="1">
                  <c:v>67</c:v>
                </c:pt>
                <c:pt idx="2">
                  <c:v>49</c:v>
                </c:pt>
                <c:pt idx="3">
                  <c:v>29</c:v>
                </c:pt>
                <c:pt idx="4">
                  <c:v>60</c:v>
                </c:pt>
                <c:pt idx="5">
                  <c:v>67</c:v>
                </c:pt>
                <c:pt idx="6">
                  <c:v>20</c:v>
                </c:pt>
              </c:numCache>
            </c:numRef>
          </c:val>
          <c:extLst>
            <c:ext xmlns:c16="http://schemas.microsoft.com/office/drawing/2014/chart" uri="{C3380CC4-5D6E-409C-BE32-E72D297353CC}">
              <c16:uniqueId val="{00000000-AAD3-4AC8-83C0-F1863A2E0C5C}"/>
            </c:ext>
          </c:extLst>
        </c:ser>
        <c:dLbls>
          <c:showLegendKey val="0"/>
          <c:showVal val="0"/>
          <c:showCatName val="0"/>
          <c:showSerName val="0"/>
          <c:showPercent val="0"/>
          <c:showBubbleSize val="0"/>
        </c:dLbls>
        <c:gapWidth val="219"/>
        <c:overlap val="-27"/>
        <c:axId val="369140448"/>
        <c:axId val="369141008"/>
      </c:barChart>
      <c:lineChart>
        <c:grouping val="standard"/>
        <c:varyColors val="0"/>
        <c:ser>
          <c:idx val="1"/>
          <c:order val="1"/>
          <c:tx>
            <c:strRef>
              <c:f>Φύλλο2!$G$27</c:f>
              <c:strCache>
                <c:ptCount val="1"/>
                <c:pt idx="0">
                  <c:v>ΠΟΣΟΣΟΤΟ ΕΠΙΤΥΧΙΑΣ</c:v>
                </c:pt>
              </c:strCache>
            </c:strRef>
          </c:tx>
          <c:spPr>
            <a:ln w="28575" cap="rnd">
              <a:solidFill>
                <a:schemeClr val="accent3"/>
              </a:solidFill>
              <a:round/>
            </a:ln>
            <a:effectLst/>
          </c:spPr>
          <c:marker>
            <c:symbol val="none"/>
          </c:marker>
          <c:cat>
            <c:strRef>
              <c:f>Φύλλο2!$B$28:$B$34</c:f>
              <c:strCache>
                <c:ptCount val="7"/>
                <c:pt idx="0">
                  <c:v>«ΕΠΙΣΤΗΜΕΣ ΖΩΗΣ, ΥΓΕΙΑΣ ΚΑΙ ΔΙΑΤΡΟΦΗΣ»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Φύλλο2!$G$28:$G$34</c:f>
              <c:numCache>
                <c:formatCode>0%</c:formatCode>
                <c:ptCount val="7"/>
                <c:pt idx="0">
                  <c:v>0.51282051282051277</c:v>
                </c:pt>
                <c:pt idx="1">
                  <c:v>0.5074626865671642</c:v>
                </c:pt>
                <c:pt idx="2">
                  <c:v>0.67346938775510201</c:v>
                </c:pt>
                <c:pt idx="3">
                  <c:v>0.72413793103448276</c:v>
                </c:pt>
                <c:pt idx="4">
                  <c:v>0.58333333333333337</c:v>
                </c:pt>
                <c:pt idx="5">
                  <c:v>0.46268656716417911</c:v>
                </c:pt>
                <c:pt idx="6">
                  <c:v>0.35</c:v>
                </c:pt>
              </c:numCache>
            </c:numRef>
          </c:val>
          <c:smooth val="0"/>
          <c:extLst>
            <c:ext xmlns:c16="http://schemas.microsoft.com/office/drawing/2014/chart" uri="{C3380CC4-5D6E-409C-BE32-E72D297353CC}">
              <c16:uniqueId val="{00000001-AAD3-4AC8-83C0-F1863A2E0C5C}"/>
            </c:ext>
          </c:extLst>
        </c:ser>
        <c:dLbls>
          <c:showLegendKey val="0"/>
          <c:showVal val="0"/>
          <c:showCatName val="0"/>
          <c:showSerName val="0"/>
          <c:showPercent val="0"/>
          <c:showBubbleSize val="0"/>
        </c:dLbls>
        <c:marker val="1"/>
        <c:smooth val="0"/>
        <c:axId val="369256144"/>
        <c:axId val="369141568"/>
      </c:lineChart>
      <c:catAx>
        <c:axId val="369140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369141008"/>
        <c:crosses val="autoZero"/>
        <c:auto val="1"/>
        <c:lblAlgn val="ctr"/>
        <c:lblOffset val="100"/>
        <c:noMultiLvlLbl val="0"/>
      </c:catAx>
      <c:valAx>
        <c:axId val="369141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140448"/>
        <c:crosses val="autoZero"/>
        <c:crossBetween val="between"/>
      </c:valAx>
      <c:valAx>
        <c:axId val="369141568"/>
        <c:scaling>
          <c:orientation val="minMax"/>
        </c:scaling>
        <c:delete val="0"/>
        <c:axPos val="r"/>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256144"/>
        <c:crosses val="max"/>
        <c:crossBetween val="between"/>
      </c:valAx>
      <c:catAx>
        <c:axId val="369256144"/>
        <c:scaling>
          <c:orientation val="minMax"/>
        </c:scaling>
        <c:delete val="1"/>
        <c:axPos val="b"/>
        <c:numFmt formatCode="General" sourceLinked="1"/>
        <c:majorTickMark val="none"/>
        <c:minorTickMark val="none"/>
        <c:tickLblPos val="nextTo"/>
        <c:crossAx val="36914156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Μεταδιδακτορες!$F$1</c:f>
              <c:strCache>
                <c:ptCount val="1"/>
                <c:pt idx="0">
                  <c:v>ΣΥΝΟΛΟ ΥΠΟΨΗΦΙΩΝ</c:v>
                </c:pt>
              </c:strCache>
            </c:strRef>
          </c:tx>
          <c:spPr>
            <a:solidFill>
              <a:schemeClr val="accent6"/>
            </a:solidFill>
            <a:ln>
              <a:noFill/>
            </a:ln>
            <a:effectLst/>
          </c:spPr>
          <c:invertIfNegative val="0"/>
          <c:cat>
            <c:strRef>
              <c:f>Μεταδιδακτορες!$B$2:$B$8</c:f>
              <c:strCache>
                <c:ptCount val="7"/>
                <c:pt idx="0">
                  <c:v>«ΙΑΤΡΙΚΗ ΚΑΙ ΕΠΙΣΤΗΜΕΣ ΥΓΕΙΑΣ»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Μεταδιδακτορες!$F$2:$F$8</c:f>
              <c:numCache>
                <c:formatCode>General</c:formatCode>
                <c:ptCount val="7"/>
                <c:pt idx="0">
                  <c:v>350</c:v>
                </c:pt>
                <c:pt idx="1">
                  <c:v>278</c:v>
                </c:pt>
                <c:pt idx="2">
                  <c:v>193</c:v>
                </c:pt>
                <c:pt idx="3">
                  <c:v>122</c:v>
                </c:pt>
                <c:pt idx="4">
                  <c:v>378</c:v>
                </c:pt>
                <c:pt idx="5">
                  <c:v>318</c:v>
                </c:pt>
                <c:pt idx="6">
                  <c:v>110</c:v>
                </c:pt>
              </c:numCache>
            </c:numRef>
          </c:val>
          <c:extLst>
            <c:ext xmlns:c16="http://schemas.microsoft.com/office/drawing/2014/chart" uri="{C3380CC4-5D6E-409C-BE32-E72D297353CC}">
              <c16:uniqueId val="{00000000-5A14-4EE2-9B7A-578341C7807E}"/>
            </c:ext>
          </c:extLst>
        </c:ser>
        <c:dLbls>
          <c:showLegendKey val="0"/>
          <c:showVal val="0"/>
          <c:showCatName val="0"/>
          <c:showSerName val="0"/>
          <c:showPercent val="0"/>
          <c:showBubbleSize val="0"/>
        </c:dLbls>
        <c:gapWidth val="219"/>
        <c:overlap val="-27"/>
        <c:axId val="369260064"/>
        <c:axId val="369260624"/>
      </c:barChart>
      <c:lineChart>
        <c:grouping val="standard"/>
        <c:varyColors val="0"/>
        <c:ser>
          <c:idx val="1"/>
          <c:order val="1"/>
          <c:tx>
            <c:strRef>
              <c:f>Μεταδιδακτορες!$G$1</c:f>
              <c:strCache>
                <c:ptCount val="1"/>
                <c:pt idx="0">
                  <c:v>ΠΟΣΟΣΟΤΟ ΕΠΙΤΥΧΙΑΣ</c:v>
                </c:pt>
              </c:strCache>
            </c:strRef>
          </c:tx>
          <c:spPr>
            <a:ln w="28575" cap="rnd">
              <a:solidFill>
                <a:schemeClr val="accent5"/>
              </a:solidFill>
              <a:round/>
            </a:ln>
            <a:effectLst/>
          </c:spPr>
          <c:marker>
            <c:symbol val="none"/>
          </c:marker>
          <c:cat>
            <c:strRef>
              <c:f>Μεταδιδακτορες!$B$2:$B$8</c:f>
              <c:strCache>
                <c:ptCount val="7"/>
                <c:pt idx="0">
                  <c:v>«ΙΑΤΡΙΚΗ ΚΑΙ ΕΠΙΣΤΗΜΕΣ ΥΓΕΙΑΣ»</c:v>
                </c:pt>
                <c:pt idx="1">
                  <c:v>«ΑΝΘΡΩΠΙΣΤΙΚΕΣ ΕΠΙΣΤΗΜΕΣ»</c:v>
                </c:pt>
                <c:pt idx="2">
                  <c:v>«ΚΟΙΝΩΝΙΚΕΣ ΕΠΙΣΤΗΜΕΣ»</c:v>
                </c:pt>
                <c:pt idx="3">
                  <c:v>«ΟΙΚΟΝΟΜΙΚΕΣ ΚΑΙ ΝΟΜΙΚΕΣ ΕΠΙΣΤΗΜΕΣ»</c:v>
                </c:pt>
                <c:pt idx="4">
                  <c:v>«ΦΥΣΙΚΕΣ ΕΠΙΣΤΗΜΕΣ»</c:v>
                </c:pt>
                <c:pt idx="5">
                  <c:v>«ΕΠΙΣΤΗΜΕΣ ΜΗΧΑΝΙΚΟΥ ΚΑΙ ΤΕΧΝΟΛΟΓΙΑ»</c:v>
                </c:pt>
                <c:pt idx="6">
                  <c:v>«ΓΕΩΡΓΙΚΕΣ ΕΠΙΣΤΗΜΕΣ»</c:v>
                </c:pt>
              </c:strCache>
            </c:strRef>
          </c:cat>
          <c:val>
            <c:numRef>
              <c:f>Μεταδιδακτορες!$G$2:$G$8</c:f>
              <c:numCache>
                <c:formatCode>0%</c:formatCode>
                <c:ptCount val="7"/>
                <c:pt idx="0">
                  <c:v>0.22</c:v>
                </c:pt>
                <c:pt idx="1">
                  <c:v>0.11151079136690648</c:v>
                </c:pt>
                <c:pt idx="2">
                  <c:v>0.16580310880829016</c:v>
                </c:pt>
                <c:pt idx="3">
                  <c:v>0.13114754098360656</c:v>
                </c:pt>
                <c:pt idx="4">
                  <c:v>0.1693121693121693</c:v>
                </c:pt>
                <c:pt idx="5">
                  <c:v>0.1761006289308176</c:v>
                </c:pt>
                <c:pt idx="6">
                  <c:v>0.11818181818181818</c:v>
                </c:pt>
              </c:numCache>
            </c:numRef>
          </c:val>
          <c:smooth val="0"/>
          <c:extLst>
            <c:ext xmlns:c16="http://schemas.microsoft.com/office/drawing/2014/chart" uri="{C3380CC4-5D6E-409C-BE32-E72D297353CC}">
              <c16:uniqueId val="{00000001-5A14-4EE2-9B7A-578341C7807E}"/>
            </c:ext>
          </c:extLst>
        </c:ser>
        <c:dLbls>
          <c:showLegendKey val="0"/>
          <c:showVal val="0"/>
          <c:showCatName val="0"/>
          <c:showSerName val="0"/>
          <c:showPercent val="0"/>
          <c:showBubbleSize val="0"/>
        </c:dLbls>
        <c:marker val="1"/>
        <c:smooth val="0"/>
        <c:axId val="369258384"/>
        <c:axId val="369261184"/>
      </c:lineChart>
      <c:catAx>
        <c:axId val="369260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369260624"/>
        <c:crosses val="autoZero"/>
        <c:auto val="1"/>
        <c:lblAlgn val="ctr"/>
        <c:lblOffset val="100"/>
        <c:noMultiLvlLbl val="0"/>
      </c:catAx>
      <c:valAx>
        <c:axId val="3692606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260064"/>
        <c:crosses val="autoZero"/>
        <c:crossBetween val="between"/>
      </c:valAx>
      <c:valAx>
        <c:axId val="369261184"/>
        <c:scaling>
          <c:orientation val="minMax"/>
        </c:scaling>
        <c:delete val="0"/>
        <c:axPos val="r"/>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9258384"/>
        <c:crosses val="max"/>
        <c:crossBetween val="between"/>
      </c:valAx>
      <c:catAx>
        <c:axId val="369258384"/>
        <c:scaling>
          <c:orientation val="minMax"/>
        </c:scaling>
        <c:delete val="1"/>
        <c:axPos val="b"/>
        <c:numFmt formatCode="General" sourceLinked="1"/>
        <c:majorTickMark val="none"/>
        <c:minorTickMark val="none"/>
        <c:tickLblPos val="nextTo"/>
        <c:crossAx val="36926118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'Ark1'!$B$2</c:f>
              <c:strCache>
                <c:ptCount val="1"/>
                <c:pt idx="0">
                  <c:v>Money</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D55D-4896-A83F-5CEECA6A3EEA}"/>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D55D-4896-A83F-5CEECA6A3EEA}"/>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'Ark1'!$A$3:$A$4</c:f>
              <c:strCache>
                <c:ptCount val="2"/>
                <c:pt idx="0">
                  <c:v>Environment</c:v>
                </c:pt>
                <c:pt idx="1">
                  <c:v>Climate protection</c:v>
                </c:pt>
              </c:strCache>
            </c:strRef>
          </c:cat>
          <c:val>
            <c:numRef>
              <c:f>'Ark1'!$B$3:$B$4</c:f>
              <c:numCache>
                <c:formatCode>_("€"* #,##0.00_);_("€"* \(#,##0.00\);_("€"* "-"??_);_(@_)</c:formatCode>
                <c:ptCount val="2"/>
                <c:pt idx="0">
                  <c:v>17702741</c:v>
                </c:pt>
                <c:pt idx="1">
                  <c:v>6637869</c:v>
                </c:pt>
              </c:numCache>
            </c:numRef>
          </c:val>
          <c:extLst>
            <c:ext xmlns:c16="http://schemas.microsoft.com/office/drawing/2014/chart" uri="{C3380CC4-5D6E-409C-BE32-E72D297353CC}">
              <c16:uniqueId val="{00000004-D55D-4896-A83F-5CEECA6A3EEA}"/>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339">
  <cs:axisTitle>
    <cs:lnRef idx="0"/>
    <cs:fillRef idx="0"/>
    <cs:effectRef idx="0"/>
    <cs:fontRef idx="minor">
      <a:schemeClr val="lt1">
        <a:lumMod val="75000"/>
      </a:schemeClr>
    </cs:fontRef>
    <cs:defRPr sz="900" b="1" kern="1200"/>
  </cs:axisTitle>
  <cs:categoryAxis>
    <cs:lnRef idx="0"/>
    <cs:fillRef idx="0"/>
    <cs:effectRef idx="0"/>
    <cs:fontRef idx="minor">
      <a:schemeClr val="lt1">
        <a:lumMod val="75000"/>
      </a:schemeClr>
    </cs:fontRef>
    <cs:defRPr sz="900" kern="1200"/>
  </cs:categoryAxis>
  <cs:chartArea>
    <cs:lnRef idx="0"/>
    <cs:fillRef idx="0"/>
    <cs:effectRef idx="0"/>
    <cs:fontRef idx="minor">
      <a:schemeClr val="dk1"/>
    </cs:fontRef>
    <cs:spPr>
      <a:solidFill>
        <a:schemeClr val="dk1">
          <a:lumMod val="75000"/>
          <a:lumOff val="25000"/>
        </a:schemeClr>
      </a:solidFill>
      <a:ln w="9525" cap="flat" cmpd="sng" algn="ctr">
        <a:solidFill>
          <a:schemeClr val="dk1">
            <a:lumMod val="15000"/>
            <a:lumOff val="85000"/>
          </a:schemeClr>
        </a:solidFill>
        <a:round/>
      </a:ln>
    </cs:spPr>
    <cs:defRPr sz="900" kern="1200"/>
  </cs:chartArea>
  <cs:dataLabel>
    <cs:lnRef idx="0"/>
    <cs:fillRef idx="0"/>
    <cs:effectRef idx="0"/>
    <cs:fontRef idx="minor">
      <a:schemeClr val="lt1">
        <a:lumMod val="75000"/>
      </a:schemeClr>
    </cs:fontRef>
    <cs:defRPr sz="900" kern="1200"/>
  </cs:dataLabel>
  <cs:dataLabelCallout>
    <cs:lnRef idx="0"/>
    <cs:fillRef idx="0"/>
    <cs:effectRef idx="0"/>
    <cs:fontRef idx="minor">
      <a:schemeClr val="lt1">
        <a:lumMod val="15000"/>
        <a:lumOff val="85000"/>
      </a:schemeClr>
    </cs:fontRef>
    <cs:spPr>
      <a:solidFill>
        <a:schemeClr val="dk1">
          <a:lumMod val="65000"/>
          <a:lumOff val="35000"/>
        </a:schemeClr>
      </a:solidFill>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effectRef idx="0">
      <cs:styleClr val="auto"/>
    </cs:effectRef>
    <cs:fontRef idx="minor">
      <a:schemeClr val="dk1"/>
    </cs:fontRef>
    <cs:spPr>
      <a:ln w="9525" cap="flat" cmpd="sng" algn="ctr">
        <a:solidFill>
          <a:schemeClr val="phClr"/>
        </a:solidFill>
        <a:miter lim="800000"/>
      </a:ln>
      <a:effectLst>
        <a:glow rad="63500">
          <a:schemeClr val="phClr">
            <a:satMod val="175000"/>
            <a:alpha val="25000"/>
          </a:schemeClr>
        </a:glow>
      </a:effectLst>
    </cs:spPr>
  </cs:dataPoint>
  <cs:dataPoint3D>
    <cs:lnRef idx="0">
      <cs:styleClr val="auto"/>
    </cs:lnRef>
    <cs:fillRef idx="0">
      <cs:styleClr val="auto"/>
    </cs:fillRef>
    <cs:effectRef idx="0">
      <cs:styleClr val="auto"/>
    </cs:effectRef>
    <cs:fontRef idx="minor">
      <a:schemeClr val="dk1"/>
    </cs:fontRef>
    <cs:spPr>
      <a:ln w="9525" cap="flat" cmpd="sng" algn="ctr">
        <a:solidFill>
          <a:schemeClr val="phClr"/>
        </a:solidFill>
        <a:miter lim="800000"/>
      </a:ln>
      <a:effectLst>
        <a:glow rad="63500">
          <a:schemeClr val="phClr">
            <a:satMod val="175000"/>
            <a:alpha val="25000"/>
          </a:schemeClr>
        </a:glow>
      </a:effectLst>
    </cs:spPr>
  </cs:dataPoint3D>
  <cs:dataPointLine>
    <cs:lnRef idx="0">
      <cs:styleClr val="auto"/>
    </cs:lnRef>
    <cs:fillRef idx="0">
      <cs:styleClr val="auto"/>
    </cs:fillRef>
    <cs:effectRef idx="0">
      <cs:styleClr val="auto"/>
    </cs:effectRef>
    <cs:fontRef idx="minor">
      <a:schemeClr val="dk1"/>
    </cs:fontRef>
    <cs:spPr>
      <a:ln w="22225" cap="rnd">
        <a:solidFill>
          <a:schemeClr val="phClr"/>
        </a:solidFill>
      </a:ln>
      <a:effectLst>
        <a:glow rad="139700">
          <a:schemeClr val="phClr">
            <a:satMod val="175000"/>
            <a:alpha val="14000"/>
          </a:schemeClr>
        </a:glow>
      </a:effectLst>
    </cs:spPr>
  </cs:dataPointLine>
  <cs:dataPointMarker>
    <cs:lnRef idx="0">
      <cs:styleClr val="auto"/>
    </cs:lnRef>
    <cs:fillRef idx="0">
      <cs:styleClr val="auto"/>
    </cs:fillRef>
    <cs:effectRef idx="0">
      <cs:styleClr val="auto"/>
    </cs:effectRef>
    <cs:fontRef idx="minor">
      <a:schemeClr val="dk1"/>
    </cs:fontRef>
    <cs:spPr>
      <a:solidFill>
        <a:schemeClr val="phClr">
          <a:lumMod val="60000"/>
          <a:lumOff val="40000"/>
        </a:schemeClr>
      </a:solidFill>
      <a:effectLst>
        <a:glow rad="63500">
          <a:schemeClr val="phClr">
            <a:satMod val="175000"/>
            <a:alpha val="25000"/>
          </a:schemeClr>
        </a:glow>
      </a:effectLst>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lt1">
        <a:lumMod val="75000"/>
      </a:schemeClr>
    </cs:fontRef>
    <cs:spPr>
      <a:ln w="9525">
        <a:solidFill>
          <a:schemeClr val="dk1">
            <a:lumMod val="50000"/>
            <a:lumOff val="50000"/>
          </a:schemeClr>
        </a:solidFill>
      </a:ln>
    </cs:spPr>
    <cs:defRPr sz="900" kern="1200"/>
  </cs:dataTable>
  <cs:downBar>
    <cs:lnRef idx="0"/>
    <cs:fillRef idx="0"/>
    <cs:effectRef idx="0"/>
    <cs:fontRef idx="minor">
      <a:schemeClr val="lt1"/>
    </cs:fontRef>
    <cs:spPr>
      <a:solidFill>
        <a:schemeClr val="dk1">
          <a:lumMod val="50000"/>
          <a:lumOff val="50000"/>
        </a:schemeClr>
      </a:solidFill>
      <a:ln w="9525">
        <a:solidFill>
          <a:schemeClr val="dk1">
            <a:lumMod val="75000"/>
          </a:schemeClr>
        </a:solidFill>
        <a:round/>
      </a:ln>
    </cs:spPr>
  </cs:downBar>
  <cs:dropLine>
    <cs:lnRef idx="0"/>
    <cs:fillRef idx="0"/>
    <cs:effectRef idx="0"/>
    <cs:fontRef idx="minor">
      <a:schemeClr val="dk1"/>
    </cs:fontRef>
    <cs:spPr>
      <a:ln w="9525">
        <a:solidFill>
          <a:schemeClr val="lt1">
            <a:lumMod val="50000"/>
          </a:schemeClr>
        </a:solidFill>
        <a:round/>
      </a:ln>
    </cs:spPr>
  </cs:dropLine>
  <cs:errorBar>
    <cs:lnRef idx="0"/>
    <cs:fillRef idx="0"/>
    <cs:effectRef idx="0"/>
    <cs:fontRef idx="minor">
      <a:schemeClr val="dk1"/>
    </cs:fontRef>
    <cs:spPr>
      <a:ln w="9525">
        <a:solidFill>
          <a:schemeClr val="lt1">
            <a:lumMod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dk1">
                <a:lumMod val="65000"/>
                <a:lumOff val="35000"/>
              </a:schemeClr>
            </a:gs>
            <a:gs pos="100000">
              <a:schemeClr val="dk1">
                <a:lumMod val="75000"/>
                <a:lumOff val="25000"/>
              </a:schemeClr>
            </a:gs>
          </a:gsLst>
          <a:lin ang="10800000" scaled="0"/>
        </a:gradFill>
        <a:round/>
      </a:ln>
      <a:effectLst/>
    </cs:spPr>
  </cs:gridlineMajor>
  <cs:gridlineMinor>
    <cs:lnRef idx="0"/>
    <cs:fillRef idx="0"/>
    <cs:effectRef idx="0"/>
    <cs:fontRef idx="minor">
      <a:schemeClr val="dk1"/>
    </cs:fontRef>
    <cs:spPr>
      <a:ln w="9525" cap="flat" cmpd="sng" algn="ctr">
        <a:gradFill>
          <a:gsLst>
            <a:gs pos="100000">
              <a:schemeClr val="dk1">
                <a:lumMod val="75000"/>
                <a:lumOff val="25000"/>
                <a:alpha val="25000"/>
              </a:schemeClr>
            </a:gs>
            <a:gs pos="0">
              <a:schemeClr val="dk1">
                <a:lumMod val="65000"/>
                <a:lumOff val="35000"/>
                <a:alpha val="25000"/>
              </a:schemeClr>
            </a:gs>
          </a:gsLst>
          <a:lin ang="5400000" scaled="0"/>
        </a:gradFill>
        <a:round/>
      </a:ln>
    </cs:spPr>
  </cs:gridlineMinor>
  <cs:hiLoLine>
    <cs:lnRef idx="0"/>
    <cs:fillRef idx="0"/>
    <cs:effectRef idx="0"/>
    <cs:fontRef idx="minor">
      <a:schemeClr val="dk1"/>
    </cs:fontRef>
    <cs:spPr>
      <a:ln w="9525">
        <a:solidFill>
          <a:schemeClr val="lt1">
            <a:lumMod val="50000"/>
          </a:schemeClr>
        </a:solidFill>
        <a:round/>
      </a:ln>
    </cs:spPr>
  </cs:hiLoLine>
  <cs:leaderLine>
    <cs:lnRef idx="0"/>
    <cs:fillRef idx="0"/>
    <cs:effectRef idx="0"/>
    <cs:fontRef idx="minor">
      <a:schemeClr val="dk1"/>
    </cs:fontRef>
    <cs:spPr>
      <a:ln w="9525">
        <a:solidFill>
          <a:schemeClr val="lt1">
            <a:lumMod val="50000"/>
          </a:schemeClr>
        </a:solidFill>
        <a:round/>
      </a:ln>
    </cs:spPr>
  </cs:leaderLine>
  <cs:legend>
    <cs:lnRef idx="0"/>
    <cs:fillRef idx="0"/>
    <cs:effectRef idx="0"/>
    <cs:fontRef idx="minor">
      <a:schemeClr val="lt1">
        <a:lumMod val="7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lt1">
        <a:lumMod val="75000"/>
      </a:schemeClr>
    </cs:fontRef>
    <cs:defRPr sz="900" kern="1200"/>
  </cs:seriesAxis>
  <cs:seriesLine>
    <cs:lnRef idx="0"/>
    <cs:fillRef idx="0"/>
    <cs:effectRef idx="0"/>
    <cs:fontRef idx="minor">
      <a:schemeClr val="dk1"/>
    </cs:fontRef>
    <cs:spPr>
      <a:ln w="9525">
        <a:solidFill>
          <a:schemeClr val="lt1">
            <a:lumMod val="50000"/>
          </a:schemeClr>
        </a:solidFill>
        <a:round/>
      </a:ln>
    </cs:spPr>
  </cs:seriesLine>
  <cs:title>
    <cs:lnRef idx="0"/>
    <cs:fillRef idx="0"/>
    <cs:effectRef idx="0"/>
    <cs:fontRef idx="minor">
      <a:schemeClr val="lt1">
        <a:lumMod val="85000"/>
      </a:schemeClr>
    </cs:fontRef>
    <cs:defRPr sz="1400" b="1" kern="1200" cap="none" baseline="0"/>
  </cs:title>
  <cs:trendline>
    <cs:lnRef idx="0">
      <cs:styleClr val="auto"/>
    </cs:lnRef>
    <cs:fillRef idx="0"/>
    <cs:effectRef idx="0"/>
    <cs:fontRef idx="minor">
      <a:schemeClr val="lt1"/>
    </cs:fontRef>
    <cs:spPr>
      <a:ln w="25400" cap="rnd">
        <a:solidFill>
          <a:schemeClr val="phClr">
            <a:alpha val="50000"/>
          </a:schemeClr>
        </a:solidFill>
      </a:ln>
    </cs:spPr>
  </cs:trendline>
  <cs:trendlineLabel>
    <cs:lnRef idx="0"/>
    <cs:fillRef idx="0"/>
    <cs:effectRef idx="0"/>
    <cs:fontRef idx="minor">
      <a:schemeClr val="lt1">
        <a:lumMod val="75000"/>
      </a:schemeClr>
    </cs:fontRef>
    <cs:defRPr sz="900" kern="1200"/>
  </cs:trendlineLabel>
  <cs:upBar>
    <cs:lnRef idx="0"/>
    <cs:fillRef idx="0"/>
    <cs:effectRef idx="0"/>
    <cs:fontRef idx="minor">
      <a:schemeClr val="dk1"/>
    </cs:fontRef>
    <cs:spPr>
      <a:solidFill>
        <a:schemeClr val="lt1">
          <a:lumMod val="85000"/>
        </a:schemeClr>
      </a:solidFill>
      <a:ln w="9525">
        <a:solidFill>
          <a:schemeClr val="dk1">
            <a:lumMod val="50000"/>
          </a:schemeClr>
        </a:solidFill>
        <a:round/>
      </a:ln>
    </cs:spPr>
  </cs:upBar>
  <cs:valueAxis>
    <cs:lnRef idx="0"/>
    <cs:fillRef idx="0"/>
    <cs:effectRef idx="0"/>
    <cs:fontRef idx="minor">
      <a:schemeClr val="lt1">
        <a:lumMod val="75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B09C54-B98C-4594-B0EF-240EA071ED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363</TotalTime>
  <Pages>1</Pages>
  <Words>30364</Words>
  <Characters>173081</Characters>
  <Application>Microsoft Office Word</Application>
  <DocSecurity>0</DocSecurity>
  <Lines>1442</Lines>
  <Paragraphs>406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203039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Dimitris Manos</dc:creator>
  <cp:keywords/>
  <dc:description/>
  <cp:lastModifiedBy>k gkafaridou</cp:lastModifiedBy>
  <cp:revision>40</cp:revision>
  <cp:lastPrinted>2019-07-23T14:18:00Z</cp:lastPrinted>
  <dcterms:created xsi:type="dcterms:W3CDTF">2019-10-08T11:09:00Z</dcterms:created>
  <dcterms:modified xsi:type="dcterms:W3CDTF">2019-10-22T11:26:00Z</dcterms:modified>
</cp:coreProperties>
</file>