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337EB" w14:textId="77777777" w:rsidR="002E2DC0" w:rsidRPr="008E5875" w:rsidRDefault="002E2DC0" w:rsidP="002E2DC0">
      <w:pPr>
        <w:jc w:val="center"/>
        <w:rPr>
          <w:b/>
          <w:sz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1"/>
        <w:gridCol w:w="2381"/>
        <w:gridCol w:w="3251"/>
      </w:tblGrid>
      <w:tr w:rsidR="002E2DC0" w14:paraId="68594304" w14:textId="77777777" w:rsidTr="002E2DC0">
        <w:tc>
          <w:tcPr>
            <w:tcW w:w="3846" w:type="dxa"/>
          </w:tcPr>
          <w:p w14:paraId="55752C34" w14:textId="77777777" w:rsidR="002E2DC0" w:rsidRDefault="002E2DC0" w:rsidP="002E2DC0">
            <w:pPr>
              <w:spacing w:before="0" w:line="240" w:lineRule="auto"/>
              <w:jc w:val="center"/>
              <w:rPr>
                <w:rFonts w:ascii="Arial Narrow" w:eastAsia="Times New Roman" w:hAnsi="Arial Narrow"/>
                <w:b/>
                <w:bCs/>
                <w:color w:val="404040"/>
                <w:kern w:val="24"/>
                <w:sz w:val="40"/>
                <w:szCs w:val="40"/>
                <w:lang w:val="en-US"/>
              </w:rPr>
            </w:pPr>
            <w:r>
              <w:rPr>
                <w:rFonts w:ascii="Trebuchet MS" w:hAnsi="Trebuchet MS"/>
                <w:noProof/>
                <w:color w:val="0000FF"/>
              </w:rPr>
              <w:drawing>
                <wp:inline distT="0" distB="0" distL="0" distR="0" wp14:anchorId="4B535827" wp14:editId="5769A80F">
                  <wp:extent cx="2295525" cy="990600"/>
                  <wp:effectExtent l="0" t="0" r="9525" b="0"/>
                  <wp:docPr id="18" name="Picture 18" descr="λογότυπο ΓΓΕΤ">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ΓΓΕΤ">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5525" cy="990600"/>
                          </a:xfrm>
                          <a:prstGeom prst="rect">
                            <a:avLst/>
                          </a:prstGeom>
                          <a:noFill/>
                          <a:ln>
                            <a:noFill/>
                          </a:ln>
                        </pic:spPr>
                      </pic:pic>
                    </a:graphicData>
                  </a:graphic>
                </wp:inline>
              </w:drawing>
            </w:r>
          </w:p>
        </w:tc>
        <w:tc>
          <w:tcPr>
            <w:tcW w:w="2477" w:type="dxa"/>
          </w:tcPr>
          <w:p w14:paraId="0B2DAE38" w14:textId="77777777" w:rsidR="002E2DC0" w:rsidRDefault="002E2DC0" w:rsidP="002E2DC0">
            <w:pPr>
              <w:spacing w:before="0" w:line="240" w:lineRule="auto"/>
              <w:jc w:val="center"/>
              <w:rPr>
                <w:rFonts w:ascii="Arial" w:hAnsi="Arial" w:cs="Arial"/>
                <w:noProof/>
                <w:color w:val="0000FF"/>
                <w:sz w:val="27"/>
                <w:szCs w:val="27"/>
                <w:shd w:val="clear" w:color="auto" w:fill="FFFFFF"/>
              </w:rPr>
            </w:pPr>
            <w:r w:rsidRPr="004440D8">
              <w:rPr>
                <w:rFonts w:ascii="Arial" w:hAnsi="Arial" w:cs="Arial"/>
                <w:noProof/>
                <w:color w:val="0000FF"/>
                <w:sz w:val="27"/>
                <w:szCs w:val="27"/>
                <w:shd w:val="clear" w:color="auto" w:fill="FFFFFF"/>
              </w:rPr>
              <w:drawing>
                <wp:inline distT="0" distB="0" distL="0" distR="0" wp14:anchorId="0B6123C4" wp14:editId="28A5C14A">
                  <wp:extent cx="1399615" cy="581025"/>
                  <wp:effectExtent l="0" t="0" r="0" b="0"/>
                  <wp:docPr id="51" name="Picture 51" descr="Αποτέλεσμα εικόνας για ΣΗΜΑ επανεκ">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Αποτέλεσμα εικόνας για ΣΗΜΑ επανεκ">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1560" cy="590135"/>
                          </a:xfrm>
                          <a:prstGeom prst="rect">
                            <a:avLst/>
                          </a:prstGeom>
                          <a:noFill/>
                          <a:ln>
                            <a:noFill/>
                          </a:ln>
                        </pic:spPr>
                      </pic:pic>
                    </a:graphicData>
                  </a:graphic>
                </wp:inline>
              </w:drawing>
            </w:r>
          </w:p>
        </w:tc>
        <w:tc>
          <w:tcPr>
            <w:tcW w:w="3306" w:type="dxa"/>
          </w:tcPr>
          <w:p w14:paraId="72816053" w14:textId="77777777" w:rsidR="002E2DC0" w:rsidRDefault="002E2DC0" w:rsidP="002E2DC0">
            <w:pPr>
              <w:spacing w:before="0" w:line="240" w:lineRule="auto"/>
              <w:jc w:val="center"/>
              <w:rPr>
                <w:rFonts w:ascii="Arial Narrow" w:eastAsia="Times New Roman" w:hAnsi="Arial Narrow"/>
                <w:b/>
                <w:bCs/>
                <w:color w:val="404040"/>
                <w:kern w:val="24"/>
                <w:sz w:val="40"/>
                <w:szCs w:val="40"/>
                <w:lang w:val="en-US"/>
              </w:rPr>
            </w:pPr>
            <w:r>
              <w:rPr>
                <w:rFonts w:ascii="Arial" w:hAnsi="Arial" w:cs="Arial"/>
                <w:noProof/>
                <w:color w:val="0000FF"/>
                <w:sz w:val="27"/>
                <w:szCs w:val="27"/>
              </w:rPr>
              <w:drawing>
                <wp:inline distT="0" distB="0" distL="0" distR="0" wp14:anchorId="79F4F85D" wp14:editId="45E908BD">
                  <wp:extent cx="1962150" cy="989965"/>
                  <wp:effectExtent l="0" t="0" r="0" b="635"/>
                  <wp:docPr id="52" name="Picture 52" descr="Αποτέλεσμα εικόνας για ΣΗΜΑ επανεκ">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Αποτέλεσμα εικόνας για ΣΗΜΑ επανεκ">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0" cy="989965"/>
                          </a:xfrm>
                          <a:prstGeom prst="rect">
                            <a:avLst/>
                          </a:prstGeom>
                          <a:noFill/>
                          <a:ln>
                            <a:noFill/>
                          </a:ln>
                        </pic:spPr>
                      </pic:pic>
                    </a:graphicData>
                  </a:graphic>
                </wp:inline>
              </w:drawing>
            </w:r>
          </w:p>
        </w:tc>
      </w:tr>
    </w:tbl>
    <w:p w14:paraId="436CDBD3" w14:textId="77777777" w:rsidR="002E2DC0" w:rsidRPr="008E5875" w:rsidRDefault="002E2DC0" w:rsidP="002E2DC0">
      <w:pPr>
        <w:spacing w:before="0" w:line="240" w:lineRule="auto"/>
        <w:jc w:val="center"/>
        <w:rPr>
          <w:rFonts w:ascii="Arial Narrow" w:eastAsia="Times New Roman" w:hAnsi="Arial Narrow"/>
          <w:b/>
          <w:bCs/>
          <w:color w:val="404040"/>
          <w:kern w:val="24"/>
          <w:sz w:val="40"/>
          <w:szCs w:val="40"/>
          <w:lang w:val="en-US" w:eastAsia="el-GR"/>
        </w:rPr>
      </w:pPr>
    </w:p>
    <w:p w14:paraId="423A12A8" w14:textId="77777777" w:rsidR="002E2DC0" w:rsidRDefault="002E2DC0" w:rsidP="002E2DC0">
      <w:pPr>
        <w:spacing w:before="0" w:line="240" w:lineRule="auto"/>
        <w:jc w:val="center"/>
        <w:rPr>
          <w:rFonts w:ascii="Arial Narrow" w:eastAsia="Times New Roman" w:hAnsi="Arial Narrow"/>
          <w:b/>
          <w:bCs/>
          <w:color w:val="404040"/>
          <w:kern w:val="24"/>
          <w:sz w:val="40"/>
          <w:szCs w:val="40"/>
          <w:lang w:val="en-US" w:eastAsia="el-GR"/>
        </w:rPr>
      </w:pPr>
    </w:p>
    <w:p w14:paraId="48EA8B2D" w14:textId="77777777" w:rsidR="002E2DC0" w:rsidRDefault="002E2DC0" w:rsidP="002E2DC0">
      <w:pPr>
        <w:spacing w:before="0" w:line="240" w:lineRule="auto"/>
        <w:jc w:val="center"/>
        <w:rPr>
          <w:rFonts w:ascii="Arial Narrow" w:eastAsia="Times New Roman" w:hAnsi="Arial Narrow"/>
          <w:b/>
          <w:bCs/>
          <w:color w:val="404040"/>
          <w:kern w:val="24"/>
          <w:sz w:val="40"/>
          <w:szCs w:val="40"/>
          <w:lang w:val="en-US" w:eastAsia="el-GR"/>
        </w:rPr>
      </w:pPr>
    </w:p>
    <w:p w14:paraId="68EA1683" w14:textId="77777777" w:rsidR="002E2DC0" w:rsidRPr="0057426E" w:rsidRDefault="002E2DC0" w:rsidP="002E2DC0">
      <w:pPr>
        <w:spacing w:before="0" w:line="240" w:lineRule="auto"/>
        <w:jc w:val="center"/>
        <w:rPr>
          <w:rFonts w:eastAsia="Times New Roman"/>
          <w:b/>
          <w:bCs/>
          <w:color w:val="404040"/>
          <w:kern w:val="24"/>
          <w:sz w:val="40"/>
          <w:szCs w:val="40"/>
          <w:lang w:val="en-US" w:eastAsia="el-GR"/>
        </w:rPr>
      </w:pPr>
    </w:p>
    <w:p w14:paraId="776E7F45" w14:textId="77777777" w:rsidR="002E2DC0" w:rsidRPr="0057426E" w:rsidRDefault="002E2DC0" w:rsidP="002E2DC0">
      <w:pPr>
        <w:spacing w:before="0" w:line="240" w:lineRule="auto"/>
        <w:jc w:val="center"/>
        <w:rPr>
          <w:rFonts w:eastAsia="Times New Roman"/>
          <w:b/>
          <w:bCs/>
          <w:color w:val="404040"/>
          <w:kern w:val="24"/>
          <w:sz w:val="32"/>
          <w:szCs w:val="32"/>
          <w:lang w:eastAsia="el-GR"/>
        </w:rPr>
      </w:pPr>
      <w:r w:rsidRPr="0057426E">
        <w:rPr>
          <w:rFonts w:eastAsia="Times New Roman"/>
          <w:b/>
          <w:bCs/>
          <w:color w:val="404040"/>
          <w:kern w:val="24"/>
          <w:sz w:val="32"/>
          <w:szCs w:val="32"/>
          <w:lang w:eastAsia="el-GR"/>
        </w:rPr>
        <w:t>ΕΡΓΟ: Παρακολούθηση της προόδου υλοποίησης της Εθνικής Στρατηγικής Έξυπνης Εξειδίκευσης (</w:t>
      </w:r>
      <w:r w:rsidRPr="0057426E">
        <w:rPr>
          <w:rFonts w:eastAsia="Times New Roman"/>
          <w:b/>
          <w:bCs/>
          <w:color w:val="404040"/>
          <w:kern w:val="24"/>
          <w:sz w:val="32"/>
          <w:szCs w:val="32"/>
          <w:lang w:val="en-US" w:eastAsia="el-GR"/>
        </w:rPr>
        <w:t>RIS</w:t>
      </w:r>
      <w:r w:rsidRPr="0057426E">
        <w:rPr>
          <w:rFonts w:eastAsia="Times New Roman"/>
          <w:b/>
          <w:bCs/>
          <w:color w:val="404040"/>
          <w:kern w:val="24"/>
          <w:sz w:val="32"/>
          <w:szCs w:val="32"/>
          <w:lang w:eastAsia="el-GR"/>
        </w:rPr>
        <w:t>3) 2014-2020</w:t>
      </w:r>
    </w:p>
    <w:p w14:paraId="6515788B" w14:textId="77777777" w:rsidR="002E2DC0" w:rsidRPr="0057426E" w:rsidRDefault="002E2DC0" w:rsidP="002E2DC0">
      <w:pPr>
        <w:spacing w:before="0" w:line="240" w:lineRule="auto"/>
        <w:jc w:val="center"/>
        <w:rPr>
          <w:rFonts w:eastAsia="Times New Roman"/>
          <w:b/>
          <w:bCs/>
          <w:color w:val="404040"/>
          <w:kern w:val="24"/>
          <w:sz w:val="32"/>
          <w:szCs w:val="32"/>
          <w:lang w:eastAsia="el-GR"/>
        </w:rPr>
      </w:pPr>
    </w:p>
    <w:p w14:paraId="03BE5DB7" w14:textId="77777777" w:rsidR="002E2DC0" w:rsidRPr="0057426E" w:rsidRDefault="002E2DC0" w:rsidP="002E2DC0">
      <w:pPr>
        <w:spacing w:before="0" w:line="240" w:lineRule="auto"/>
        <w:jc w:val="center"/>
        <w:rPr>
          <w:rFonts w:eastAsia="Times New Roman"/>
          <w:b/>
          <w:bCs/>
          <w:color w:val="404040"/>
          <w:kern w:val="24"/>
          <w:sz w:val="32"/>
          <w:szCs w:val="32"/>
          <w:lang w:eastAsia="el-GR"/>
        </w:rPr>
      </w:pPr>
      <w:r w:rsidRPr="0057426E">
        <w:rPr>
          <w:rFonts w:eastAsia="Times New Roman"/>
          <w:b/>
          <w:bCs/>
          <w:color w:val="404040"/>
          <w:kern w:val="24"/>
          <w:sz w:val="32"/>
          <w:szCs w:val="32"/>
          <w:lang w:eastAsia="el-GR"/>
        </w:rPr>
        <w:t xml:space="preserve">ΠΑΡΑΔΟΤΕΟ: </w:t>
      </w:r>
      <w:r>
        <w:rPr>
          <w:rFonts w:eastAsia="Times New Roman"/>
          <w:b/>
          <w:bCs/>
          <w:color w:val="404040"/>
          <w:kern w:val="24"/>
          <w:sz w:val="32"/>
          <w:szCs w:val="32"/>
          <w:lang w:eastAsia="el-GR"/>
        </w:rPr>
        <w:t>2</w:t>
      </w:r>
      <w:r w:rsidRPr="0057426E">
        <w:rPr>
          <w:rFonts w:eastAsia="Times New Roman"/>
          <w:b/>
          <w:bCs/>
          <w:color w:val="404040"/>
          <w:kern w:val="24"/>
          <w:sz w:val="32"/>
          <w:szCs w:val="32"/>
          <w:vertAlign w:val="superscript"/>
          <w:lang w:eastAsia="el-GR"/>
        </w:rPr>
        <w:t>η</w:t>
      </w:r>
      <w:r w:rsidRPr="0057426E">
        <w:rPr>
          <w:rFonts w:eastAsia="Times New Roman"/>
          <w:b/>
          <w:bCs/>
          <w:color w:val="404040"/>
          <w:kern w:val="24"/>
          <w:sz w:val="32"/>
          <w:szCs w:val="32"/>
          <w:lang w:eastAsia="el-GR"/>
        </w:rPr>
        <w:t xml:space="preserve"> Έκθεση Προόδου της Εθνικής Στρατηγικής Έξυπνης Εξειδίκευσης – </w:t>
      </w:r>
      <w:r>
        <w:rPr>
          <w:rFonts w:eastAsia="Times New Roman"/>
          <w:b/>
          <w:bCs/>
          <w:color w:val="404040"/>
          <w:kern w:val="24"/>
          <w:sz w:val="32"/>
          <w:szCs w:val="32"/>
          <w:lang w:eastAsia="el-GR"/>
        </w:rPr>
        <w:t>Έτος 2018</w:t>
      </w:r>
    </w:p>
    <w:p w14:paraId="391DFA91" w14:textId="77777777" w:rsidR="002E2DC0" w:rsidRPr="00B97C65" w:rsidRDefault="002E2DC0" w:rsidP="002E2DC0">
      <w:pPr>
        <w:rPr>
          <w:rFonts w:ascii="Arial Narrow" w:eastAsia="Times New Roman" w:hAnsi="Arial Narrow"/>
          <w:b/>
          <w:bCs/>
          <w:color w:val="404040"/>
          <w:kern w:val="24"/>
          <w:sz w:val="40"/>
          <w:szCs w:val="40"/>
          <w:lang w:eastAsia="el-GR"/>
        </w:rPr>
      </w:pPr>
    </w:p>
    <w:p w14:paraId="4E225249" w14:textId="77777777" w:rsidR="002E2DC0" w:rsidRPr="00B97C65" w:rsidRDefault="002E2DC0" w:rsidP="002E2DC0">
      <w:pPr>
        <w:rPr>
          <w:b/>
          <w:sz w:val="22"/>
        </w:rPr>
      </w:pPr>
    </w:p>
    <w:p w14:paraId="15BB8A8C" w14:textId="77777777" w:rsidR="002E2DC0" w:rsidRPr="00B97C65" w:rsidRDefault="002E2DC0" w:rsidP="002E2DC0">
      <w:pPr>
        <w:spacing w:before="0" w:line="240" w:lineRule="auto"/>
        <w:jc w:val="center"/>
        <w:rPr>
          <w:rFonts w:ascii="Arial Narrow" w:eastAsia="Times New Roman" w:hAnsi="Arial Narrow"/>
          <w:b/>
          <w:bCs/>
          <w:color w:val="404040"/>
          <w:kern w:val="24"/>
          <w:szCs w:val="18"/>
          <w:lang w:eastAsia="el-GR"/>
        </w:rPr>
      </w:pPr>
    </w:p>
    <w:p w14:paraId="56BED009" w14:textId="77777777" w:rsidR="002E2DC0" w:rsidRPr="00B97C65" w:rsidRDefault="002E2DC0" w:rsidP="002E2DC0">
      <w:pPr>
        <w:spacing w:before="0" w:line="240" w:lineRule="auto"/>
        <w:jc w:val="center"/>
        <w:rPr>
          <w:rFonts w:ascii="Arial Narrow" w:eastAsia="Times New Roman" w:hAnsi="Arial Narrow"/>
          <w:b/>
          <w:bCs/>
          <w:color w:val="404040"/>
          <w:kern w:val="24"/>
          <w:szCs w:val="18"/>
          <w:lang w:eastAsia="el-GR"/>
        </w:rPr>
      </w:pPr>
    </w:p>
    <w:p w14:paraId="713FC56E" w14:textId="77777777" w:rsidR="002E2DC0" w:rsidRPr="0057426E" w:rsidRDefault="002E2DC0" w:rsidP="002E2DC0">
      <w:pPr>
        <w:spacing w:before="0" w:line="240" w:lineRule="auto"/>
        <w:rPr>
          <w:rFonts w:eastAsia="Times New Roman"/>
          <w:b/>
          <w:bCs/>
          <w:color w:val="404040"/>
          <w:kern w:val="24"/>
          <w:szCs w:val="18"/>
          <w:lang w:eastAsia="el-GR"/>
        </w:rPr>
      </w:pPr>
    </w:p>
    <w:p w14:paraId="3685F6D6" w14:textId="77777777" w:rsidR="002E2DC0" w:rsidRPr="0057426E" w:rsidRDefault="002E2DC0" w:rsidP="002E2DC0">
      <w:pPr>
        <w:spacing w:before="0" w:line="240" w:lineRule="auto"/>
        <w:rPr>
          <w:rFonts w:eastAsia="Times New Roman"/>
          <w:b/>
          <w:bCs/>
          <w:color w:val="404040"/>
          <w:kern w:val="24"/>
          <w:szCs w:val="18"/>
          <w:lang w:eastAsia="el-GR"/>
        </w:rPr>
      </w:pPr>
    </w:p>
    <w:p w14:paraId="4C5B3C8B" w14:textId="77777777" w:rsidR="002E2DC0" w:rsidRPr="0057426E" w:rsidRDefault="002E2DC0" w:rsidP="002E2DC0">
      <w:pPr>
        <w:spacing w:before="0" w:line="240" w:lineRule="auto"/>
        <w:jc w:val="center"/>
        <w:rPr>
          <w:rFonts w:eastAsia="Times New Roman"/>
          <w:b/>
          <w:bCs/>
          <w:color w:val="404040"/>
          <w:kern w:val="24"/>
          <w:szCs w:val="18"/>
          <w:lang w:eastAsia="el-GR"/>
        </w:rPr>
      </w:pPr>
    </w:p>
    <w:p w14:paraId="4DE8ECCA" w14:textId="77777777" w:rsidR="00F423A8" w:rsidRDefault="00F423A8" w:rsidP="002E2DC0">
      <w:pPr>
        <w:spacing w:before="0" w:line="240" w:lineRule="auto"/>
        <w:jc w:val="center"/>
        <w:rPr>
          <w:rFonts w:eastAsia="Times New Roman"/>
          <w:b/>
          <w:bCs/>
          <w:color w:val="404040"/>
          <w:kern w:val="24"/>
          <w:sz w:val="36"/>
          <w:szCs w:val="40"/>
          <w:lang w:eastAsia="el-GR"/>
        </w:rPr>
      </w:pPr>
    </w:p>
    <w:p w14:paraId="632E814D" w14:textId="0F6C6EF2" w:rsidR="002E2DC0" w:rsidRPr="0057426E" w:rsidRDefault="002E2DC0" w:rsidP="002E2DC0">
      <w:pPr>
        <w:spacing w:before="0" w:line="240" w:lineRule="auto"/>
        <w:jc w:val="center"/>
        <w:rPr>
          <w:rFonts w:eastAsia="Times New Roman"/>
          <w:b/>
          <w:bCs/>
          <w:color w:val="404040"/>
          <w:kern w:val="24"/>
          <w:sz w:val="36"/>
          <w:szCs w:val="40"/>
          <w:lang w:val="en-US" w:eastAsia="el-GR"/>
        </w:rPr>
      </w:pPr>
      <w:r>
        <w:rPr>
          <w:rFonts w:eastAsia="Times New Roman"/>
          <w:b/>
          <w:bCs/>
          <w:color w:val="404040"/>
          <w:kern w:val="24"/>
          <w:sz w:val="36"/>
          <w:szCs w:val="40"/>
          <w:lang w:eastAsia="el-GR"/>
        </w:rPr>
        <w:t>Σεπτέμβριος</w:t>
      </w:r>
      <w:r w:rsidRPr="00E86243">
        <w:rPr>
          <w:rFonts w:eastAsia="Times New Roman"/>
          <w:b/>
          <w:bCs/>
          <w:color w:val="404040"/>
          <w:kern w:val="24"/>
          <w:sz w:val="36"/>
          <w:szCs w:val="40"/>
          <w:lang w:val="en-US" w:eastAsia="el-GR"/>
        </w:rPr>
        <w:t xml:space="preserve"> 2019</w:t>
      </w:r>
    </w:p>
    <w:p w14:paraId="0A235AE4" w14:textId="4F127065" w:rsidR="002E2DC0" w:rsidRDefault="002E2DC0" w:rsidP="002E2DC0">
      <w:pPr>
        <w:spacing w:before="0" w:line="240" w:lineRule="auto"/>
        <w:jc w:val="center"/>
        <w:rPr>
          <w:rFonts w:ascii="Arial Narrow" w:eastAsia="Times New Roman" w:hAnsi="Arial Narrow"/>
          <w:b/>
          <w:bCs/>
          <w:color w:val="404040"/>
          <w:kern w:val="24"/>
          <w:sz w:val="36"/>
          <w:szCs w:val="40"/>
          <w:lang w:val="en-US" w:eastAsia="el-GR"/>
        </w:rPr>
      </w:pPr>
    </w:p>
    <w:p w14:paraId="116EB3BA" w14:textId="5EF1A2A9" w:rsidR="00F423A8" w:rsidRDefault="00F423A8" w:rsidP="002E2DC0">
      <w:pPr>
        <w:spacing w:before="0" w:line="240" w:lineRule="auto"/>
        <w:jc w:val="center"/>
        <w:rPr>
          <w:rFonts w:ascii="Arial Narrow" w:eastAsia="Times New Roman" w:hAnsi="Arial Narrow"/>
          <w:b/>
          <w:bCs/>
          <w:color w:val="404040"/>
          <w:kern w:val="24"/>
          <w:sz w:val="36"/>
          <w:szCs w:val="40"/>
          <w:lang w:val="en-US" w:eastAsia="el-GR"/>
        </w:rPr>
      </w:pPr>
    </w:p>
    <w:p w14:paraId="76FA2128" w14:textId="74D6EDB8" w:rsidR="00F423A8" w:rsidRDefault="00F423A8" w:rsidP="002E2DC0">
      <w:pPr>
        <w:spacing w:before="0" w:line="240" w:lineRule="auto"/>
        <w:jc w:val="center"/>
        <w:rPr>
          <w:rFonts w:ascii="Arial Narrow" w:eastAsia="Times New Roman" w:hAnsi="Arial Narrow"/>
          <w:b/>
          <w:bCs/>
          <w:color w:val="404040"/>
          <w:kern w:val="24"/>
          <w:sz w:val="36"/>
          <w:szCs w:val="40"/>
          <w:lang w:val="en-US" w:eastAsia="el-GR"/>
        </w:rPr>
      </w:pPr>
    </w:p>
    <w:p w14:paraId="746AA526" w14:textId="3A4EA601" w:rsidR="00F423A8" w:rsidRDefault="00F423A8" w:rsidP="002E2DC0">
      <w:pPr>
        <w:spacing w:before="0" w:line="240" w:lineRule="auto"/>
        <w:jc w:val="center"/>
        <w:rPr>
          <w:rFonts w:ascii="Arial Narrow" w:eastAsia="Times New Roman" w:hAnsi="Arial Narrow"/>
          <w:b/>
          <w:bCs/>
          <w:color w:val="404040"/>
          <w:kern w:val="24"/>
          <w:sz w:val="36"/>
          <w:szCs w:val="40"/>
          <w:lang w:val="en-US" w:eastAsia="el-GR"/>
        </w:rPr>
      </w:pPr>
    </w:p>
    <w:p w14:paraId="0962903C" w14:textId="77777777" w:rsidR="002E2DC0" w:rsidRPr="00951BF9" w:rsidRDefault="002E2DC0" w:rsidP="002E2DC0">
      <w:pPr>
        <w:spacing w:before="0" w:line="240" w:lineRule="auto"/>
        <w:rPr>
          <w:rFonts w:ascii="Arial Narrow" w:eastAsia="Times New Roman" w:hAnsi="Arial Narrow"/>
          <w:b/>
          <w:bCs/>
          <w:color w:val="404040"/>
          <w:kern w:val="24"/>
          <w:sz w:val="36"/>
          <w:szCs w:val="40"/>
          <w:lang w:val="en-US" w:eastAsia="el-GR"/>
        </w:rPr>
      </w:pPr>
    </w:p>
    <w:p w14:paraId="2543F224" w14:textId="77777777" w:rsidR="002E2DC0" w:rsidRPr="00951BF9" w:rsidRDefault="002E2DC0" w:rsidP="002E2DC0">
      <w:pPr>
        <w:spacing w:before="0" w:line="240" w:lineRule="auto"/>
        <w:jc w:val="center"/>
        <w:rPr>
          <w:rFonts w:ascii="Arial Narrow" w:eastAsia="Times New Roman" w:hAnsi="Arial Narrow"/>
          <w:b/>
          <w:bCs/>
          <w:color w:val="404040"/>
          <w:kern w:val="24"/>
          <w:sz w:val="36"/>
          <w:szCs w:val="40"/>
          <w:lang w:val="en-US" w:eastAsia="el-GR"/>
        </w:rPr>
      </w:pPr>
      <w:r>
        <w:rPr>
          <w:noProof/>
          <w:lang w:eastAsia="el-GR"/>
        </w:rPr>
        <w:drawing>
          <wp:inline distT="0" distB="0" distL="0" distR="0" wp14:anchorId="1801055E" wp14:editId="7A379E4B">
            <wp:extent cx="1786384" cy="432545"/>
            <wp:effectExtent l="0" t="0" r="4445" b="5715"/>
            <wp:docPr id="10" name="Picture 8" descr="pla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descr="planet_logo"/>
                    <pic:cNvPicPr>
                      <a:picLocks noChangeAspect="1" noChangeArrowheads="1"/>
                    </pic:cNvPicPr>
                  </pic:nvPicPr>
                  <pic:blipFill>
                    <a:blip r:embed="rId14" cstate="print">
                      <a:clrChange>
                        <a:clrFrom>
                          <a:srgbClr val="FFFFFF"/>
                        </a:clrFrom>
                        <a:clrTo>
                          <a:srgbClr val="FFFFFF">
                            <a:alpha val="0"/>
                          </a:srgbClr>
                        </a:clrTo>
                      </a:clrChange>
                      <a:lum bright="-32000" contrast="14000"/>
                      <a:extLst>
                        <a:ext uri="{28A0092B-C50C-407E-A947-70E740481C1C}">
                          <a14:useLocalDpi xmlns:a14="http://schemas.microsoft.com/office/drawing/2010/main" val="0"/>
                        </a:ext>
                      </a:extLst>
                    </a:blip>
                    <a:srcRect r="28642"/>
                    <a:stretch>
                      <a:fillRect/>
                    </a:stretch>
                  </pic:blipFill>
                  <pic:spPr bwMode="auto">
                    <a:xfrm>
                      <a:off x="0" y="0"/>
                      <a:ext cx="1786384" cy="43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3AAD063A" w14:textId="77777777" w:rsidR="002E2DC0" w:rsidRPr="00951BF9" w:rsidRDefault="002E2DC0" w:rsidP="002E2DC0">
      <w:pPr>
        <w:spacing w:before="0" w:line="240" w:lineRule="auto"/>
        <w:jc w:val="center"/>
        <w:rPr>
          <w:rFonts w:ascii="Arial Narrow" w:eastAsia="Times New Roman" w:hAnsi="Arial Narrow"/>
          <w:b/>
          <w:bCs/>
          <w:color w:val="404040"/>
          <w:kern w:val="24"/>
          <w:sz w:val="36"/>
          <w:szCs w:val="40"/>
          <w:lang w:val="en-US" w:eastAsia="el-GR"/>
        </w:rPr>
      </w:pPr>
      <w:r w:rsidRPr="00370EED">
        <w:rPr>
          <w:noProof/>
          <w:lang w:eastAsia="el-GR"/>
        </w:rPr>
        <mc:AlternateContent>
          <mc:Choice Requires="wps">
            <w:drawing>
              <wp:anchor distT="0" distB="0" distL="114300" distR="114300" simplePos="0" relativeHeight="251658240" behindDoc="0" locked="0" layoutInCell="1" allowOverlap="1" wp14:anchorId="42C09776" wp14:editId="717F5937">
                <wp:simplePos x="0" y="0"/>
                <wp:positionH relativeFrom="column">
                  <wp:posOffset>1288415</wp:posOffset>
                </wp:positionH>
                <wp:positionV relativeFrom="paragraph">
                  <wp:posOffset>186055</wp:posOffset>
                </wp:positionV>
                <wp:extent cx="3429000" cy="830997"/>
                <wp:effectExtent l="0" t="0" r="0" b="0"/>
                <wp:wrapNone/>
                <wp:docPr id="16" name="Rectangle 11"/>
                <wp:cNvGraphicFramePr/>
                <a:graphic xmlns:a="http://schemas.openxmlformats.org/drawingml/2006/main">
                  <a:graphicData uri="http://schemas.microsoft.com/office/word/2010/wordprocessingShape">
                    <wps:wsp>
                      <wps:cNvSpPr/>
                      <wps:spPr>
                        <a:xfrm>
                          <a:off x="0" y="0"/>
                          <a:ext cx="3429000" cy="830997"/>
                        </a:xfrm>
                        <a:prstGeom prst="rect">
                          <a:avLst/>
                        </a:prstGeom>
                      </wps:spPr>
                      <wps:txbx>
                        <w:txbxContent>
                          <w:p w14:paraId="323CE7AF"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 xml:space="preserve">ΑΝΩΝΥΜΗ ΕΤΑΙΡΕΙΑ </w:t>
                            </w:r>
                          </w:p>
                          <w:p w14:paraId="6590F246"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ΠΑΡΟΧΗΣ ΣΥΜΒΟΥΛΕΥΤΙΚΩΝ ΥΠΗΡΕΣΙΩΝ</w:t>
                            </w:r>
                          </w:p>
                          <w:p w14:paraId="04AB4F22"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 xml:space="preserve">Λ. Ριανκούρ 64, </w:t>
                            </w:r>
                            <w:r w:rsidRPr="00932044">
                              <w:rPr>
                                <w:rFonts w:ascii="Century Gothic" w:hAnsi="Century Gothic" w:cstheme="minorBidi"/>
                                <w:b/>
                                <w:bCs/>
                                <w:color w:val="000000" w:themeColor="text1"/>
                                <w:kern w:val="24"/>
                                <w:sz w:val="16"/>
                                <w:szCs w:val="16"/>
                                <w:lang w:val="en-US"/>
                              </w:rPr>
                              <w:t>GR</w:t>
                            </w:r>
                            <w:r w:rsidRPr="00932044">
                              <w:rPr>
                                <w:rFonts w:ascii="Century Gothic" w:hAnsi="Century Gothic" w:cstheme="minorBidi"/>
                                <w:b/>
                                <w:bCs/>
                                <w:color w:val="000000" w:themeColor="text1"/>
                                <w:kern w:val="24"/>
                                <w:sz w:val="16"/>
                                <w:szCs w:val="16"/>
                              </w:rPr>
                              <w:t>-115 23 Αθήνα</w:t>
                            </w:r>
                          </w:p>
                          <w:p w14:paraId="3B078DD0"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rPr>
                              <w:t>Τηλ</w:t>
                            </w:r>
                            <w:r w:rsidRPr="00932044">
                              <w:rPr>
                                <w:rFonts w:ascii="Century Gothic" w:hAnsi="Century Gothic" w:cstheme="minorBidi"/>
                                <w:b/>
                                <w:bCs/>
                                <w:color w:val="000000" w:themeColor="text1"/>
                                <w:kern w:val="24"/>
                                <w:sz w:val="16"/>
                                <w:szCs w:val="16"/>
                                <w:lang w:val="en-US"/>
                              </w:rPr>
                              <w:t>. +30 210 6905000</w:t>
                            </w:r>
                          </w:p>
                          <w:p w14:paraId="2BD842D3"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Fax. +30 210 6981885</w:t>
                            </w:r>
                          </w:p>
                          <w:p w14:paraId="22885F76"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E-mail: planet@planet.gr</w:t>
                            </w:r>
                          </w:p>
                        </w:txbxContent>
                      </wps:txbx>
                      <wps:bodyPr>
                        <a:spAutoFit/>
                      </wps:bodyPr>
                    </wps:wsp>
                  </a:graphicData>
                </a:graphic>
              </wp:anchor>
            </w:drawing>
          </mc:Choice>
          <mc:Fallback>
            <w:pict>
              <v:rect w14:anchorId="42C09776" id="Rectangle 11" o:spid="_x0000_s1026" style="position:absolute;left:0;text-align:left;margin-left:101.45pt;margin-top:14.65pt;width:270pt;height:65.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" filled="f" stroked="f">
                <v:textbox style="mso-fit-shape-to-text:t">
                  <w:txbxContent>
                    <w:p w14:paraId="323CE7AF"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 xml:space="preserve">ΑΝΩΝΥΜΗ ΕΤΑΙΡΕΙΑ </w:t>
                      </w:r>
                    </w:p>
                    <w:p w14:paraId="6590F246"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ΠΑΡΟΧΗΣ ΣΥΜΒΟΥΛΕΥΤΙΚΩΝ ΥΠΗΡΕΣΙΩΝ</w:t>
                      </w:r>
                    </w:p>
                    <w:p w14:paraId="04AB4F22"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rPr>
                      </w:pPr>
                      <w:r w:rsidRPr="00932044">
                        <w:rPr>
                          <w:rFonts w:ascii="Century Gothic" w:hAnsi="Century Gothic" w:cstheme="minorBidi"/>
                          <w:b/>
                          <w:bCs/>
                          <w:color w:val="000000" w:themeColor="text1"/>
                          <w:kern w:val="24"/>
                          <w:sz w:val="16"/>
                          <w:szCs w:val="16"/>
                        </w:rPr>
                        <w:t xml:space="preserve">Λ. </w:t>
                      </w:r>
                      <w:proofErr w:type="spellStart"/>
                      <w:r w:rsidRPr="00932044">
                        <w:rPr>
                          <w:rFonts w:ascii="Century Gothic" w:hAnsi="Century Gothic" w:cstheme="minorBidi"/>
                          <w:b/>
                          <w:bCs/>
                          <w:color w:val="000000" w:themeColor="text1"/>
                          <w:kern w:val="24"/>
                          <w:sz w:val="16"/>
                          <w:szCs w:val="16"/>
                        </w:rPr>
                        <w:t>Ριανκούρ</w:t>
                      </w:r>
                      <w:proofErr w:type="spellEnd"/>
                      <w:r w:rsidRPr="00932044">
                        <w:rPr>
                          <w:rFonts w:ascii="Century Gothic" w:hAnsi="Century Gothic" w:cstheme="minorBidi"/>
                          <w:b/>
                          <w:bCs/>
                          <w:color w:val="000000" w:themeColor="text1"/>
                          <w:kern w:val="24"/>
                          <w:sz w:val="16"/>
                          <w:szCs w:val="16"/>
                        </w:rPr>
                        <w:t xml:space="preserve"> 64, </w:t>
                      </w:r>
                      <w:r w:rsidRPr="00932044">
                        <w:rPr>
                          <w:rFonts w:ascii="Century Gothic" w:hAnsi="Century Gothic" w:cstheme="minorBidi"/>
                          <w:b/>
                          <w:bCs/>
                          <w:color w:val="000000" w:themeColor="text1"/>
                          <w:kern w:val="24"/>
                          <w:sz w:val="16"/>
                          <w:szCs w:val="16"/>
                          <w:lang w:val="en-US"/>
                        </w:rPr>
                        <w:t>GR</w:t>
                      </w:r>
                      <w:r w:rsidRPr="00932044">
                        <w:rPr>
                          <w:rFonts w:ascii="Century Gothic" w:hAnsi="Century Gothic" w:cstheme="minorBidi"/>
                          <w:b/>
                          <w:bCs/>
                          <w:color w:val="000000" w:themeColor="text1"/>
                          <w:kern w:val="24"/>
                          <w:sz w:val="16"/>
                          <w:szCs w:val="16"/>
                        </w:rPr>
                        <w:t>-115 23 Αθήνα</w:t>
                      </w:r>
                    </w:p>
                    <w:p w14:paraId="3B078DD0"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proofErr w:type="spellStart"/>
                      <w:r w:rsidRPr="00932044">
                        <w:rPr>
                          <w:rFonts w:ascii="Century Gothic" w:hAnsi="Century Gothic" w:cstheme="minorBidi"/>
                          <w:b/>
                          <w:bCs/>
                          <w:color w:val="000000" w:themeColor="text1"/>
                          <w:kern w:val="24"/>
                          <w:sz w:val="16"/>
                          <w:szCs w:val="16"/>
                        </w:rPr>
                        <w:t>Τηλ</w:t>
                      </w:r>
                      <w:proofErr w:type="spellEnd"/>
                      <w:r w:rsidRPr="00932044">
                        <w:rPr>
                          <w:rFonts w:ascii="Century Gothic" w:hAnsi="Century Gothic" w:cstheme="minorBidi"/>
                          <w:b/>
                          <w:bCs/>
                          <w:color w:val="000000" w:themeColor="text1"/>
                          <w:kern w:val="24"/>
                          <w:sz w:val="16"/>
                          <w:szCs w:val="16"/>
                          <w:lang w:val="en-US"/>
                        </w:rPr>
                        <w:t>. +30 210 6905000</w:t>
                      </w:r>
                    </w:p>
                    <w:p w14:paraId="2BD842D3"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Fax. +30 210 6981885</w:t>
                      </w:r>
                    </w:p>
                    <w:p w14:paraId="22885F76" w14:textId="77777777" w:rsidR="00842E11" w:rsidRPr="00932044" w:rsidRDefault="00842E11" w:rsidP="002E2DC0">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E-mail: planet@planet.gr</w:t>
                      </w:r>
                    </w:p>
                  </w:txbxContent>
                </v:textbox>
              </v:rect>
            </w:pict>
          </mc:Fallback>
        </mc:AlternateContent>
      </w:r>
    </w:p>
    <w:p w14:paraId="1AD4ACEC" w14:textId="77777777" w:rsidR="002E2DC0" w:rsidRPr="00402D82" w:rsidRDefault="002E2DC0" w:rsidP="002E2DC0">
      <w:pPr>
        <w:rPr>
          <w:b/>
          <w:sz w:val="22"/>
          <w:lang w:val="en-US"/>
        </w:rPr>
      </w:pPr>
    </w:p>
    <w:p w14:paraId="6BFAA902" w14:textId="77777777" w:rsidR="002E2DC0" w:rsidRPr="00402D82" w:rsidRDefault="002E2DC0" w:rsidP="002E2DC0">
      <w:pPr>
        <w:rPr>
          <w:b/>
          <w:sz w:val="22"/>
          <w:lang w:val="en-US"/>
        </w:rPr>
      </w:pPr>
      <w:r w:rsidRPr="00402D82">
        <w:rPr>
          <w:b/>
          <w:sz w:val="22"/>
          <w:lang w:val="en-US"/>
        </w:rPr>
        <w:br w:type="page"/>
      </w:r>
    </w:p>
    <w:p w14:paraId="0A329250" w14:textId="77777777" w:rsidR="00246249" w:rsidRPr="00246249" w:rsidRDefault="00246249" w:rsidP="00246249"/>
    <w:p w14:paraId="5123BFC8" w14:textId="77777777" w:rsidR="008E5875" w:rsidRPr="002760D9" w:rsidRDefault="002760D9" w:rsidP="00400EF4">
      <w:pPr>
        <w:shd w:val="clear" w:color="auto" w:fill="A8D08D" w:themeFill="accent6" w:themeFillTint="99"/>
        <w:jc w:val="center"/>
        <w:rPr>
          <w:sz w:val="22"/>
        </w:rPr>
      </w:pPr>
      <w:r>
        <w:rPr>
          <w:sz w:val="22"/>
        </w:rPr>
        <w:t>Περιεχόμενα</w:t>
      </w:r>
    </w:p>
    <w:p w14:paraId="638148C0" w14:textId="77777777" w:rsidR="008E5875" w:rsidRPr="00BD3DED" w:rsidRDefault="008E5875" w:rsidP="008E5875">
      <w:pPr>
        <w:rPr>
          <w:b/>
          <w:sz w:val="16"/>
          <w:szCs w:val="16"/>
          <w:lang w:val="en-US"/>
        </w:rPr>
      </w:pPr>
    </w:p>
    <w:p w14:paraId="55E9A772" w14:textId="155FBC39" w:rsidR="00D12D65" w:rsidRDefault="008E5875">
      <w:pPr>
        <w:pStyle w:val="TOC1"/>
        <w:tabs>
          <w:tab w:val="left" w:pos="540"/>
          <w:tab w:val="right" w:leader="dot" w:pos="9403"/>
        </w:tabs>
        <w:rPr>
          <w:rFonts w:asciiTheme="minorHAnsi" w:eastAsiaTheme="minorEastAsia" w:hAnsiTheme="minorHAnsi" w:cstheme="minorBidi"/>
          <w:b w:val="0"/>
          <w:noProof/>
          <w:sz w:val="22"/>
          <w:lang w:val="en-US"/>
        </w:rPr>
      </w:pPr>
      <w:r w:rsidRPr="00BD3DED">
        <w:rPr>
          <w:sz w:val="16"/>
          <w:szCs w:val="16"/>
        </w:rPr>
        <w:fldChar w:fldCharType="begin"/>
      </w:r>
      <w:r w:rsidRPr="00BD3DED">
        <w:rPr>
          <w:sz w:val="16"/>
          <w:szCs w:val="16"/>
          <w:lang w:val="en-US"/>
        </w:rPr>
        <w:instrText xml:space="preserve"> TOC \o "1-4" \h \z \u </w:instrText>
      </w:r>
      <w:r w:rsidRPr="00BD3DED">
        <w:rPr>
          <w:sz w:val="16"/>
          <w:szCs w:val="16"/>
        </w:rPr>
        <w:fldChar w:fldCharType="separate"/>
      </w:r>
      <w:hyperlink w:anchor="_Toc22645391" w:history="1">
        <w:r w:rsidR="00D12D65" w:rsidRPr="000E6CFB">
          <w:rPr>
            <w:rStyle w:val="Hyperlink"/>
            <w:noProof/>
          </w:rPr>
          <w:t>1.</w:t>
        </w:r>
        <w:r w:rsidR="00D12D65">
          <w:rPr>
            <w:rFonts w:asciiTheme="minorHAnsi" w:eastAsiaTheme="minorEastAsia" w:hAnsiTheme="minorHAnsi" w:cstheme="minorBidi"/>
            <w:b w:val="0"/>
            <w:noProof/>
            <w:sz w:val="22"/>
            <w:lang w:val="en-US"/>
          </w:rPr>
          <w:tab/>
        </w:r>
        <w:r w:rsidR="00D12D65" w:rsidRPr="000E6CFB">
          <w:rPr>
            <w:rStyle w:val="Hyperlink"/>
            <w:noProof/>
          </w:rPr>
          <w:t>Εισαγωγή</w:t>
        </w:r>
        <w:r w:rsidR="00D12D65">
          <w:rPr>
            <w:noProof/>
            <w:webHidden/>
          </w:rPr>
          <w:tab/>
        </w:r>
        <w:r w:rsidR="00D12D65">
          <w:rPr>
            <w:noProof/>
            <w:webHidden/>
          </w:rPr>
          <w:fldChar w:fldCharType="begin"/>
        </w:r>
        <w:r w:rsidR="00D12D65">
          <w:rPr>
            <w:noProof/>
            <w:webHidden/>
          </w:rPr>
          <w:instrText xml:space="preserve"> PAGEREF _Toc22645391 \h </w:instrText>
        </w:r>
        <w:r w:rsidR="00D12D65">
          <w:rPr>
            <w:noProof/>
            <w:webHidden/>
          </w:rPr>
        </w:r>
        <w:r w:rsidR="00D12D65">
          <w:rPr>
            <w:noProof/>
            <w:webHidden/>
          </w:rPr>
          <w:fldChar w:fldCharType="separate"/>
        </w:r>
        <w:r w:rsidR="00D12D65">
          <w:rPr>
            <w:noProof/>
            <w:webHidden/>
          </w:rPr>
          <w:t>3</w:t>
        </w:r>
        <w:r w:rsidR="00D12D65">
          <w:rPr>
            <w:noProof/>
            <w:webHidden/>
          </w:rPr>
          <w:fldChar w:fldCharType="end"/>
        </w:r>
      </w:hyperlink>
    </w:p>
    <w:p w14:paraId="7FC9A5DD" w14:textId="323E6AC5"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392" w:history="1">
        <w:r w:rsidR="00D12D65" w:rsidRPr="000E6CFB">
          <w:rPr>
            <w:rStyle w:val="Hyperlink"/>
            <w:noProof/>
          </w:rPr>
          <w:t>2.</w:t>
        </w:r>
        <w:r w:rsidR="00D12D65">
          <w:rPr>
            <w:rFonts w:asciiTheme="minorHAnsi" w:eastAsiaTheme="minorEastAsia" w:hAnsiTheme="minorHAnsi" w:cstheme="minorBidi"/>
            <w:b w:val="0"/>
            <w:noProof/>
            <w:sz w:val="22"/>
            <w:lang w:val="en-US"/>
          </w:rPr>
          <w:tab/>
        </w:r>
        <w:r w:rsidR="00D12D65" w:rsidRPr="000E6CFB">
          <w:rPr>
            <w:rStyle w:val="Hyperlink"/>
            <w:noProof/>
          </w:rPr>
          <w:t>Βασικά σημεία της Στρατηγικής RIS3</w:t>
        </w:r>
        <w:r w:rsidR="00D12D65">
          <w:rPr>
            <w:noProof/>
            <w:webHidden/>
          </w:rPr>
          <w:tab/>
        </w:r>
        <w:r w:rsidR="00D12D65">
          <w:rPr>
            <w:noProof/>
            <w:webHidden/>
          </w:rPr>
          <w:fldChar w:fldCharType="begin"/>
        </w:r>
        <w:r w:rsidR="00D12D65">
          <w:rPr>
            <w:noProof/>
            <w:webHidden/>
          </w:rPr>
          <w:instrText xml:space="preserve"> PAGEREF _Toc22645392 \h </w:instrText>
        </w:r>
        <w:r w:rsidR="00D12D65">
          <w:rPr>
            <w:noProof/>
            <w:webHidden/>
          </w:rPr>
        </w:r>
        <w:r w:rsidR="00D12D65">
          <w:rPr>
            <w:noProof/>
            <w:webHidden/>
          </w:rPr>
          <w:fldChar w:fldCharType="separate"/>
        </w:r>
        <w:r w:rsidR="00D12D65">
          <w:rPr>
            <w:noProof/>
            <w:webHidden/>
          </w:rPr>
          <w:t>4</w:t>
        </w:r>
        <w:r w:rsidR="00D12D65">
          <w:rPr>
            <w:noProof/>
            <w:webHidden/>
          </w:rPr>
          <w:fldChar w:fldCharType="end"/>
        </w:r>
      </w:hyperlink>
    </w:p>
    <w:p w14:paraId="75ED0D3D" w14:textId="13FA5440" w:rsidR="00D12D65" w:rsidRDefault="001A16ED">
      <w:pPr>
        <w:pStyle w:val="TOC2"/>
        <w:rPr>
          <w:rFonts w:asciiTheme="minorHAnsi" w:eastAsiaTheme="minorEastAsia" w:hAnsiTheme="minorHAnsi" w:cstheme="minorBidi"/>
          <w:noProof/>
          <w:sz w:val="22"/>
          <w:lang w:val="en-US"/>
        </w:rPr>
      </w:pPr>
      <w:hyperlink w:anchor="_Toc22645393" w:history="1">
        <w:r w:rsidR="00D12D65" w:rsidRPr="000E6CFB">
          <w:rPr>
            <w:rStyle w:val="Hyperlink"/>
            <w:noProof/>
          </w:rPr>
          <w:t>2.1</w:t>
        </w:r>
        <w:r w:rsidR="00D12D65">
          <w:rPr>
            <w:rFonts w:asciiTheme="minorHAnsi" w:eastAsiaTheme="minorEastAsia" w:hAnsiTheme="minorHAnsi" w:cstheme="minorBidi"/>
            <w:noProof/>
            <w:sz w:val="22"/>
            <w:lang w:val="en-US"/>
          </w:rPr>
          <w:tab/>
        </w:r>
        <w:r w:rsidR="00D12D65" w:rsidRPr="000E6CFB">
          <w:rPr>
            <w:rStyle w:val="Hyperlink"/>
            <w:noProof/>
          </w:rPr>
          <w:t>Όραμα, σκοπός, δομή</w:t>
        </w:r>
        <w:r w:rsidR="00D12D65">
          <w:rPr>
            <w:noProof/>
            <w:webHidden/>
          </w:rPr>
          <w:tab/>
        </w:r>
        <w:r w:rsidR="00D12D65">
          <w:rPr>
            <w:noProof/>
            <w:webHidden/>
          </w:rPr>
          <w:fldChar w:fldCharType="begin"/>
        </w:r>
        <w:r w:rsidR="00D12D65">
          <w:rPr>
            <w:noProof/>
            <w:webHidden/>
          </w:rPr>
          <w:instrText xml:space="preserve"> PAGEREF _Toc22645393 \h </w:instrText>
        </w:r>
        <w:r w:rsidR="00D12D65">
          <w:rPr>
            <w:noProof/>
            <w:webHidden/>
          </w:rPr>
        </w:r>
        <w:r w:rsidR="00D12D65">
          <w:rPr>
            <w:noProof/>
            <w:webHidden/>
          </w:rPr>
          <w:fldChar w:fldCharType="separate"/>
        </w:r>
        <w:r w:rsidR="00D12D65">
          <w:rPr>
            <w:noProof/>
            <w:webHidden/>
          </w:rPr>
          <w:t>4</w:t>
        </w:r>
        <w:r w:rsidR="00D12D65">
          <w:rPr>
            <w:noProof/>
            <w:webHidden/>
          </w:rPr>
          <w:fldChar w:fldCharType="end"/>
        </w:r>
      </w:hyperlink>
    </w:p>
    <w:p w14:paraId="2221C40A" w14:textId="43EDF020" w:rsidR="00D12D65" w:rsidRDefault="001A16ED">
      <w:pPr>
        <w:pStyle w:val="TOC2"/>
        <w:rPr>
          <w:rFonts w:asciiTheme="minorHAnsi" w:eastAsiaTheme="minorEastAsia" w:hAnsiTheme="minorHAnsi" w:cstheme="minorBidi"/>
          <w:noProof/>
          <w:sz w:val="22"/>
          <w:lang w:val="en-US"/>
        </w:rPr>
      </w:pPr>
      <w:hyperlink w:anchor="_Toc22645394" w:history="1">
        <w:r w:rsidR="00D12D65" w:rsidRPr="000E6CFB">
          <w:rPr>
            <w:rStyle w:val="Hyperlink"/>
            <w:noProof/>
          </w:rPr>
          <w:t>2.2</w:t>
        </w:r>
        <w:r w:rsidR="00D12D65">
          <w:rPr>
            <w:rFonts w:asciiTheme="minorHAnsi" w:eastAsiaTheme="minorEastAsia" w:hAnsiTheme="minorHAnsi" w:cstheme="minorBidi"/>
            <w:noProof/>
            <w:sz w:val="22"/>
            <w:lang w:val="en-US"/>
          </w:rPr>
          <w:tab/>
        </w:r>
        <w:r w:rsidR="00D12D65" w:rsidRPr="000E6CFB">
          <w:rPr>
            <w:rStyle w:val="Hyperlink"/>
            <w:noProof/>
          </w:rPr>
          <w:t>Συνοπτική παρουσίαση</w:t>
        </w:r>
        <w:r w:rsidR="00D12D65">
          <w:rPr>
            <w:noProof/>
            <w:webHidden/>
          </w:rPr>
          <w:tab/>
        </w:r>
        <w:r w:rsidR="00D12D65">
          <w:rPr>
            <w:noProof/>
            <w:webHidden/>
          </w:rPr>
          <w:fldChar w:fldCharType="begin"/>
        </w:r>
        <w:r w:rsidR="00D12D65">
          <w:rPr>
            <w:noProof/>
            <w:webHidden/>
          </w:rPr>
          <w:instrText xml:space="preserve"> PAGEREF _Toc22645394 \h </w:instrText>
        </w:r>
        <w:r w:rsidR="00D12D65">
          <w:rPr>
            <w:noProof/>
            <w:webHidden/>
          </w:rPr>
        </w:r>
        <w:r w:rsidR="00D12D65">
          <w:rPr>
            <w:noProof/>
            <w:webHidden/>
          </w:rPr>
          <w:fldChar w:fldCharType="separate"/>
        </w:r>
        <w:r w:rsidR="00D12D65">
          <w:rPr>
            <w:noProof/>
            <w:webHidden/>
          </w:rPr>
          <w:t>4</w:t>
        </w:r>
        <w:r w:rsidR="00D12D65">
          <w:rPr>
            <w:noProof/>
            <w:webHidden/>
          </w:rPr>
          <w:fldChar w:fldCharType="end"/>
        </w:r>
      </w:hyperlink>
    </w:p>
    <w:p w14:paraId="046A763F" w14:textId="149260EC" w:rsidR="00D12D65" w:rsidRDefault="001A16ED">
      <w:pPr>
        <w:pStyle w:val="TOC2"/>
        <w:rPr>
          <w:rFonts w:asciiTheme="minorHAnsi" w:eastAsiaTheme="minorEastAsia" w:hAnsiTheme="minorHAnsi" w:cstheme="minorBidi"/>
          <w:noProof/>
          <w:sz w:val="22"/>
          <w:lang w:val="en-US"/>
        </w:rPr>
      </w:pPr>
      <w:hyperlink w:anchor="_Toc22645395" w:history="1">
        <w:r w:rsidR="00D12D65" w:rsidRPr="000E6CFB">
          <w:rPr>
            <w:rStyle w:val="Hyperlink"/>
            <w:noProof/>
          </w:rPr>
          <w:t>2.3</w:t>
        </w:r>
        <w:r w:rsidR="00D12D65">
          <w:rPr>
            <w:rFonts w:asciiTheme="minorHAnsi" w:eastAsiaTheme="minorEastAsia" w:hAnsiTheme="minorHAnsi" w:cstheme="minorBidi"/>
            <w:noProof/>
            <w:sz w:val="22"/>
            <w:lang w:val="en-US"/>
          </w:rPr>
          <w:tab/>
        </w:r>
        <w:r w:rsidR="00D12D65" w:rsidRPr="000E6CFB">
          <w:rPr>
            <w:rStyle w:val="Hyperlink"/>
            <w:noProof/>
          </w:rPr>
          <w:t>Βασικές πολιτικές και δράσεις της στρατηγικής</w:t>
        </w:r>
        <w:r w:rsidR="00D12D65">
          <w:rPr>
            <w:noProof/>
            <w:webHidden/>
          </w:rPr>
          <w:tab/>
        </w:r>
        <w:r w:rsidR="00D12D65">
          <w:rPr>
            <w:noProof/>
            <w:webHidden/>
          </w:rPr>
          <w:fldChar w:fldCharType="begin"/>
        </w:r>
        <w:r w:rsidR="00D12D65">
          <w:rPr>
            <w:noProof/>
            <w:webHidden/>
          </w:rPr>
          <w:instrText xml:space="preserve"> PAGEREF _Toc22645395 \h </w:instrText>
        </w:r>
        <w:r w:rsidR="00D12D65">
          <w:rPr>
            <w:noProof/>
            <w:webHidden/>
          </w:rPr>
        </w:r>
        <w:r w:rsidR="00D12D65">
          <w:rPr>
            <w:noProof/>
            <w:webHidden/>
          </w:rPr>
          <w:fldChar w:fldCharType="separate"/>
        </w:r>
        <w:r w:rsidR="00D12D65">
          <w:rPr>
            <w:noProof/>
            <w:webHidden/>
          </w:rPr>
          <w:t>6</w:t>
        </w:r>
        <w:r w:rsidR="00D12D65">
          <w:rPr>
            <w:noProof/>
            <w:webHidden/>
          </w:rPr>
          <w:fldChar w:fldCharType="end"/>
        </w:r>
      </w:hyperlink>
    </w:p>
    <w:p w14:paraId="034714B9" w14:textId="4DF5B103"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396" w:history="1">
        <w:r w:rsidR="00D12D65" w:rsidRPr="000E6CFB">
          <w:rPr>
            <w:rStyle w:val="Hyperlink"/>
            <w:noProof/>
          </w:rPr>
          <w:t>3.</w:t>
        </w:r>
        <w:r w:rsidR="00D12D65">
          <w:rPr>
            <w:rFonts w:asciiTheme="minorHAnsi" w:eastAsiaTheme="minorEastAsia" w:hAnsiTheme="minorHAnsi" w:cstheme="minorBidi"/>
            <w:b w:val="0"/>
            <w:noProof/>
            <w:sz w:val="22"/>
            <w:lang w:val="en-US"/>
          </w:rPr>
          <w:tab/>
        </w:r>
        <w:r w:rsidR="00D12D65" w:rsidRPr="000E6CFB">
          <w:rPr>
            <w:rStyle w:val="Hyperlink"/>
            <w:noProof/>
          </w:rPr>
          <w:t>Επισκόπηση υλοποίησης της Στρατηγικής</w:t>
        </w:r>
        <w:r w:rsidR="00D12D65">
          <w:rPr>
            <w:noProof/>
            <w:webHidden/>
          </w:rPr>
          <w:tab/>
        </w:r>
        <w:r w:rsidR="00D12D65">
          <w:rPr>
            <w:noProof/>
            <w:webHidden/>
          </w:rPr>
          <w:fldChar w:fldCharType="begin"/>
        </w:r>
        <w:r w:rsidR="00D12D65">
          <w:rPr>
            <w:noProof/>
            <w:webHidden/>
          </w:rPr>
          <w:instrText xml:space="preserve"> PAGEREF _Toc22645396 \h </w:instrText>
        </w:r>
        <w:r w:rsidR="00D12D65">
          <w:rPr>
            <w:noProof/>
            <w:webHidden/>
          </w:rPr>
        </w:r>
        <w:r w:rsidR="00D12D65">
          <w:rPr>
            <w:noProof/>
            <w:webHidden/>
          </w:rPr>
          <w:fldChar w:fldCharType="separate"/>
        </w:r>
        <w:r w:rsidR="00D12D65">
          <w:rPr>
            <w:noProof/>
            <w:webHidden/>
          </w:rPr>
          <w:t>8</w:t>
        </w:r>
        <w:r w:rsidR="00D12D65">
          <w:rPr>
            <w:noProof/>
            <w:webHidden/>
          </w:rPr>
          <w:fldChar w:fldCharType="end"/>
        </w:r>
      </w:hyperlink>
    </w:p>
    <w:p w14:paraId="58F2BBC5" w14:textId="016A8BA5" w:rsidR="00D12D65" w:rsidRDefault="001A16ED">
      <w:pPr>
        <w:pStyle w:val="TOC2"/>
        <w:rPr>
          <w:rFonts w:asciiTheme="minorHAnsi" w:eastAsiaTheme="minorEastAsia" w:hAnsiTheme="minorHAnsi" w:cstheme="minorBidi"/>
          <w:noProof/>
          <w:sz w:val="22"/>
          <w:lang w:val="en-US"/>
        </w:rPr>
      </w:pPr>
      <w:hyperlink w:anchor="_Toc22645397" w:history="1">
        <w:r w:rsidR="00D12D65" w:rsidRPr="000E6CFB">
          <w:rPr>
            <w:rStyle w:val="Hyperlink"/>
            <w:noProof/>
          </w:rPr>
          <w:t>3.1</w:t>
        </w:r>
        <w:r w:rsidR="00D12D65">
          <w:rPr>
            <w:rFonts w:asciiTheme="minorHAnsi" w:eastAsiaTheme="minorEastAsia" w:hAnsiTheme="minorHAnsi" w:cstheme="minorBidi"/>
            <w:noProof/>
            <w:sz w:val="22"/>
            <w:lang w:val="en-US"/>
          </w:rPr>
          <w:tab/>
        </w:r>
        <w:r w:rsidR="00D12D65" w:rsidRPr="000E6CFB">
          <w:rPr>
            <w:rStyle w:val="Hyperlink"/>
            <w:noProof/>
          </w:rPr>
          <w:t>Εισαγωγή</w:t>
        </w:r>
        <w:r w:rsidR="00D12D65">
          <w:rPr>
            <w:noProof/>
            <w:webHidden/>
          </w:rPr>
          <w:tab/>
        </w:r>
        <w:r w:rsidR="00D12D65">
          <w:rPr>
            <w:noProof/>
            <w:webHidden/>
          </w:rPr>
          <w:fldChar w:fldCharType="begin"/>
        </w:r>
        <w:r w:rsidR="00D12D65">
          <w:rPr>
            <w:noProof/>
            <w:webHidden/>
          </w:rPr>
          <w:instrText xml:space="preserve"> PAGEREF _Toc22645397 \h </w:instrText>
        </w:r>
        <w:r w:rsidR="00D12D65">
          <w:rPr>
            <w:noProof/>
            <w:webHidden/>
          </w:rPr>
        </w:r>
        <w:r w:rsidR="00D12D65">
          <w:rPr>
            <w:noProof/>
            <w:webHidden/>
          </w:rPr>
          <w:fldChar w:fldCharType="separate"/>
        </w:r>
        <w:r w:rsidR="00D12D65">
          <w:rPr>
            <w:noProof/>
            <w:webHidden/>
          </w:rPr>
          <w:t>8</w:t>
        </w:r>
        <w:r w:rsidR="00D12D65">
          <w:rPr>
            <w:noProof/>
            <w:webHidden/>
          </w:rPr>
          <w:fldChar w:fldCharType="end"/>
        </w:r>
      </w:hyperlink>
    </w:p>
    <w:p w14:paraId="731A681B" w14:textId="1F05434E" w:rsidR="00D12D65" w:rsidRDefault="001A16ED">
      <w:pPr>
        <w:pStyle w:val="TOC2"/>
        <w:rPr>
          <w:rFonts w:asciiTheme="minorHAnsi" w:eastAsiaTheme="minorEastAsia" w:hAnsiTheme="minorHAnsi" w:cstheme="minorBidi"/>
          <w:noProof/>
          <w:sz w:val="22"/>
          <w:lang w:val="en-US"/>
        </w:rPr>
      </w:pPr>
      <w:hyperlink w:anchor="_Toc22645398" w:history="1">
        <w:r w:rsidR="00D12D65" w:rsidRPr="000E6CFB">
          <w:rPr>
            <w:rStyle w:val="Hyperlink"/>
            <w:noProof/>
          </w:rPr>
          <w:t>3.2</w:t>
        </w:r>
        <w:r w:rsidR="00D12D65">
          <w:rPr>
            <w:rFonts w:asciiTheme="minorHAnsi" w:eastAsiaTheme="minorEastAsia" w:hAnsiTheme="minorHAnsi" w:cstheme="minorBidi"/>
            <w:noProof/>
            <w:sz w:val="22"/>
            <w:lang w:val="en-US"/>
          </w:rPr>
          <w:tab/>
        </w:r>
        <w:r w:rsidR="00D12D65" w:rsidRPr="000E6CFB">
          <w:rPr>
            <w:rStyle w:val="Hyperlink"/>
            <w:noProof/>
          </w:rPr>
          <w:t>Ανάλυση δράσεων ΕΠΑνΕΚ</w:t>
        </w:r>
        <w:r w:rsidR="00D12D65">
          <w:rPr>
            <w:noProof/>
            <w:webHidden/>
          </w:rPr>
          <w:tab/>
        </w:r>
        <w:r w:rsidR="00D12D65">
          <w:rPr>
            <w:noProof/>
            <w:webHidden/>
          </w:rPr>
          <w:fldChar w:fldCharType="begin"/>
        </w:r>
        <w:r w:rsidR="00D12D65">
          <w:rPr>
            <w:noProof/>
            <w:webHidden/>
          </w:rPr>
          <w:instrText xml:space="preserve"> PAGEREF _Toc22645398 \h </w:instrText>
        </w:r>
        <w:r w:rsidR="00D12D65">
          <w:rPr>
            <w:noProof/>
            <w:webHidden/>
          </w:rPr>
        </w:r>
        <w:r w:rsidR="00D12D65">
          <w:rPr>
            <w:noProof/>
            <w:webHidden/>
          </w:rPr>
          <w:fldChar w:fldCharType="separate"/>
        </w:r>
        <w:r w:rsidR="00D12D65">
          <w:rPr>
            <w:noProof/>
            <w:webHidden/>
          </w:rPr>
          <w:t>11</w:t>
        </w:r>
        <w:r w:rsidR="00D12D65">
          <w:rPr>
            <w:noProof/>
            <w:webHidden/>
          </w:rPr>
          <w:fldChar w:fldCharType="end"/>
        </w:r>
      </w:hyperlink>
    </w:p>
    <w:p w14:paraId="5718C819" w14:textId="6A06D880" w:rsidR="00D12D65" w:rsidRDefault="001A16ED">
      <w:pPr>
        <w:pStyle w:val="TOC3"/>
        <w:tabs>
          <w:tab w:val="left" w:pos="1100"/>
          <w:tab w:val="right" w:leader="dot" w:pos="9403"/>
        </w:tabs>
        <w:rPr>
          <w:rFonts w:asciiTheme="minorHAnsi" w:eastAsiaTheme="minorEastAsia" w:hAnsiTheme="minorHAnsi" w:cstheme="minorBidi"/>
          <w:noProof/>
          <w:sz w:val="22"/>
          <w:lang w:val="en-US"/>
        </w:rPr>
      </w:pPr>
      <w:hyperlink w:anchor="_Toc22645399" w:history="1">
        <w:r w:rsidR="00D12D65" w:rsidRPr="000E6CFB">
          <w:rPr>
            <w:rStyle w:val="Hyperlink"/>
            <w:noProof/>
          </w:rPr>
          <w:t>3.2.1</w:t>
        </w:r>
        <w:r w:rsidR="00D12D65">
          <w:rPr>
            <w:rFonts w:asciiTheme="minorHAnsi" w:eastAsiaTheme="minorEastAsia" w:hAnsiTheme="minorHAnsi" w:cstheme="minorBidi"/>
            <w:noProof/>
            <w:sz w:val="22"/>
            <w:lang w:val="en-US"/>
          </w:rPr>
          <w:tab/>
        </w:r>
        <w:r w:rsidR="00D12D65" w:rsidRPr="000E6CFB">
          <w:rPr>
            <w:rStyle w:val="Hyperlink"/>
            <w:noProof/>
          </w:rPr>
          <w:t>Δράσεις ΕΠΑνΕΚ στο πλαίσιο της Επενδυτικής Προτεραιότητας 1</w:t>
        </w:r>
        <w:r w:rsidR="00D12D65" w:rsidRPr="000E6CFB">
          <w:rPr>
            <w:rStyle w:val="Hyperlink"/>
            <w:noProof/>
            <w:lang w:val="en-US"/>
          </w:rPr>
          <w:t>a</w:t>
        </w:r>
        <w:r w:rsidR="00D12D65">
          <w:rPr>
            <w:noProof/>
            <w:webHidden/>
          </w:rPr>
          <w:tab/>
        </w:r>
        <w:r w:rsidR="00D12D65">
          <w:rPr>
            <w:noProof/>
            <w:webHidden/>
          </w:rPr>
          <w:fldChar w:fldCharType="begin"/>
        </w:r>
        <w:r w:rsidR="00D12D65">
          <w:rPr>
            <w:noProof/>
            <w:webHidden/>
          </w:rPr>
          <w:instrText xml:space="preserve"> PAGEREF _Toc22645399 \h </w:instrText>
        </w:r>
        <w:r w:rsidR="00D12D65">
          <w:rPr>
            <w:noProof/>
            <w:webHidden/>
          </w:rPr>
        </w:r>
        <w:r w:rsidR="00D12D65">
          <w:rPr>
            <w:noProof/>
            <w:webHidden/>
          </w:rPr>
          <w:fldChar w:fldCharType="separate"/>
        </w:r>
        <w:r w:rsidR="00D12D65">
          <w:rPr>
            <w:noProof/>
            <w:webHidden/>
          </w:rPr>
          <w:t>11</w:t>
        </w:r>
        <w:r w:rsidR="00D12D65">
          <w:rPr>
            <w:noProof/>
            <w:webHidden/>
          </w:rPr>
          <w:fldChar w:fldCharType="end"/>
        </w:r>
      </w:hyperlink>
    </w:p>
    <w:p w14:paraId="6CC13D52" w14:textId="68DB1379" w:rsidR="00D12D65" w:rsidRDefault="001A16ED">
      <w:pPr>
        <w:pStyle w:val="TOC3"/>
        <w:tabs>
          <w:tab w:val="left" w:pos="1100"/>
          <w:tab w:val="right" w:leader="dot" w:pos="9403"/>
        </w:tabs>
        <w:rPr>
          <w:rFonts w:asciiTheme="minorHAnsi" w:eastAsiaTheme="minorEastAsia" w:hAnsiTheme="minorHAnsi" w:cstheme="minorBidi"/>
          <w:noProof/>
          <w:sz w:val="22"/>
          <w:lang w:val="en-US"/>
        </w:rPr>
      </w:pPr>
      <w:hyperlink w:anchor="_Toc22645400" w:history="1">
        <w:r w:rsidR="00D12D65" w:rsidRPr="000E6CFB">
          <w:rPr>
            <w:rStyle w:val="Hyperlink"/>
            <w:noProof/>
          </w:rPr>
          <w:t>3.2.2</w:t>
        </w:r>
        <w:r w:rsidR="00D12D65">
          <w:rPr>
            <w:rFonts w:asciiTheme="minorHAnsi" w:eastAsiaTheme="minorEastAsia" w:hAnsiTheme="minorHAnsi" w:cstheme="minorBidi"/>
            <w:noProof/>
            <w:sz w:val="22"/>
            <w:lang w:val="en-US"/>
          </w:rPr>
          <w:tab/>
        </w:r>
        <w:r w:rsidR="00D12D65" w:rsidRPr="000E6CFB">
          <w:rPr>
            <w:rStyle w:val="Hyperlink"/>
            <w:noProof/>
          </w:rPr>
          <w:t>Δράσεις ΕΠΑνΕΚ στο πλαίσιο της Επενδυτικής Προτεραιότητας 1</w:t>
        </w:r>
        <w:r w:rsidR="00D12D65" w:rsidRPr="000E6CFB">
          <w:rPr>
            <w:rStyle w:val="Hyperlink"/>
            <w:noProof/>
            <w:lang w:val="en-US"/>
          </w:rPr>
          <w:t>b</w:t>
        </w:r>
        <w:r w:rsidR="00D12D65">
          <w:rPr>
            <w:noProof/>
            <w:webHidden/>
          </w:rPr>
          <w:tab/>
        </w:r>
        <w:r w:rsidR="00D12D65">
          <w:rPr>
            <w:noProof/>
            <w:webHidden/>
          </w:rPr>
          <w:fldChar w:fldCharType="begin"/>
        </w:r>
        <w:r w:rsidR="00D12D65">
          <w:rPr>
            <w:noProof/>
            <w:webHidden/>
          </w:rPr>
          <w:instrText xml:space="preserve"> PAGEREF _Toc22645400 \h </w:instrText>
        </w:r>
        <w:r w:rsidR="00D12D65">
          <w:rPr>
            <w:noProof/>
            <w:webHidden/>
          </w:rPr>
        </w:r>
        <w:r w:rsidR="00D12D65">
          <w:rPr>
            <w:noProof/>
            <w:webHidden/>
          </w:rPr>
          <w:fldChar w:fldCharType="separate"/>
        </w:r>
        <w:r w:rsidR="00D12D65">
          <w:rPr>
            <w:noProof/>
            <w:webHidden/>
          </w:rPr>
          <w:t>15</w:t>
        </w:r>
        <w:r w:rsidR="00D12D65">
          <w:rPr>
            <w:noProof/>
            <w:webHidden/>
          </w:rPr>
          <w:fldChar w:fldCharType="end"/>
        </w:r>
      </w:hyperlink>
    </w:p>
    <w:p w14:paraId="4C5A759D" w14:textId="4C1FCA0B" w:rsidR="00D12D65" w:rsidRDefault="001A16ED">
      <w:pPr>
        <w:pStyle w:val="TOC4"/>
        <w:tabs>
          <w:tab w:val="left" w:pos="1320"/>
          <w:tab w:val="right" w:leader="dot" w:pos="9403"/>
        </w:tabs>
        <w:rPr>
          <w:rFonts w:asciiTheme="minorHAnsi" w:eastAsiaTheme="minorEastAsia" w:hAnsiTheme="minorHAnsi" w:cstheme="minorBidi"/>
          <w:noProof/>
          <w:sz w:val="22"/>
          <w:lang w:val="en-US"/>
        </w:rPr>
      </w:pPr>
      <w:hyperlink w:anchor="_Toc22645401" w:history="1">
        <w:r w:rsidR="00D12D65" w:rsidRPr="000E6CFB">
          <w:rPr>
            <w:rStyle w:val="Hyperlink"/>
            <w:noProof/>
          </w:rPr>
          <w:t>3.2.2.1</w:t>
        </w:r>
        <w:r w:rsidR="00D12D65">
          <w:rPr>
            <w:rFonts w:asciiTheme="minorHAnsi" w:eastAsiaTheme="minorEastAsia" w:hAnsiTheme="minorHAnsi" w:cstheme="minorBidi"/>
            <w:noProof/>
            <w:sz w:val="22"/>
            <w:lang w:val="en-US"/>
          </w:rPr>
          <w:tab/>
        </w:r>
        <w:r w:rsidR="00D12D65" w:rsidRPr="000E6CFB">
          <w:rPr>
            <w:rStyle w:val="Hyperlink"/>
            <w:noProof/>
          </w:rPr>
          <w:t>«Ερευνώ – Δημιουργώ – Καινοτομώ» (Α΄ κύκλος)</w:t>
        </w:r>
        <w:r w:rsidR="00D12D65">
          <w:rPr>
            <w:noProof/>
            <w:webHidden/>
          </w:rPr>
          <w:tab/>
        </w:r>
        <w:r w:rsidR="00D12D65">
          <w:rPr>
            <w:noProof/>
            <w:webHidden/>
          </w:rPr>
          <w:fldChar w:fldCharType="begin"/>
        </w:r>
        <w:r w:rsidR="00D12D65">
          <w:rPr>
            <w:noProof/>
            <w:webHidden/>
          </w:rPr>
          <w:instrText xml:space="preserve"> PAGEREF _Toc22645401 \h </w:instrText>
        </w:r>
        <w:r w:rsidR="00D12D65">
          <w:rPr>
            <w:noProof/>
            <w:webHidden/>
          </w:rPr>
        </w:r>
        <w:r w:rsidR="00D12D65">
          <w:rPr>
            <w:noProof/>
            <w:webHidden/>
          </w:rPr>
          <w:fldChar w:fldCharType="separate"/>
        </w:r>
        <w:r w:rsidR="00D12D65">
          <w:rPr>
            <w:noProof/>
            <w:webHidden/>
          </w:rPr>
          <w:t>24</w:t>
        </w:r>
        <w:r w:rsidR="00D12D65">
          <w:rPr>
            <w:noProof/>
            <w:webHidden/>
          </w:rPr>
          <w:fldChar w:fldCharType="end"/>
        </w:r>
      </w:hyperlink>
    </w:p>
    <w:p w14:paraId="455EE792" w14:textId="1ECD6635" w:rsidR="00D12D65" w:rsidRDefault="001A16ED">
      <w:pPr>
        <w:pStyle w:val="TOC4"/>
        <w:tabs>
          <w:tab w:val="left" w:pos="1320"/>
          <w:tab w:val="right" w:leader="dot" w:pos="9403"/>
        </w:tabs>
        <w:rPr>
          <w:rFonts w:asciiTheme="minorHAnsi" w:eastAsiaTheme="minorEastAsia" w:hAnsiTheme="minorHAnsi" w:cstheme="minorBidi"/>
          <w:noProof/>
          <w:sz w:val="22"/>
          <w:lang w:val="en-US"/>
        </w:rPr>
      </w:pPr>
      <w:hyperlink w:anchor="_Toc22645402" w:history="1">
        <w:r w:rsidR="00D12D65" w:rsidRPr="000E6CFB">
          <w:rPr>
            <w:rStyle w:val="Hyperlink"/>
            <w:noProof/>
          </w:rPr>
          <w:t>3.2.2.2</w:t>
        </w:r>
        <w:r w:rsidR="00D12D65">
          <w:rPr>
            <w:rFonts w:asciiTheme="minorHAnsi" w:eastAsiaTheme="minorEastAsia" w:hAnsiTheme="minorHAnsi" w:cstheme="minorBidi"/>
            <w:noProof/>
            <w:sz w:val="22"/>
            <w:lang w:val="en-US"/>
          </w:rPr>
          <w:tab/>
        </w:r>
        <w:r w:rsidR="00D12D65" w:rsidRPr="000E6CFB">
          <w:rPr>
            <w:rStyle w:val="Hyperlink"/>
            <w:noProof/>
          </w:rPr>
          <w:t>Ειδικές Δράσεις «Υδατοκαλλιέργειες» - «Βιομηχανικά Υλικά» και «Ανοιχτή καινοτομία στον Πολιτισμό»</w:t>
        </w:r>
        <w:r w:rsidR="00D12D65">
          <w:rPr>
            <w:noProof/>
            <w:webHidden/>
          </w:rPr>
          <w:tab/>
        </w:r>
        <w:r w:rsidR="00D12D65">
          <w:rPr>
            <w:noProof/>
            <w:webHidden/>
          </w:rPr>
          <w:fldChar w:fldCharType="begin"/>
        </w:r>
        <w:r w:rsidR="00D12D65">
          <w:rPr>
            <w:noProof/>
            <w:webHidden/>
          </w:rPr>
          <w:instrText xml:space="preserve"> PAGEREF _Toc22645402 \h </w:instrText>
        </w:r>
        <w:r w:rsidR="00D12D65">
          <w:rPr>
            <w:noProof/>
            <w:webHidden/>
          </w:rPr>
        </w:r>
        <w:r w:rsidR="00D12D65">
          <w:rPr>
            <w:noProof/>
            <w:webHidden/>
          </w:rPr>
          <w:fldChar w:fldCharType="separate"/>
        </w:r>
        <w:r w:rsidR="00D12D65">
          <w:rPr>
            <w:noProof/>
            <w:webHidden/>
          </w:rPr>
          <w:t>28</w:t>
        </w:r>
        <w:r w:rsidR="00D12D65">
          <w:rPr>
            <w:noProof/>
            <w:webHidden/>
          </w:rPr>
          <w:fldChar w:fldCharType="end"/>
        </w:r>
      </w:hyperlink>
    </w:p>
    <w:p w14:paraId="64E69637" w14:textId="7B346F2F" w:rsidR="00D12D65" w:rsidRDefault="001A16ED">
      <w:pPr>
        <w:pStyle w:val="TOC4"/>
        <w:tabs>
          <w:tab w:val="left" w:pos="1320"/>
          <w:tab w:val="right" w:leader="dot" w:pos="9403"/>
        </w:tabs>
        <w:rPr>
          <w:rFonts w:asciiTheme="minorHAnsi" w:eastAsiaTheme="minorEastAsia" w:hAnsiTheme="minorHAnsi" w:cstheme="minorBidi"/>
          <w:noProof/>
          <w:sz w:val="22"/>
          <w:lang w:val="en-US"/>
        </w:rPr>
      </w:pPr>
      <w:hyperlink w:anchor="_Toc22645403" w:history="1">
        <w:r w:rsidR="00D12D65" w:rsidRPr="000E6CFB">
          <w:rPr>
            <w:rStyle w:val="Hyperlink"/>
            <w:noProof/>
          </w:rPr>
          <w:t>3.2.2.3</w:t>
        </w:r>
        <w:r w:rsidR="00D12D65">
          <w:rPr>
            <w:rFonts w:asciiTheme="minorHAnsi" w:eastAsiaTheme="minorEastAsia" w:hAnsiTheme="minorHAnsi" w:cstheme="minorBidi"/>
            <w:noProof/>
            <w:sz w:val="22"/>
            <w:lang w:val="en-US"/>
          </w:rPr>
          <w:tab/>
        </w:r>
        <w:r w:rsidR="00D12D65" w:rsidRPr="000E6CFB">
          <w:rPr>
            <w:rStyle w:val="Hyperlink"/>
            <w:noProof/>
          </w:rPr>
          <w:t>Ευρωπαϊκά Δίκτυα ERA NETS</w:t>
        </w:r>
        <w:r w:rsidR="00D12D65">
          <w:rPr>
            <w:noProof/>
            <w:webHidden/>
          </w:rPr>
          <w:tab/>
        </w:r>
        <w:r w:rsidR="00D12D65">
          <w:rPr>
            <w:noProof/>
            <w:webHidden/>
          </w:rPr>
          <w:fldChar w:fldCharType="begin"/>
        </w:r>
        <w:r w:rsidR="00D12D65">
          <w:rPr>
            <w:noProof/>
            <w:webHidden/>
          </w:rPr>
          <w:instrText xml:space="preserve"> PAGEREF _Toc22645403 \h </w:instrText>
        </w:r>
        <w:r w:rsidR="00D12D65">
          <w:rPr>
            <w:noProof/>
            <w:webHidden/>
          </w:rPr>
        </w:r>
        <w:r w:rsidR="00D12D65">
          <w:rPr>
            <w:noProof/>
            <w:webHidden/>
          </w:rPr>
          <w:fldChar w:fldCharType="separate"/>
        </w:r>
        <w:r w:rsidR="00D12D65">
          <w:rPr>
            <w:noProof/>
            <w:webHidden/>
          </w:rPr>
          <w:t>29</w:t>
        </w:r>
        <w:r w:rsidR="00D12D65">
          <w:rPr>
            <w:noProof/>
            <w:webHidden/>
          </w:rPr>
          <w:fldChar w:fldCharType="end"/>
        </w:r>
      </w:hyperlink>
    </w:p>
    <w:p w14:paraId="7D1DB570" w14:textId="6CE395CA" w:rsidR="00D12D65" w:rsidRDefault="001A16ED">
      <w:pPr>
        <w:pStyle w:val="TOC4"/>
        <w:tabs>
          <w:tab w:val="left" w:pos="1320"/>
          <w:tab w:val="right" w:leader="dot" w:pos="9403"/>
        </w:tabs>
        <w:rPr>
          <w:rFonts w:asciiTheme="minorHAnsi" w:eastAsiaTheme="minorEastAsia" w:hAnsiTheme="minorHAnsi" w:cstheme="minorBidi"/>
          <w:noProof/>
          <w:sz w:val="22"/>
          <w:lang w:val="en-US"/>
        </w:rPr>
      </w:pPr>
      <w:hyperlink w:anchor="_Toc22645404" w:history="1">
        <w:r w:rsidR="00D12D65" w:rsidRPr="000E6CFB">
          <w:rPr>
            <w:rStyle w:val="Hyperlink"/>
            <w:noProof/>
          </w:rPr>
          <w:t>3.2.2.4</w:t>
        </w:r>
        <w:r w:rsidR="00D12D65">
          <w:rPr>
            <w:rFonts w:asciiTheme="minorHAnsi" w:eastAsiaTheme="minorEastAsia" w:hAnsiTheme="minorHAnsi" w:cstheme="minorBidi"/>
            <w:noProof/>
            <w:sz w:val="22"/>
            <w:lang w:val="en-US"/>
          </w:rPr>
          <w:tab/>
        </w:r>
        <w:r w:rsidR="00D12D65" w:rsidRPr="000E6CFB">
          <w:rPr>
            <w:rStyle w:val="Hyperlink"/>
            <w:noProof/>
          </w:rPr>
          <w:t>Διμερείς Ε&amp;Τ Συνεργασίες</w:t>
        </w:r>
        <w:r w:rsidR="00D12D65">
          <w:rPr>
            <w:noProof/>
            <w:webHidden/>
          </w:rPr>
          <w:tab/>
        </w:r>
        <w:r w:rsidR="00D12D65">
          <w:rPr>
            <w:noProof/>
            <w:webHidden/>
          </w:rPr>
          <w:fldChar w:fldCharType="begin"/>
        </w:r>
        <w:r w:rsidR="00D12D65">
          <w:rPr>
            <w:noProof/>
            <w:webHidden/>
          </w:rPr>
          <w:instrText xml:space="preserve"> PAGEREF _Toc22645404 \h </w:instrText>
        </w:r>
        <w:r w:rsidR="00D12D65">
          <w:rPr>
            <w:noProof/>
            <w:webHidden/>
          </w:rPr>
        </w:r>
        <w:r w:rsidR="00D12D65">
          <w:rPr>
            <w:noProof/>
            <w:webHidden/>
          </w:rPr>
          <w:fldChar w:fldCharType="separate"/>
        </w:r>
        <w:r w:rsidR="00D12D65">
          <w:rPr>
            <w:noProof/>
            <w:webHidden/>
          </w:rPr>
          <w:t>33</w:t>
        </w:r>
        <w:r w:rsidR="00D12D65">
          <w:rPr>
            <w:noProof/>
            <w:webHidden/>
          </w:rPr>
          <w:fldChar w:fldCharType="end"/>
        </w:r>
      </w:hyperlink>
    </w:p>
    <w:p w14:paraId="77C67462" w14:textId="5E1246E8" w:rsidR="00D12D65" w:rsidRDefault="001A16ED">
      <w:pPr>
        <w:pStyle w:val="TOC2"/>
        <w:rPr>
          <w:rFonts w:asciiTheme="minorHAnsi" w:eastAsiaTheme="minorEastAsia" w:hAnsiTheme="minorHAnsi" w:cstheme="minorBidi"/>
          <w:noProof/>
          <w:sz w:val="22"/>
          <w:lang w:val="en-US"/>
        </w:rPr>
      </w:pPr>
      <w:hyperlink w:anchor="_Toc22645405" w:history="1">
        <w:r w:rsidR="00D12D65" w:rsidRPr="000E6CFB">
          <w:rPr>
            <w:rStyle w:val="Hyperlink"/>
            <w:noProof/>
          </w:rPr>
          <w:t>3.3</w:t>
        </w:r>
        <w:r w:rsidR="00D12D65">
          <w:rPr>
            <w:rFonts w:asciiTheme="minorHAnsi" w:eastAsiaTheme="minorEastAsia" w:hAnsiTheme="minorHAnsi" w:cstheme="minorBidi"/>
            <w:noProof/>
            <w:sz w:val="22"/>
            <w:lang w:val="en-US"/>
          </w:rPr>
          <w:tab/>
        </w:r>
        <w:r w:rsidR="00D12D65" w:rsidRPr="000E6CFB">
          <w:rPr>
            <w:rStyle w:val="Hyperlink"/>
            <w:noProof/>
          </w:rPr>
          <w:t>Εμβληματικές πρωτοβουλίες και Δράσεις ΕΛΙΔΕΚ</w:t>
        </w:r>
        <w:r w:rsidR="00D12D65">
          <w:rPr>
            <w:noProof/>
            <w:webHidden/>
          </w:rPr>
          <w:tab/>
        </w:r>
        <w:r w:rsidR="00D12D65">
          <w:rPr>
            <w:noProof/>
            <w:webHidden/>
          </w:rPr>
          <w:fldChar w:fldCharType="begin"/>
        </w:r>
        <w:r w:rsidR="00D12D65">
          <w:rPr>
            <w:noProof/>
            <w:webHidden/>
          </w:rPr>
          <w:instrText xml:space="preserve"> PAGEREF _Toc22645405 \h </w:instrText>
        </w:r>
        <w:r w:rsidR="00D12D65">
          <w:rPr>
            <w:noProof/>
            <w:webHidden/>
          </w:rPr>
        </w:r>
        <w:r w:rsidR="00D12D65">
          <w:rPr>
            <w:noProof/>
            <w:webHidden/>
          </w:rPr>
          <w:fldChar w:fldCharType="separate"/>
        </w:r>
        <w:r w:rsidR="00D12D65">
          <w:rPr>
            <w:noProof/>
            <w:webHidden/>
          </w:rPr>
          <w:t>39</w:t>
        </w:r>
        <w:r w:rsidR="00D12D65">
          <w:rPr>
            <w:noProof/>
            <w:webHidden/>
          </w:rPr>
          <w:fldChar w:fldCharType="end"/>
        </w:r>
      </w:hyperlink>
    </w:p>
    <w:p w14:paraId="136BC69F" w14:textId="6A139148" w:rsidR="00D12D65" w:rsidRDefault="001A16ED">
      <w:pPr>
        <w:pStyle w:val="TOC3"/>
        <w:tabs>
          <w:tab w:val="left" w:pos="1100"/>
          <w:tab w:val="right" w:leader="dot" w:pos="9403"/>
        </w:tabs>
        <w:rPr>
          <w:rFonts w:asciiTheme="minorHAnsi" w:eastAsiaTheme="minorEastAsia" w:hAnsiTheme="minorHAnsi" w:cstheme="minorBidi"/>
          <w:noProof/>
          <w:sz w:val="22"/>
          <w:lang w:val="en-US"/>
        </w:rPr>
      </w:pPr>
      <w:hyperlink w:anchor="_Toc22645406" w:history="1">
        <w:r w:rsidR="00D12D65" w:rsidRPr="000E6CFB">
          <w:rPr>
            <w:rStyle w:val="Hyperlink"/>
            <w:noProof/>
          </w:rPr>
          <w:t>3.3.1</w:t>
        </w:r>
        <w:r w:rsidR="00D12D65">
          <w:rPr>
            <w:rFonts w:asciiTheme="minorHAnsi" w:eastAsiaTheme="minorEastAsia" w:hAnsiTheme="minorHAnsi" w:cstheme="minorBidi"/>
            <w:noProof/>
            <w:sz w:val="22"/>
            <w:lang w:val="en-US"/>
          </w:rPr>
          <w:tab/>
        </w:r>
        <w:r w:rsidR="00D12D65" w:rsidRPr="000E6CFB">
          <w:rPr>
            <w:rStyle w:val="Hyperlink"/>
            <w:noProof/>
          </w:rPr>
          <w:t>Εμβληματικές πρωτοβουλίες</w:t>
        </w:r>
        <w:r w:rsidR="00D12D65">
          <w:rPr>
            <w:noProof/>
            <w:webHidden/>
          </w:rPr>
          <w:tab/>
        </w:r>
        <w:r w:rsidR="00D12D65">
          <w:rPr>
            <w:noProof/>
            <w:webHidden/>
          </w:rPr>
          <w:fldChar w:fldCharType="begin"/>
        </w:r>
        <w:r w:rsidR="00D12D65">
          <w:rPr>
            <w:noProof/>
            <w:webHidden/>
          </w:rPr>
          <w:instrText xml:space="preserve"> PAGEREF _Toc22645406 \h </w:instrText>
        </w:r>
        <w:r w:rsidR="00D12D65">
          <w:rPr>
            <w:noProof/>
            <w:webHidden/>
          </w:rPr>
        </w:r>
        <w:r w:rsidR="00D12D65">
          <w:rPr>
            <w:noProof/>
            <w:webHidden/>
          </w:rPr>
          <w:fldChar w:fldCharType="separate"/>
        </w:r>
        <w:r w:rsidR="00D12D65">
          <w:rPr>
            <w:noProof/>
            <w:webHidden/>
          </w:rPr>
          <w:t>39</w:t>
        </w:r>
        <w:r w:rsidR="00D12D65">
          <w:rPr>
            <w:noProof/>
            <w:webHidden/>
          </w:rPr>
          <w:fldChar w:fldCharType="end"/>
        </w:r>
      </w:hyperlink>
    </w:p>
    <w:p w14:paraId="28AF6E59" w14:textId="07719337" w:rsidR="00D12D65" w:rsidRDefault="001A16ED">
      <w:pPr>
        <w:pStyle w:val="TOC3"/>
        <w:tabs>
          <w:tab w:val="left" w:pos="1100"/>
          <w:tab w:val="right" w:leader="dot" w:pos="9403"/>
        </w:tabs>
        <w:rPr>
          <w:rFonts w:asciiTheme="minorHAnsi" w:eastAsiaTheme="minorEastAsia" w:hAnsiTheme="minorHAnsi" w:cstheme="minorBidi"/>
          <w:noProof/>
          <w:sz w:val="22"/>
          <w:lang w:val="en-US"/>
        </w:rPr>
      </w:pPr>
      <w:hyperlink w:anchor="_Toc22645407" w:history="1">
        <w:r w:rsidR="00D12D65" w:rsidRPr="000E6CFB">
          <w:rPr>
            <w:rStyle w:val="Hyperlink"/>
            <w:noProof/>
          </w:rPr>
          <w:t>3.3.2</w:t>
        </w:r>
        <w:r w:rsidR="00D12D65">
          <w:rPr>
            <w:rFonts w:asciiTheme="minorHAnsi" w:eastAsiaTheme="minorEastAsia" w:hAnsiTheme="minorHAnsi" w:cstheme="minorBidi"/>
            <w:noProof/>
            <w:sz w:val="22"/>
            <w:lang w:val="en-US"/>
          </w:rPr>
          <w:tab/>
        </w:r>
        <w:r w:rsidR="00D12D65" w:rsidRPr="000E6CFB">
          <w:rPr>
            <w:rStyle w:val="Hyperlink"/>
            <w:noProof/>
          </w:rPr>
          <w:t>Δράσεις ΕΛΙΔΕΚ</w:t>
        </w:r>
        <w:r w:rsidR="00D12D65">
          <w:rPr>
            <w:noProof/>
            <w:webHidden/>
          </w:rPr>
          <w:tab/>
        </w:r>
        <w:r w:rsidR="00D12D65">
          <w:rPr>
            <w:noProof/>
            <w:webHidden/>
          </w:rPr>
          <w:fldChar w:fldCharType="begin"/>
        </w:r>
        <w:r w:rsidR="00D12D65">
          <w:rPr>
            <w:noProof/>
            <w:webHidden/>
          </w:rPr>
          <w:instrText xml:space="preserve"> PAGEREF _Toc22645407 \h </w:instrText>
        </w:r>
        <w:r w:rsidR="00D12D65">
          <w:rPr>
            <w:noProof/>
            <w:webHidden/>
          </w:rPr>
        </w:r>
        <w:r w:rsidR="00D12D65">
          <w:rPr>
            <w:noProof/>
            <w:webHidden/>
          </w:rPr>
          <w:fldChar w:fldCharType="separate"/>
        </w:r>
        <w:r w:rsidR="00D12D65">
          <w:rPr>
            <w:noProof/>
            <w:webHidden/>
          </w:rPr>
          <w:t>41</w:t>
        </w:r>
        <w:r w:rsidR="00D12D65">
          <w:rPr>
            <w:noProof/>
            <w:webHidden/>
          </w:rPr>
          <w:fldChar w:fldCharType="end"/>
        </w:r>
      </w:hyperlink>
    </w:p>
    <w:p w14:paraId="6D2902BA" w14:textId="52A1FB35"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08" w:history="1">
        <w:r w:rsidR="00D12D65" w:rsidRPr="000E6CFB">
          <w:rPr>
            <w:rStyle w:val="Hyperlink"/>
            <w:noProof/>
          </w:rPr>
          <w:t>4.</w:t>
        </w:r>
        <w:r w:rsidR="00D12D65">
          <w:rPr>
            <w:rFonts w:asciiTheme="minorHAnsi" w:eastAsiaTheme="minorEastAsia" w:hAnsiTheme="minorHAnsi" w:cstheme="minorBidi"/>
            <w:b w:val="0"/>
            <w:noProof/>
            <w:sz w:val="22"/>
            <w:lang w:val="en-US"/>
          </w:rPr>
          <w:tab/>
        </w:r>
        <w:r w:rsidR="00D12D65" w:rsidRPr="000E6CFB">
          <w:rPr>
            <w:rStyle w:val="Hyperlink"/>
            <w:noProof/>
          </w:rPr>
          <w:t>Άλλες Πηγές χρηματοδότησης της στρατηγικής</w:t>
        </w:r>
        <w:r w:rsidR="00D12D65">
          <w:rPr>
            <w:noProof/>
            <w:webHidden/>
          </w:rPr>
          <w:tab/>
        </w:r>
        <w:r w:rsidR="00D12D65">
          <w:rPr>
            <w:noProof/>
            <w:webHidden/>
          </w:rPr>
          <w:fldChar w:fldCharType="begin"/>
        </w:r>
        <w:r w:rsidR="00D12D65">
          <w:rPr>
            <w:noProof/>
            <w:webHidden/>
          </w:rPr>
          <w:instrText xml:space="preserve"> PAGEREF _Toc22645408 \h </w:instrText>
        </w:r>
        <w:r w:rsidR="00D12D65">
          <w:rPr>
            <w:noProof/>
            <w:webHidden/>
          </w:rPr>
        </w:r>
        <w:r w:rsidR="00D12D65">
          <w:rPr>
            <w:noProof/>
            <w:webHidden/>
          </w:rPr>
          <w:fldChar w:fldCharType="separate"/>
        </w:r>
        <w:r w:rsidR="00D12D65">
          <w:rPr>
            <w:noProof/>
            <w:webHidden/>
          </w:rPr>
          <w:t>42</w:t>
        </w:r>
        <w:r w:rsidR="00D12D65">
          <w:rPr>
            <w:noProof/>
            <w:webHidden/>
          </w:rPr>
          <w:fldChar w:fldCharType="end"/>
        </w:r>
      </w:hyperlink>
    </w:p>
    <w:p w14:paraId="595A94D3" w14:textId="027596B4" w:rsidR="00D12D65" w:rsidRDefault="001A16ED">
      <w:pPr>
        <w:pStyle w:val="TOC2"/>
        <w:rPr>
          <w:rFonts w:asciiTheme="minorHAnsi" w:eastAsiaTheme="minorEastAsia" w:hAnsiTheme="minorHAnsi" w:cstheme="minorBidi"/>
          <w:noProof/>
          <w:sz w:val="22"/>
          <w:lang w:val="en-US"/>
        </w:rPr>
      </w:pPr>
      <w:hyperlink w:anchor="_Toc22645409" w:history="1">
        <w:r w:rsidR="00D12D65" w:rsidRPr="000E6CFB">
          <w:rPr>
            <w:rStyle w:val="Hyperlink"/>
            <w:noProof/>
          </w:rPr>
          <w:t>4.1</w:t>
        </w:r>
        <w:r w:rsidR="00D12D65">
          <w:rPr>
            <w:rFonts w:asciiTheme="minorHAnsi" w:eastAsiaTheme="minorEastAsia" w:hAnsiTheme="minorHAnsi" w:cstheme="minorBidi"/>
            <w:noProof/>
            <w:sz w:val="22"/>
            <w:lang w:val="en-US"/>
          </w:rPr>
          <w:tab/>
        </w:r>
        <w:r w:rsidR="00D12D65" w:rsidRPr="000E6CFB">
          <w:rPr>
            <w:rStyle w:val="Hyperlink"/>
            <w:noProof/>
          </w:rPr>
          <w:t>Το πρόγραμμα Horizon 2020</w:t>
        </w:r>
        <w:r w:rsidR="00D12D65">
          <w:rPr>
            <w:noProof/>
            <w:webHidden/>
          </w:rPr>
          <w:tab/>
        </w:r>
        <w:r w:rsidR="00D12D65">
          <w:rPr>
            <w:noProof/>
            <w:webHidden/>
          </w:rPr>
          <w:fldChar w:fldCharType="begin"/>
        </w:r>
        <w:r w:rsidR="00D12D65">
          <w:rPr>
            <w:noProof/>
            <w:webHidden/>
          </w:rPr>
          <w:instrText xml:space="preserve"> PAGEREF _Toc22645409 \h </w:instrText>
        </w:r>
        <w:r w:rsidR="00D12D65">
          <w:rPr>
            <w:noProof/>
            <w:webHidden/>
          </w:rPr>
        </w:r>
        <w:r w:rsidR="00D12D65">
          <w:rPr>
            <w:noProof/>
            <w:webHidden/>
          </w:rPr>
          <w:fldChar w:fldCharType="separate"/>
        </w:r>
        <w:r w:rsidR="00D12D65">
          <w:rPr>
            <w:noProof/>
            <w:webHidden/>
          </w:rPr>
          <w:t>42</w:t>
        </w:r>
        <w:r w:rsidR="00D12D65">
          <w:rPr>
            <w:noProof/>
            <w:webHidden/>
          </w:rPr>
          <w:fldChar w:fldCharType="end"/>
        </w:r>
      </w:hyperlink>
    </w:p>
    <w:p w14:paraId="030C5B37" w14:textId="0B87B143" w:rsidR="00D12D65" w:rsidRDefault="001A16ED">
      <w:pPr>
        <w:pStyle w:val="TOC2"/>
        <w:rPr>
          <w:rFonts w:asciiTheme="minorHAnsi" w:eastAsiaTheme="minorEastAsia" w:hAnsiTheme="minorHAnsi" w:cstheme="minorBidi"/>
          <w:noProof/>
          <w:sz w:val="22"/>
          <w:lang w:val="en-US"/>
        </w:rPr>
      </w:pPr>
      <w:hyperlink w:anchor="_Toc22645410" w:history="1">
        <w:r w:rsidR="00D12D65" w:rsidRPr="000E6CFB">
          <w:rPr>
            <w:rStyle w:val="Hyperlink"/>
            <w:noProof/>
          </w:rPr>
          <w:t>4.2</w:t>
        </w:r>
        <w:r w:rsidR="00D12D65">
          <w:rPr>
            <w:rFonts w:asciiTheme="minorHAnsi" w:eastAsiaTheme="minorEastAsia" w:hAnsiTheme="minorHAnsi" w:cstheme="minorBidi"/>
            <w:noProof/>
            <w:sz w:val="22"/>
            <w:lang w:val="en-US"/>
          </w:rPr>
          <w:tab/>
        </w:r>
        <w:r w:rsidR="00D12D65" w:rsidRPr="000E6CFB">
          <w:rPr>
            <w:rStyle w:val="Hyperlink"/>
            <w:noProof/>
          </w:rPr>
          <w:t>Το Επιχειρησιακό Πρόγραμμα «Ανάπτυξη Ανθρώπινου Δυναμικού Εκπαίδευση και Δια Βίου Μάθηση» (ΕΠ ΑΝΑΔ ΕΔΒΜ)</w:t>
        </w:r>
        <w:r w:rsidR="00D12D65">
          <w:rPr>
            <w:noProof/>
            <w:webHidden/>
          </w:rPr>
          <w:tab/>
        </w:r>
        <w:r w:rsidR="00D12D65">
          <w:rPr>
            <w:noProof/>
            <w:webHidden/>
          </w:rPr>
          <w:fldChar w:fldCharType="begin"/>
        </w:r>
        <w:r w:rsidR="00D12D65">
          <w:rPr>
            <w:noProof/>
            <w:webHidden/>
          </w:rPr>
          <w:instrText xml:space="preserve"> PAGEREF _Toc22645410 \h </w:instrText>
        </w:r>
        <w:r w:rsidR="00D12D65">
          <w:rPr>
            <w:noProof/>
            <w:webHidden/>
          </w:rPr>
        </w:r>
        <w:r w:rsidR="00D12D65">
          <w:rPr>
            <w:noProof/>
            <w:webHidden/>
          </w:rPr>
          <w:fldChar w:fldCharType="separate"/>
        </w:r>
        <w:r w:rsidR="00D12D65">
          <w:rPr>
            <w:noProof/>
            <w:webHidden/>
          </w:rPr>
          <w:t>44</w:t>
        </w:r>
        <w:r w:rsidR="00D12D65">
          <w:rPr>
            <w:noProof/>
            <w:webHidden/>
          </w:rPr>
          <w:fldChar w:fldCharType="end"/>
        </w:r>
      </w:hyperlink>
    </w:p>
    <w:p w14:paraId="0C140A6D" w14:textId="3209A137" w:rsidR="00D12D65" w:rsidRDefault="001A16ED">
      <w:pPr>
        <w:pStyle w:val="TOC2"/>
        <w:rPr>
          <w:rFonts w:asciiTheme="minorHAnsi" w:eastAsiaTheme="minorEastAsia" w:hAnsiTheme="minorHAnsi" w:cstheme="minorBidi"/>
          <w:noProof/>
          <w:sz w:val="22"/>
          <w:lang w:val="en-US"/>
        </w:rPr>
      </w:pPr>
      <w:hyperlink w:anchor="_Toc22645411" w:history="1">
        <w:r w:rsidR="00D12D65" w:rsidRPr="000E6CFB">
          <w:rPr>
            <w:rStyle w:val="Hyperlink"/>
            <w:noProof/>
          </w:rPr>
          <w:t>4.3</w:t>
        </w:r>
        <w:r w:rsidR="00D12D65">
          <w:rPr>
            <w:rFonts w:asciiTheme="minorHAnsi" w:eastAsiaTheme="minorEastAsia" w:hAnsiTheme="minorHAnsi" w:cstheme="minorBidi"/>
            <w:noProof/>
            <w:sz w:val="22"/>
            <w:lang w:val="en-US"/>
          </w:rPr>
          <w:tab/>
        </w:r>
        <w:r w:rsidR="00D12D65" w:rsidRPr="000E6CFB">
          <w:rPr>
            <w:rStyle w:val="Hyperlink"/>
            <w:noProof/>
          </w:rPr>
          <w:t>Το πρόγραμμα LIFE</w:t>
        </w:r>
        <w:r w:rsidR="00D12D65">
          <w:rPr>
            <w:noProof/>
            <w:webHidden/>
          </w:rPr>
          <w:tab/>
        </w:r>
        <w:r w:rsidR="00D12D65">
          <w:rPr>
            <w:noProof/>
            <w:webHidden/>
          </w:rPr>
          <w:fldChar w:fldCharType="begin"/>
        </w:r>
        <w:r w:rsidR="00D12D65">
          <w:rPr>
            <w:noProof/>
            <w:webHidden/>
          </w:rPr>
          <w:instrText xml:space="preserve"> PAGEREF _Toc22645411 \h </w:instrText>
        </w:r>
        <w:r w:rsidR="00D12D65">
          <w:rPr>
            <w:noProof/>
            <w:webHidden/>
          </w:rPr>
        </w:r>
        <w:r w:rsidR="00D12D65">
          <w:rPr>
            <w:noProof/>
            <w:webHidden/>
          </w:rPr>
          <w:fldChar w:fldCharType="separate"/>
        </w:r>
        <w:r w:rsidR="00D12D65">
          <w:rPr>
            <w:noProof/>
            <w:webHidden/>
          </w:rPr>
          <w:t>46</w:t>
        </w:r>
        <w:r w:rsidR="00D12D65">
          <w:rPr>
            <w:noProof/>
            <w:webHidden/>
          </w:rPr>
          <w:fldChar w:fldCharType="end"/>
        </w:r>
      </w:hyperlink>
    </w:p>
    <w:p w14:paraId="77E0A8FA" w14:textId="487522A1" w:rsidR="00D12D65" w:rsidRDefault="001A16ED">
      <w:pPr>
        <w:pStyle w:val="TOC2"/>
        <w:rPr>
          <w:rFonts w:asciiTheme="minorHAnsi" w:eastAsiaTheme="minorEastAsia" w:hAnsiTheme="minorHAnsi" w:cstheme="minorBidi"/>
          <w:noProof/>
          <w:sz w:val="22"/>
          <w:lang w:val="en-US"/>
        </w:rPr>
      </w:pPr>
      <w:hyperlink w:anchor="_Toc22645412" w:history="1">
        <w:r w:rsidR="00D12D65" w:rsidRPr="000E6CFB">
          <w:rPr>
            <w:rStyle w:val="Hyperlink"/>
            <w:noProof/>
          </w:rPr>
          <w:t>4.4</w:t>
        </w:r>
        <w:r w:rsidR="00D12D65">
          <w:rPr>
            <w:rFonts w:asciiTheme="minorHAnsi" w:eastAsiaTheme="minorEastAsia" w:hAnsiTheme="minorHAnsi" w:cstheme="minorBidi"/>
            <w:noProof/>
            <w:sz w:val="22"/>
            <w:lang w:val="en-US"/>
          </w:rPr>
          <w:tab/>
        </w:r>
        <w:r w:rsidR="00D12D65" w:rsidRPr="000E6CFB">
          <w:rPr>
            <w:rStyle w:val="Hyperlink"/>
            <w:noProof/>
          </w:rPr>
          <w:t>Το πρόγραμμα URBACT</w:t>
        </w:r>
        <w:r w:rsidR="00D12D65">
          <w:rPr>
            <w:noProof/>
            <w:webHidden/>
          </w:rPr>
          <w:tab/>
        </w:r>
        <w:r w:rsidR="00D12D65">
          <w:rPr>
            <w:noProof/>
            <w:webHidden/>
          </w:rPr>
          <w:fldChar w:fldCharType="begin"/>
        </w:r>
        <w:r w:rsidR="00D12D65">
          <w:rPr>
            <w:noProof/>
            <w:webHidden/>
          </w:rPr>
          <w:instrText xml:space="preserve"> PAGEREF _Toc22645412 \h </w:instrText>
        </w:r>
        <w:r w:rsidR="00D12D65">
          <w:rPr>
            <w:noProof/>
            <w:webHidden/>
          </w:rPr>
        </w:r>
        <w:r w:rsidR="00D12D65">
          <w:rPr>
            <w:noProof/>
            <w:webHidden/>
          </w:rPr>
          <w:fldChar w:fldCharType="separate"/>
        </w:r>
        <w:r w:rsidR="00D12D65">
          <w:rPr>
            <w:noProof/>
            <w:webHidden/>
          </w:rPr>
          <w:t>48</w:t>
        </w:r>
        <w:r w:rsidR="00D12D65">
          <w:rPr>
            <w:noProof/>
            <w:webHidden/>
          </w:rPr>
          <w:fldChar w:fldCharType="end"/>
        </w:r>
      </w:hyperlink>
    </w:p>
    <w:p w14:paraId="00BF6431" w14:textId="33D81CF8"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13" w:history="1">
        <w:r w:rsidR="00D12D65" w:rsidRPr="000E6CFB">
          <w:rPr>
            <w:rStyle w:val="Hyperlink"/>
            <w:noProof/>
          </w:rPr>
          <w:t>5.</w:t>
        </w:r>
        <w:r w:rsidR="00D12D65">
          <w:rPr>
            <w:rFonts w:asciiTheme="minorHAnsi" w:eastAsiaTheme="minorEastAsia" w:hAnsiTheme="minorHAnsi" w:cstheme="minorBidi"/>
            <w:b w:val="0"/>
            <w:noProof/>
            <w:sz w:val="22"/>
            <w:lang w:val="en-US"/>
          </w:rPr>
          <w:tab/>
        </w:r>
        <w:r w:rsidR="00D12D65" w:rsidRPr="000E6CFB">
          <w:rPr>
            <w:rStyle w:val="Hyperlink"/>
            <w:noProof/>
          </w:rPr>
          <w:t>Μεθοδολογία επιλογής δεικτών παρακολούθησης</w:t>
        </w:r>
        <w:r w:rsidR="00D12D65">
          <w:rPr>
            <w:noProof/>
            <w:webHidden/>
          </w:rPr>
          <w:tab/>
        </w:r>
        <w:r w:rsidR="00D12D65">
          <w:rPr>
            <w:noProof/>
            <w:webHidden/>
          </w:rPr>
          <w:fldChar w:fldCharType="begin"/>
        </w:r>
        <w:r w:rsidR="00D12D65">
          <w:rPr>
            <w:noProof/>
            <w:webHidden/>
          </w:rPr>
          <w:instrText xml:space="preserve"> PAGEREF _Toc22645413 \h </w:instrText>
        </w:r>
        <w:r w:rsidR="00D12D65">
          <w:rPr>
            <w:noProof/>
            <w:webHidden/>
          </w:rPr>
        </w:r>
        <w:r w:rsidR="00D12D65">
          <w:rPr>
            <w:noProof/>
            <w:webHidden/>
          </w:rPr>
          <w:fldChar w:fldCharType="separate"/>
        </w:r>
        <w:r w:rsidR="00D12D65">
          <w:rPr>
            <w:noProof/>
            <w:webHidden/>
          </w:rPr>
          <w:t>48</w:t>
        </w:r>
        <w:r w:rsidR="00D12D65">
          <w:rPr>
            <w:noProof/>
            <w:webHidden/>
          </w:rPr>
          <w:fldChar w:fldCharType="end"/>
        </w:r>
      </w:hyperlink>
    </w:p>
    <w:p w14:paraId="49736D37" w14:textId="20A32001"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14" w:history="1">
        <w:r w:rsidR="00D12D65" w:rsidRPr="000E6CFB">
          <w:rPr>
            <w:rStyle w:val="Hyperlink"/>
            <w:noProof/>
          </w:rPr>
          <w:t>6.</w:t>
        </w:r>
        <w:r w:rsidR="00D12D65">
          <w:rPr>
            <w:rFonts w:asciiTheme="minorHAnsi" w:eastAsiaTheme="minorEastAsia" w:hAnsiTheme="minorHAnsi" w:cstheme="minorBidi"/>
            <w:b w:val="0"/>
            <w:noProof/>
            <w:sz w:val="22"/>
            <w:lang w:val="en-US"/>
          </w:rPr>
          <w:tab/>
        </w:r>
        <w:r w:rsidR="00D12D65" w:rsidRPr="000E6CFB">
          <w:rPr>
            <w:rStyle w:val="Hyperlink"/>
            <w:noProof/>
          </w:rPr>
          <w:t>Δείκτες Εκροής Στρατηγικής</w:t>
        </w:r>
        <w:r w:rsidR="00D12D65">
          <w:rPr>
            <w:noProof/>
            <w:webHidden/>
          </w:rPr>
          <w:tab/>
        </w:r>
        <w:r w:rsidR="00D12D65">
          <w:rPr>
            <w:noProof/>
            <w:webHidden/>
          </w:rPr>
          <w:fldChar w:fldCharType="begin"/>
        </w:r>
        <w:r w:rsidR="00D12D65">
          <w:rPr>
            <w:noProof/>
            <w:webHidden/>
          </w:rPr>
          <w:instrText xml:space="preserve"> PAGEREF _Toc22645414 \h </w:instrText>
        </w:r>
        <w:r w:rsidR="00D12D65">
          <w:rPr>
            <w:noProof/>
            <w:webHidden/>
          </w:rPr>
        </w:r>
        <w:r w:rsidR="00D12D65">
          <w:rPr>
            <w:noProof/>
            <w:webHidden/>
          </w:rPr>
          <w:fldChar w:fldCharType="separate"/>
        </w:r>
        <w:r w:rsidR="00D12D65">
          <w:rPr>
            <w:noProof/>
            <w:webHidden/>
          </w:rPr>
          <w:t>49</w:t>
        </w:r>
        <w:r w:rsidR="00D12D65">
          <w:rPr>
            <w:noProof/>
            <w:webHidden/>
          </w:rPr>
          <w:fldChar w:fldCharType="end"/>
        </w:r>
      </w:hyperlink>
    </w:p>
    <w:p w14:paraId="6C31A069" w14:textId="37964CB5" w:rsidR="00D12D65" w:rsidRDefault="001A16ED">
      <w:pPr>
        <w:pStyle w:val="TOC2"/>
        <w:rPr>
          <w:rFonts w:asciiTheme="minorHAnsi" w:eastAsiaTheme="minorEastAsia" w:hAnsiTheme="minorHAnsi" w:cstheme="minorBidi"/>
          <w:noProof/>
          <w:sz w:val="22"/>
          <w:lang w:val="en-US"/>
        </w:rPr>
      </w:pPr>
      <w:hyperlink w:anchor="_Toc22645415" w:history="1">
        <w:r w:rsidR="00D12D65" w:rsidRPr="000E6CFB">
          <w:rPr>
            <w:rStyle w:val="Hyperlink"/>
            <w:noProof/>
          </w:rPr>
          <w:t>6.1</w:t>
        </w:r>
        <w:r w:rsidR="00D12D65">
          <w:rPr>
            <w:rFonts w:asciiTheme="minorHAnsi" w:eastAsiaTheme="minorEastAsia" w:hAnsiTheme="minorHAnsi" w:cstheme="minorBidi"/>
            <w:noProof/>
            <w:sz w:val="22"/>
            <w:lang w:val="en-US"/>
          </w:rPr>
          <w:tab/>
        </w:r>
        <w:r w:rsidR="00D12D65" w:rsidRPr="000E6CFB">
          <w:rPr>
            <w:rStyle w:val="Hyperlink"/>
            <w:noProof/>
          </w:rPr>
          <w:t>Γενικές Παρατηρήσεις</w:t>
        </w:r>
        <w:r w:rsidR="00D12D65">
          <w:rPr>
            <w:noProof/>
            <w:webHidden/>
          </w:rPr>
          <w:tab/>
        </w:r>
        <w:r w:rsidR="00D12D65">
          <w:rPr>
            <w:noProof/>
            <w:webHidden/>
          </w:rPr>
          <w:fldChar w:fldCharType="begin"/>
        </w:r>
        <w:r w:rsidR="00D12D65">
          <w:rPr>
            <w:noProof/>
            <w:webHidden/>
          </w:rPr>
          <w:instrText xml:space="preserve"> PAGEREF _Toc22645415 \h </w:instrText>
        </w:r>
        <w:r w:rsidR="00D12D65">
          <w:rPr>
            <w:noProof/>
            <w:webHidden/>
          </w:rPr>
        </w:r>
        <w:r w:rsidR="00D12D65">
          <w:rPr>
            <w:noProof/>
            <w:webHidden/>
          </w:rPr>
          <w:fldChar w:fldCharType="separate"/>
        </w:r>
        <w:r w:rsidR="00D12D65">
          <w:rPr>
            <w:noProof/>
            <w:webHidden/>
          </w:rPr>
          <w:t>49</w:t>
        </w:r>
        <w:r w:rsidR="00D12D65">
          <w:rPr>
            <w:noProof/>
            <w:webHidden/>
          </w:rPr>
          <w:fldChar w:fldCharType="end"/>
        </w:r>
      </w:hyperlink>
    </w:p>
    <w:p w14:paraId="46E3C1BF" w14:textId="585FF186" w:rsidR="00D12D65" w:rsidRDefault="001A16ED">
      <w:pPr>
        <w:pStyle w:val="TOC2"/>
        <w:rPr>
          <w:rFonts w:asciiTheme="minorHAnsi" w:eastAsiaTheme="minorEastAsia" w:hAnsiTheme="minorHAnsi" w:cstheme="minorBidi"/>
          <w:noProof/>
          <w:sz w:val="22"/>
          <w:lang w:val="en-US"/>
        </w:rPr>
      </w:pPr>
      <w:hyperlink w:anchor="_Toc22645416" w:history="1">
        <w:r w:rsidR="00D12D65" w:rsidRPr="000E6CFB">
          <w:rPr>
            <w:rStyle w:val="Hyperlink"/>
            <w:noProof/>
          </w:rPr>
          <w:t>6.2</w:t>
        </w:r>
        <w:r w:rsidR="00D12D65">
          <w:rPr>
            <w:rFonts w:asciiTheme="minorHAnsi" w:eastAsiaTheme="minorEastAsia" w:hAnsiTheme="minorHAnsi" w:cstheme="minorBidi"/>
            <w:noProof/>
            <w:sz w:val="22"/>
            <w:lang w:val="en-US"/>
          </w:rPr>
          <w:tab/>
        </w:r>
        <w:r w:rsidR="00D12D65" w:rsidRPr="000E6CFB">
          <w:rPr>
            <w:rStyle w:val="Hyperlink"/>
            <w:noProof/>
          </w:rPr>
          <w:t>Τιμές στόχοι δεικτών</w:t>
        </w:r>
        <w:r w:rsidR="00D12D65">
          <w:rPr>
            <w:noProof/>
            <w:webHidden/>
          </w:rPr>
          <w:tab/>
        </w:r>
        <w:r w:rsidR="00D12D65">
          <w:rPr>
            <w:noProof/>
            <w:webHidden/>
          </w:rPr>
          <w:fldChar w:fldCharType="begin"/>
        </w:r>
        <w:r w:rsidR="00D12D65">
          <w:rPr>
            <w:noProof/>
            <w:webHidden/>
          </w:rPr>
          <w:instrText xml:space="preserve"> PAGEREF _Toc22645416 \h </w:instrText>
        </w:r>
        <w:r w:rsidR="00D12D65">
          <w:rPr>
            <w:noProof/>
            <w:webHidden/>
          </w:rPr>
        </w:r>
        <w:r w:rsidR="00D12D65">
          <w:rPr>
            <w:noProof/>
            <w:webHidden/>
          </w:rPr>
          <w:fldChar w:fldCharType="separate"/>
        </w:r>
        <w:r w:rsidR="00D12D65">
          <w:rPr>
            <w:noProof/>
            <w:webHidden/>
          </w:rPr>
          <w:t>51</w:t>
        </w:r>
        <w:r w:rsidR="00D12D65">
          <w:rPr>
            <w:noProof/>
            <w:webHidden/>
          </w:rPr>
          <w:fldChar w:fldCharType="end"/>
        </w:r>
      </w:hyperlink>
    </w:p>
    <w:p w14:paraId="2A8CA1EB" w14:textId="0143BAD3" w:rsidR="00D12D65" w:rsidRDefault="001A16ED">
      <w:pPr>
        <w:pStyle w:val="TOC2"/>
        <w:rPr>
          <w:rFonts w:asciiTheme="minorHAnsi" w:eastAsiaTheme="minorEastAsia" w:hAnsiTheme="minorHAnsi" w:cstheme="minorBidi"/>
          <w:noProof/>
          <w:sz w:val="22"/>
          <w:lang w:val="en-US"/>
        </w:rPr>
      </w:pPr>
      <w:hyperlink w:anchor="_Toc22645417" w:history="1">
        <w:r w:rsidR="00D12D65" w:rsidRPr="000E6CFB">
          <w:rPr>
            <w:rStyle w:val="Hyperlink"/>
            <w:noProof/>
          </w:rPr>
          <w:t>6.3</w:t>
        </w:r>
        <w:r w:rsidR="00D12D65">
          <w:rPr>
            <w:rFonts w:asciiTheme="minorHAnsi" w:eastAsiaTheme="minorEastAsia" w:hAnsiTheme="minorHAnsi" w:cstheme="minorBidi"/>
            <w:noProof/>
            <w:sz w:val="22"/>
            <w:lang w:val="en-US"/>
          </w:rPr>
          <w:tab/>
        </w:r>
        <w:r w:rsidR="00D12D65" w:rsidRPr="000E6CFB">
          <w:rPr>
            <w:rStyle w:val="Hyperlink"/>
            <w:noProof/>
          </w:rPr>
          <w:t>Βαθμός κάλυψης δεικτών</w:t>
        </w:r>
        <w:r w:rsidR="00D12D65">
          <w:rPr>
            <w:noProof/>
            <w:webHidden/>
          </w:rPr>
          <w:tab/>
        </w:r>
        <w:r w:rsidR="00D12D65">
          <w:rPr>
            <w:noProof/>
            <w:webHidden/>
          </w:rPr>
          <w:fldChar w:fldCharType="begin"/>
        </w:r>
        <w:r w:rsidR="00D12D65">
          <w:rPr>
            <w:noProof/>
            <w:webHidden/>
          </w:rPr>
          <w:instrText xml:space="preserve"> PAGEREF _Toc22645417 \h </w:instrText>
        </w:r>
        <w:r w:rsidR="00D12D65">
          <w:rPr>
            <w:noProof/>
            <w:webHidden/>
          </w:rPr>
        </w:r>
        <w:r w:rsidR="00D12D65">
          <w:rPr>
            <w:noProof/>
            <w:webHidden/>
          </w:rPr>
          <w:fldChar w:fldCharType="separate"/>
        </w:r>
        <w:r w:rsidR="00D12D65">
          <w:rPr>
            <w:noProof/>
            <w:webHidden/>
          </w:rPr>
          <w:t>57</w:t>
        </w:r>
        <w:r w:rsidR="00D12D65">
          <w:rPr>
            <w:noProof/>
            <w:webHidden/>
          </w:rPr>
          <w:fldChar w:fldCharType="end"/>
        </w:r>
      </w:hyperlink>
    </w:p>
    <w:p w14:paraId="702C6C91" w14:textId="3316C681"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18" w:history="1">
        <w:r w:rsidR="00D12D65" w:rsidRPr="000E6CFB">
          <w:rPr>
            <w:rStyle w:val="Hyperlink"/>
            <w:noProof/>
          </w:rPr>
          <w:t>7.</w:t>
        </w:r>
        <w:r w:rsidR="00D12D65">
          <w:rPr>
            <w:rFonts w:asciiTheme="minorHAnsi" w:eastAsiaTheme="minorEastAsia" w:hAnsiTheme="minorHAnsi" w:cstheme="minorBidi"/>
            <w:b w:val="0"/>
            <w:noProof/>
            <w:sz w:val="22"/>
            <w:lang w:val="en-US"/>
          </w:rPr>
          <w:tab/>
        </w:r>
        <w:r w:rsidR="00D12D65" w:rsidRPr="000E6CFB">
          <w:rPr>
            <w:rStyle w:val="Hyperlink"/>
            <w:noProof/>
          </w:rPr>
          <w:t>Δείκτες αποτελέσματος Στρατηγικής</w:t>
        </w:r>
        <w:r w:rsidR="00D12D65">
          <w:rPr>
            <w:noProof/>
            <w:webHidden/>
          </w:rPr>
          <w:tab/>
        </w:r>
        <w:r w:rsidR="00D12D65">
          <w:rPr>
            <w:noProof/>
            <w:webHidden/>
          </w:rPr>
          <w:fldChar w:fldCharType="begin"/>
        </w:r>
        <w:r w:rsidR="00D12D65">
          <w:rPr>
            <w:noProof/>
            <w:webHidden/>
          </w:rPr>
          <w:instrText xml:space="preserve"> PAGEREF _Toc22645418 \h </w:instrText>
        </w:r>
        <w:r w:rsidR="00D12D65">
          <w:rPr>
            <w:noProof/>
            <w:webHidden/>
          </w:rPr>
        </w:r>
        <w:r w:rsidR="00D12D65">
          <w:rPr>
            <w:noProof/>
            <w:webHidden/>
          </w:rPr>
          <w:fldChar w:fldCharType="separate"/>
        </w:r>
        <w:r w:rsidR="00D12D65">
          <w:rPr>
            <w:noProof/>
            <w:webHidden/>
          </w:rPr>
          <w:t>59</w:t>
        </w:r>
        <w:r w:rsidR="00D12D65">
          <w:rPr>
            <w:noProof/>
            <w:webHidden/>
          </w:rPr>
          <w:fldChar w:fldCharType="end"/>
        </w:r>
      </w:hyperlink>
    </w:p>
    <w:p w14:paraId="734DD95B" w14:textId="7A64B7BC"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19" w:history="1">
        <w:r w:rsidR="00D12D65" w:rsidRPr="000E6CFB">
          <w:rPr>
            <w:rStyle w:val="Hyperlink"/>
            <w:noProof/>
          </w:rPr>
          <w:t>8.</w:t>
        </w:r>
        <w:r w:rsidR="00D12D65">
          <w:rPr>
            <w:rFonts w:asciiTheme="minorHAnsi" w:eastAsiaTheme="minorEastAsia" w:hAnsiTheme="minorHAnsi" w:cstheme="minorBidi"/>
            <w:b w:val="0"/>
            <w:noProof/>
            <w:sz w:val="22"/>
            <w:lang w:val="en-US"/>
          </w:rPr>
          <w:tab/>
        </w:r>
        <w:r w:rsidR="00D12D65" w:rsidRPr="000E6CFB">
          <w:rPr>
            <w:rStyle w:val="Hyperlink"/>
            <w:noProof/>
          </w:rPr>
          <w:t xml:space="preserve">Δείκτες </w:t>
        </w:r>
        <w:r w:rsidR="00D12D65" w:rsidRPr="000E6CFB">
          <w:rPr>
            <w:rStyle w:val="Hyperlink"/>
            <w:noProof/>
            <w:lang w:val="en-US"/>
          </w:rPr>
          <w:t xml:space="preserve">IUS </w:t>
        </w:r>
        <w:r w:rsidR="00D12D65" w:rsidRPr="000E6CFB">
          <w:rPr>
            <w:rStyle w:val="Hyperlink"/>
            <w:noProof/>
          </w:rPr>
          <w:t>Στρατηγικής</w:t>
        </w:r>
        <w:r w:rsidR="00D12D65">
          <w:rPr>
            <w:noProof/>
            <w:webHidden/>
          </w:rPr>
          <w:tab/>
        </w:r>
        <w:r w:rsidR="00D12D65">
          <w:rPr>
            <w:noProof/>
            <w:webHidden/>
          </w:rPr>
          <w:fldChar w:fldCharType="begin"/>
        </w:r>
        <w:r w:rsidR="00D12D65">
          <w:rPr>
            <w:noProof/>
            <w:webHidden/>
          </w:rPr>
          <w:instrText xml:space="preserve"> PAGEREF _Toc22645419 \h </w:instrText>
        </w:r>
        <w:r w:rsidR="00D12D65">
          <w:rPr>
            <w:noProof/>
            <w:webHidden/>
          </w:rPr>
        </w:r>
        <w:r w:rsidR="00D12D65">
          <w:rPr>
            <w:noProof/>
            <w:webHidden/>
          </w:rPr>
          <w:fldChar w:fldCharType="separate"/>
        </w:r>
        <w:r w:rsidR="00D12D65">
          <w:rPr>
            <w:noProof/>
            <w:webHidden/>
          </w:rPr>
          <w:t>61</w:t>
        </w:r>
        <w:r w:rsidR="00D12D65">
          <w:rPr>
            <w:noProof/>
            <w:webHidden/>
          </w:rPr>
          <w:fldChar w:fldCharType="end"/>
        </w:r>
      </w:hyperlink>
    </w:p>
    <w:p w14:paraId="0C985A71" w14:textId="63D49421"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20" w:history="1">
        <w:r w:rsidR="00D12D65" w:rsidRPr="000E6CFB">
          <w:rPr>
            <w:rStyle w:val="Hyperlink"/>
            <w:noProof/>
          </w:rPr>
          <w:t>9.</w:t>
        </w:r>
        <w:r w:rsidR="00D12D65">
          <w:rPr>
            <w:rFonts w:asciiTheme="minorHAnsi" w:eastAsiaTheme="minorEastAsia" w:hAnsiTheme="minorHAnsi" w:cstheme="minorBidi"/>
            <w:b w:val="0"/>
            <w:noProof/>
            <w:sz w:val="22"/>
            <w:lang w:val="en-US"/>
          </w:rPr>
          <w:tab/>
        </w:r>
        <w:r w:rsidR="00D12D65" w:rsidRPr="000E6CFB">
          <w:rPr>
            <w:rStyle w:val="Hyperlink"/>
            <w:noProof/>
          </w:rPr>
          <w:t>Κύριες προκλήσεις και τρόποι αντιμετώπισης</w:t>
        </w:r>
        <w:r w:rsidR="00D12D65">
          <w:rPr>
            <w:noProof/>
            <w:webHidden/>
          </w:rPr>
          <w:tab/>
        </w:r>
        <w:r w:rsidR="00D12D65">
          <w:rPr>
            <w:noProof/>
            <w:webHidden/>
          </w:rPr>
          <w:fldChar w:fldCharType="begin"/>
        </w:r>
        <w:r w:rsidR="00D12D65">
          <w:rPr>
            <w:noProof/>
            <w:webHidden/>
          </w:rPr>
          <w:instrText xml:space="preserve"> PAGEREF _Toc22645420 \h </w:instrText>
        </w:r>
        <w:r w:rsidR="00D12D65">
          <w:rPr>
            <w:noProof/>
            <w:webHidden/>
          </w:rPr>
        </w:r>
        <w:r w:rsidR="00D12D65">
          <w:rPr>
            <w:noProof/>
            <w:webHidden/>
          </w:rPr>
          <w:fldChar w:fldCharType="separate"/>
        </w:r>
        <w:r w:rsidR="00D12D65">
          <w:rPr>
            <w:noProof/>
            <w:webHidden/>
          </w:rPr>
          <w:t>65</w:t>
        </w:r>
        <w:r w:rsidR="00D12D65">
          <w:rPr>
            <w:noProof/>
            <w:webHidden/>
          </w:rPr>
          <w:fldChar w:fldCharType="end"/>
        </w:r>
      </w:hyperlink>
    </w:p>
    <w:p w14:paraId="4BD2678F" w14:textId="3FCCCED6" w:rsidR="00D12D65" w:rsidRDefault="001A16ED">
      <w:pPr>
        <w:pStyle w:val="TOC1"/>
        <w:tabs>
          <w:tab w:val="left" w:pos="540"/>
          <w:tab w:val="right" w:leader="dot" w:pos="9403"/>
        </w:tabs>
        <w:rPr>
          <w:rFonts w:asciiTheme="minorHAnsi" w:eastAsiaTheme="minorEastAsia" w:hAnsiTheme="minorHAnsi" w:cstheme="minorBidi"/>
          <w:b w:val="0"/>
          <w:noProof/>
          <w:sz w:val="22"/>
          <w:lang w:val="en-US"/>
        </w:rPr>
      </w:pPr>
      <w:hyperlink w:anchor="_Toc22645421" w:history="1">
        <w:r w:rsidR="00D12D65" w:rsidRPr="000E6CFB">
          <w:rPr>
            <w:rStyle w:val="Hyperlink"/>
            <w:noProof/>
          </w:rPr>
          <w:t>10.</w:t>
        </w:r>
        <w:r w:rsidR="00D12D65">
          <w:rPr>
            <w:rFonts w:asciiTheme="minorHAnsi" w:eastAsiaTheme="minorEastAsia" w:hAnsiTheme="minorHAnsi" w:cstheme="minorBidi"/>
            <w:b w:val="0"/>
            <w:noProof/>
            <w:sz w:val="22"/>
            <w:lang w:val="en-US"/>
          </w:rPr>
          <w:tab/>
        </w:r>
        <w:r w:rsidR="00D12D65" w:rsidRPr="000E6CFB">
          <w:rPr>
            <w:rStyle w:val="Hyperlink"/>
            <w:noProof/>
          </w:rPr>
          <w:t>ΠΑΡΑΡΤΗΜΑ: Κατάλογος υποβληθεισών προτάσεων, εγκρίσεων και εντάξεων ανά Προτεραιότητα της Δράσης «Ερευνώ, Δημιουργώ, Καινοτομώ (Α’ Κύκλος)</w:t>
        </w:r>
        <w:r w:rsidR="00D12D65">
          <w:rPr>
            <w:noProof/>
            <w:webHidden/>
          </w:rPr>
          <w:tab/>
        </w:r>
        <w:r w:rsidR="00D12D65">
          <w:rPr>
            <w:noProof/>
            <w:webHidden/>
          </w:rPr>
          <w:fldChar w:fldCharType="begin"/>
        </w:r>
        <w:r w:rsidR="00D12D65">
          <w:rPr>
            <w:noProof/>
            <w:webHidden/>
          </w:rPr>
          <w:instrText xml:space="preserve"> PAGEREF _Toc22645421 \h </w:instrText>
        </w:r>
        <w:r w:rsidR="00D12D65">
          <w:rPr>
            <w:noProof/>
            <w:webHidden/>
          </w:rPr>
        </w:r>
        <w:r w:rsidR="00D12D65">
          <w:rPr>
            <w:noProof/>
            <w:webHidden/>
          </w:rPr>
          <w:fldChar w:fldCharType="separate"/>
        </w:r>
        <w:r w:rsidR="00D12D65">
          <w:rPr>
            <w:noProof/>
            <w:webHidden/>
          </w:rPr>
          <w:t>71</w:t>
        </w:r>
        <w:r w:rsidR="00D12D65">
          <w:rPr>
            <w:noProof/>
            <w:webHidden/>
          </w:rPr>
          <w:fldChar w:fldCharType="end"/>
        </w:r>
      </w:hyperlink>
    </w:p>
    <w:p w14:paraId="5039AD00" w14:textId="2C4B0ACA" w:rsidR="008E5875" w:rsidRDefault="008E5875" w:rsidP="008E5875">
      <w:pPr>
        <w:rPr>
          <w:lang w:val="en-US"/>
        </w:rPr>
      </w:pPr>
      <w:r w:rsidRPr="00BD3DED">
        <w:rPr>
          <w:sz w:val="16"/>
          <w:szCs w:val="16"/>
        </w:rPr>
        <w:fldChar w:fldCharType="end"/>
      </w:r>
      <w:r w:rsidRPr="00855482">
        <w:rPr>
          <w:b/>
          <w:sz w:val="22"/>
          <w:lang w:val="en-US"/>
        </w:rPr>
        <w:br w:type="page"/>
      </w:r>
      <w:r w:rsidR="002760D9">
        <w:rPr>
          <w:lang w:val="en-US"/>
        </w:rPr>
        <w:lastRenderedPageBreak/>
        <w:t xml:space="preserve"> </w:t>
      </w:r>
    </w:p>
    <w:p w14:paraId="4FAEB576" w14:textId="77777777" w:rsidR="002E2DC0" w:rsidRDefault="002E2DC0" w:rsidP="002E2DC0">
      <w:pPr>
        <w:pStyle w:val="Heading1"/>
      </w:pPr>
      <w:bookmarkStart w:id="0" w:name="_Toc14788144"/>
      <w:bookmarkStart w:id="1" w:name="_Toc22645391"/>
      <w:r>
        <w:t>Εισαγωγή</w:t>
      </w:r>
      <w:bookmarkEnd w:id="0"/>
      <w:bookmarkEnd w:id="1"/>
      <w:r>
        <w:t xml:space="preserve"> </w:t>
      </w:r>
    </w:p>
    <w:p w14:paraId="7C744F3F" w14:textId="11DF6971" w:rsidR="002E2DC0" w:rsidRPr="00191F77" w:rsidRDefault="002E2DC0" w:rsidP="002E2DC0">
      <w:pPr>
        <w:pStyle w:val="BodyText"/>
        <w:spacing w:before="20" w:line="256" w:lineRule="auto"/>
        <w:ind w:left="130" w:right="130" w:hanging="9"/>
        <w:rPr>
          <w:color w:val="4F4F4F"/>
        </w:rPr>
      </w:pPr>
      <w:r w:rsidRPr="00191F77">
        <w:rPr>
          <w:color w:val="4F4F4F"/>
        </w:rPr>
        <w:t>Το παρόν Παραδοτέο «</w:t>
      </w:r>
      <w:r>
        <w:rPr>
          <w:b/>
          <w:color w:val="4F4F4F"/>
        </w:rPr>
        <w:t>2</w:t>
      </w:r>
      <w:r w:rsidRPr="00191F77">
        <w:rPr>
          <w:b/>
          <w:color w:val="4F4F4F"/>
        </w:rPr>
        <w:t xml:space="preserve">η ΕΚΘΕΣΗ ΠΡΟΟΔΟΥ ΤΗΣ ΕΘΝΙΚΗΣ ΣΤΡΑΤΗΓΙΚΗΣ ΕΞΥΠΝΗΣ ΕΞΕΙΔΙΚΕΥΣΗΣ </w:t>
      </w:r>
      <w:r w:rsidR="001B23E7">
        <w:rPr>
          <w:b/>
          <w:color w:val="4F4F4F"/>
        </w:rPr>
        <w:t>–</w:t>
      </w:r>
      <w:r w:rsidRPr="00191F77">
        <w:rPr>
          <w:b/>
          <w:color w:val="4F4F4F"/>
        </w:rPr>
        <w:t xml:space="preserve"> </w:t>
      </w:r>
      <w:r w:rsidR="001B23E7">
        <w:rPr>
          <w:b/>
          <w:color w:val="4F4F4F"/>
        </w:rPr>
        <w:t>ΕΤΟΣ 2018</w:t>
      </w:r>
      <w:r w:rsidRPr="00191F77">
        <w:rPr>
          <w:b/>
          <w:color w:val="4F4F4F"/>
        </w:rPr>
        <w:t>»</w:t>
      </w:r>
      <w:r w:rsidRPr="00191F77">
        <w:rPr>
          <w:color w:val="4F4F4F"/>
        </w:rPr>
        <w:t xml:space="preserve"> συνιστά συμβατική υποχρέωση της εταιρείας PLANET AE ως αναδόχου του έργου «Παρακολούθηση της προόδου υλοποίησης της Εθνικής Στρατηγικής Έξυπνης Εξειδίκευσης (RIS3) 2014-2020» όπως προκύπτει από την 7/6/2019 σχετική Σύμβαση με τη Γενική Γραμματεία Έρευνας και Τεχνολογίας. </w:t>
      </w:r>
    </w:p>
    <w:p w14:paraId="15112CDC" w14:textId="77777777" w:rsidR="002E2DC0" w:rsidRDefault="002E2DC0" w:rsidP="002E2DC0">
      <w:pPr>
        <w:pStyle w:val="BodyText"/>
        <w:spacing w:before="20" w:line="256" w:lineRule="auto"/>
        <w:ind w:left="130" w:right="130" w:hanging="9"/>
      </w:pPr>
      <w:r>
        <w:rPr>
          <w:color w:val="4F4F4F"/>
        </w:rPr>
        <w:t>Σύμφωνα με τη σχετική Σύμβαση, ο ανάδοχος καλείται να μελετήσει σε βάθος την Εθνική Στρατηγική Έξυπνης Εξειδίκευσης (RIS3) που έχει καταρτίσει η ΓΓΕΤ και να αναδείξει την πρόοδο της υλοποίησής της.</w:t>
      </w:r>
    </w:p>
    <w:p w14:paraId="4EF2A8E5" w14:textId="69EB2BAF" w:rsidR="002E2DC0" w:rsidRDefault="002E2DC0" w:rsidP="002E2DC0">
      <w:pPr>
        <w:pStyle w:val="BodyText"/>
        <w:spacing w:line="254" w:lineRule="auto"/>
        <w:ind w:left="117" w:right="122" w:firstLine="13"/>
      </w:pPr>
      <w:r>
        <w:rPr>
          <w:color w:val="4F4F4F"/>
        </w:rPr>
        <w:t>Για κάθε έτος υλοποίησης συντάσσεται αντίστοιχη Ετήσια Έκθεση Προόδου της RIS3. Η Έκθεση θα περιλαμβάνει τις βασικές πληροφορίες για την υλοποίηση της Στρατηγικής RIS3 και πιο συγκεκριμένα:</w:t>
      </w:r>
    </w:p>
    <w:p w14:paraId="4E464324" w14:textId="7DF7BFE6" w:rsidR="002E2DC0" w:rsidRDefault="002E2DC0" w:rsidP="004F31A9">
      <w:pPr>
        <w:pStyle w:val="BodyText"/>
        <w:spacing w:before="3" w:line="254" w:lineRule="auto"/>
        <w:ind w:left="360" w:right="123" w:hanging="245"/>
      </w:pPr>
      <w:r>
        <w:rPr>
          <w:color w:val="4F4F4F"/>
        </w:rPr>
        <w:t xml:space="preserve">α) Την συνολική πρόοδο που έχει συντελεστεί κατά την εξεταζόμενη χρονική περίοδο όσον αφορά </w:t>
      </w:r>
      <w:r w:rsidR="004F31A9">
        <w:rPr>
          <w:color w:val="4F4F4F"/>
        </w:rPr>
        <w:t>σ</w:t>
      </w:r>
      <w:r>
        <w:rPr>
          <w:color w:val="4F4F4F"/>
        </w:rPr>
        <w:t>την υλοποίηση της Εθνικής RIS3 σε συσχετισμό και με τον σχεδιασμό που είχε εκπονηθεί. Παρουσιάζεται η ανάλυση ανά δράση και τομέα καθώς και τα σημαντικότερα αποτελέσματα που έχουν επιτευχθεί μέχρι την εξεταζόμενη χρονιά. Επισημαίνονται τυχόν αστοχίες, δυσκολίες και προβλήματα που ανέκυψαν κατά την υλοποίηση και προτάσεις για την υπέρβασή</w:t>
      </w:r>
      <w:r>
        <w:rPr>
          <w:color w:val="4F4F4F"/>
          <w:spacing w:val="-28"/>
        </w:rPr>
        <w:t xml:space="preserve"> </w:t>
      </w:r>
      <w:r>
        <w:rPr>
          <w:color w:val="4F4F4F"/>
        </w:rPr>
        <w:t>τους.</w:t>
      </w:r>
    </w:p>
    <w:p w14:paraId="788A8FC5" w14:textId="77777777" w:rsidR="002E2DC0" w:rsidRPr="004F31A9" w:rsidRDefault="002E2DC0" w:rsidP="004F31A9">
      <w:pPr>
        <w:pStyle w:val="BodyText"/>
        <w:spacing w:before="3" w:line="254" w:lineRule="auto"/>
        <w:ind w:left="360" w:right="123" w:hanging="245"/>
        <w:rPr>
          <w:color w:val="4F4F4F"/>
        </w:rPr>
      </w:pPr>
      <w:r>
        <w:rPr>
          <w:color w:val="4F4F4F"/>
        </w:rPr>
        <w:t>β) Τις αλληλεπιδράσεις της Εθνικής RIS3 με άλλες πολιτικές Εθνικές, Περιφερειακές, Ευρωπαϊκές κλπ.</w:t>
      </w:r>
    </w:p>
    <w:p w14:paraId="76BA74A5" w14:textId="13E5E99E" w:rsidR="002E2DC0" w:rsidRPr="004F31A9" w:rsidRDefault="002E2DC0" w:rsidP="004F31A9">
      <w:pPr>
        <w:pStyle w:val="BodyText"/>
        <w:spacing w:before="3" w:line="254" w:lineRule="auto"/>
        <w:ind w:left="360" w:right="123" w:hanging="245"/>
        <w:rPr>
          <w:color w:val="4F4F4F"/>
        </w:rPr>
      </w:pPr>
      <w:r w:rsidRPr="004F31A9">
        <w:rPr>
          <w:color w:val="4F4F4F"/>
        </w:rPr>
        <w:t xml:space="preserve">γ) Την πρόοδο που έχει σημειωθεί όσον αφορά </w:t>
      </w:r>
      <w:r w:rsidR="004F31A9">
        <w:rPr>
          <w:color w:val="4F4F4F"/>
        </w:rPr>
        <w:t>σ</w:t>
      </w:r>
      <w:r w:rsidRPr="004F31A9">
        <w:rPr>
          <w:color w:val="4F4F4F"/>
        </w:rPr>
        <w:t>την επίτευξη των στόχων και των Δεικτών παρακολούθησης της RIS3.</w:t>
      </w:r>
    </w:p>
    <w:p w14:paraId="6A19D659" w14:textId="01590FB2" w:rsidR="002E2DC0" w:rsidRPr="004F31A9" w:rsidRDefault="002E2DC0" w:rsidP="004F31A9">
      <w:pPr>
        <w:pStyle w:val="BodyText"/>
        <w:spacing w:before="3" w:line="254" w:lineRule="auto"/>
        <w:ind w:left="360" w:right="123" w:hanging="245"/>
        <w:rPr>
          <w:color w:val="4F4F4F"/>
        </w:rPr>
      </w:pPr>
      <w:r>
        <w:rPr>
          <w:color w:val="4F4F4F"/>
        </w:rPr>
        <w:t>δ) Προτάσεις για ενδεχόμενες διορθωτικές κινήσεις και επιτάχυνση της υλοποίησης</w:t>
      </w:r>
      <w:r w:rsidR="004F31A9">
        <w:rPr>
          <w:color w:val="4F4F4F"/>
        </w:rPr>
        <w:t xml:space="preserve"> </w:t>
      </w:r>
      <w:r>
        <w:rPr>
          <w:color w:val="4F4F4F"/>
        </w:rPr>
        <w:t>καθώς και συστάσεις σχετικά με την αναθεώρηση της στρατηγικής RIS3.</w:t>
      </w:r>
    </w:p>
    <w:p w14:paraId="7C4110A2" w14:textId="77777777" w:rsidR="002E2DC0" w:rsidRPr="002E2DC0" w:rsidRDefault="002E2DC0" w:rsidP="008E5875"/>
    <w:p w14:paraId="6728242A" w14:textId="77777777" w:rsidR="002E2DC0" w:rsidRPr="002E2DC0" w:rsidRDefault="002E2DC0">
      <w:pPr>
        <w:spacing w:before="0" w:after="160" w:line="259" w:lineRule="auto"/>
        <w:jc w:val="left"/>
      </w:pPr>
      <w:r w:rsidRPr="002E2DC0">
        <w:br w:type="page"/>
      </w:r>
    </w:p>
    <w:p w14:paraId="0A004F47" w14:textId="77777777" w:rsidR="002E2DC0" w:rsidRPr="00246249" w:rsidRDefault="002E2DC0" w:rsidP="008E5875">
      <w:pPr>
        <w:rPr>
          <w:b/>
          <w:sz w:val="22"/>
        </w:rPr>
      </w:pPr>
    </w:p>
    <w:p w14:paraId="48EE1F79" w14:textId="77777777" w:rsidR="00561137" w:rsidRDefault="00BC2D56" w:rsidP="00561137">
      <w:pPr>
        <w:pStyle w:val="Heading1"/>
      </w:pPr>
      <w:bookmarkStart w:id="2" w:name="_Toc22645392"/>
      <w:r>
        <w:t>Β</w:t>
      </w:r>
      <w:r w:rsidR="00561137" w:rsidRPr="00561137">
        <w:t>ασικά σημεία της Στρατηγικής RIS3</w:t>
      </w:r>
      <w:bookmarkEnd w:id="2"/>
    </w:p>
    <w:p w14:paraId="723A4623" w14:textId="77777777" w:rsidR="00C762EE" w:rsidRPr="00C762EE" w:rsidRDefault="00D21C6A" w:rsidP="00D21C6A">
      <w:pPr>
        <w:pStyle w:val="Heading2"/>
      </w:pPr>
      <w:bookmarkStart w:id="3" w:name="_Toc22645393"/>
      <w:r>
        <w:t>Όραμα, σκοπός, δομή</w:t>
      </w:r>
      <w:bookmarkEnd w:id="3"/>
    </w:p>
    <w:p w14:paraId="40A19D1C" w14:textId="77777777" w:rsidR="004E26E5" w:rsidRPr="004E26E5" w:rsidRDefault="004E26E5" w:rsidP="004E26E5">
      <w:r w:rsidRPr="004E26E5">
        <w:t xml:space="preserve">Η Στρατηγική Έξυπνης Εξειδίκευσης </w:t>
      </w:r>
      <w:r w:rsidR="00B51735" w:rsidRPr="004E26E5">
        <w:t xml:space="preserve">(RIS3) </w:t>
      </w:r>
      <w:r w:rsidRPr="004E26E5">
        <w:t xml:space="preserve">εμπνέεται από το όραμα μιας Ελλάδας με προτεραιότητα στον άνθρωπο και στην κοινωνία, με υψηλό επίπεδο ποιότητας ζωής και χαμηλό περιβαλλοντικό αποτύπωμα, με σεβασμό στην πολιτιστική κληρονομιά και την πολιτισμική δημιουργία. </w:t>
      </w:r>
    </w:p>
    <w:p w14:paraId="13150055" w14:textId="77777777" w:rsidR="004E26E5" w:rsidRPr="004E26E5" w:rsidRDefault="004E26E5" w:rsidP="004E26E5">
      <w:r w:rsidRPr="004E26E5">
        <w:t>Σκοπός της στρατηγικής έξυπνης εξειδίκευσης είναι η εστιασμένη παραγωγική ανασυγκρότηση της χώρας με βασικό πυλώνα την έρευνα, την τεχνολογική ανάπτυξη και την καινοτομία για την άμβλυνση των περιφερειακών ανισοτήτων και τη δημιουργία βιώσιμης απασχόλησης με σεβασμό στον άνθρωπο και στην κοινωνία, στο περιβάλλον και στον πολιτισμό. Επίσης, η στρατηγική της έξυπνης εξειδίκευσης αναμένεται να συμβάλλει στη  δημιουργία σταθερών σχέσεων εργασίας και γενικότερα στην διαμόρφωση των κατάλληλων συνθηκών για την αποτελεσματική αξιοποίηση του ανθρώπινου δυναμικού της χώρας.</w:t>
      </w:r>
    </w:p>
    <w:p w14:paraId="27BA8975" w14:textId="77777777" w:rsidR="004E26E5" w:rsidRPr="004E26E5" w:rsidRDefault="004E26E5" w:rsidP="004E26E5">
      <w:r w:rsidRPr="004E26E5">
        <w:t xml:space="preserve">Η ύπαρξη αξιόλογου δυναμικού στον τομέα της έρευνας, τεχνολογικής ανάπτυξης και καινοτομίας παρέχει τις προϋποθέσεις για την πλήρη υποστήριξη του παραγωγικού δυναμικού στη μετάβασή του σε ένα νέο υπόδειγμα με κύρια χαρακτηριστικά την υψηλή εγχώρια προστιθέμενη αξία, την εξωστρέφεια, την αξιοποίηση συνεργειών και την ενίσχυση των παραγωγικών δραστηριοτήτων έντασης γνώσης. Η Ελλάδα διαθέτει ικανό επιστημονικό δυναμικό, υψηλού επιπέδου ερευνητικές δομές και δραστηριότητες, κρίσιμη γεωπολιτική θέση και προϋποθέσεις για υψηλή ποιότητα ζωής. </w:t>
      </w:r>
      <w:r w:rsidRPr="004E26E5">
        <w:rPr>
          <w:lang w:val="en-US"/>
        </w:rPr>
        <w:t>T</w:t>
      </w:r>
      <w:r w:rsidRPr="004E26E5">
        <w:t xml:space="preserve">ο σημαντικότερο κεφάλαιο που διαθέτει η </w:t>
      </w:r>
      <w:r w:rsidR="002B3D16" w:rsidRPr="004E26E5">
        <w:t>χώρα είναι</w:t>
      </w:r>
      <w:r w:rsidRPr="004E26E5">
        <w:t xml:space="preserve"> οι άνθρωποι, το επιστημονικό δυναμικό και ιδιαίτερα οι νέοι επιστήμονες οι οποίοι διαπρέπουν διεθνώς όπως δείχνουν όλοι οι δείκτες αποτίμησης της επιστημονικής ποιότητας. Καθίσταται κρίσιμη η αναστροφή του κλίματος φυγής νέων επιστημόνων στο εξωτερικό,  που παρατηρείται τα τελευταία χρόνια και είναι το αποτέλεσμα ατελέσφορων πολιτικών. Επενδύοντας στην αξιοποίηση του νέου επιστημονικού δυναμικού επιδιώκεται η ενίσχυση της ερευνητικής και καινοτομικής προσπάθειας, με αναβαθμισμένη την αντίστοιχη επένδυση του ιδιωτικού τομέα (που μέχρι σήμερα ήταν ένας εξαιρετικά αδύναμος κρίκος) που μπορεί δυνητικά να λειτουργήσει ως «ατμομηχανή της ανάπτυξης».</w:t>
      </w:r>
    </w:p>
    <w:p w14:paraId="3A381968" w14:textId="22111815" w:rsidR="004E26E5" w:rsidRPr="00561137" w:rsidRDefault="004E26E5" w:rsidP="004E26E5">
      <w:r w:rsidRPr="00561137">
        <w:t xml:space="preserve">Για την υλοποίηση του οράματος, η χώρα έχει θέσει ως στόχο, στο πλαίσιο του Μεσοπρόθεσμου Πλαισίου Δημοσιονομικής Στρατηγικής και του Εθνικού Προγράμματος Μεταρρυθμίσεων, οι επενδύσεις σε έρευνα να </w:t>
      </w:r>
      <w:r w:rsidR="004F31A9">
        <w:t>ανέλθουν</w:t>
      </w:r>
      <w:r w:rsidRPr="00561137">
        <w:t xml:space="preserve"> από το 0,80% του ΑΕΠ το 2013 στο 1,2% το 2020. Αντίστοιχα, η επένδυση στην έρευνα από την πλευρά των επιχειρήσεων προσδοκάται να ανέλθει από 0,27% του ΑΕΠ το 2013 σε περίπου 0,38% του ΑΕΠ το 2020. Η φιλοδοξία είναι στην επικαιροποίηση της </w:t>
      </w:r>
      <w:r w:rsidRPr="00561137">
        <w:rPr>
          <w:lang w:val="en-US"/>
        </w:rPr>
        <w:t>RIS</w:t>
      </w:r>
      <w:r w:rsidRPr="00561137">
        <w:t>3, οι στόχοι αυτοί να αναθεωρηθούν προς τα πάνω.</w:t>
      </w:r>
    </w:p>
    <w:p w14:paraId="153384B3" w14:textId="77777777" w:rsidR="00246249" w:rsidRDefault="00BC2D56" w:rsidP="00BC2D56">
      <w:pPr>
        <w:pStyle w:val="Heading2"/>
      </w:pPr>
      <w:bookmarkStart w:id="4" w:name="_Toc22645394"/>
      <w:r>
        <w:t>Συνοπτική παρουσίαση</w:t>
      </w:r>
      <w:bookmarkEnd w:id="4"/>
      <w:r>
        <w:t xml:space="preserve"> </w:t>
      </w:r>
    </w:p>
    <w:p w14:paraId="7476794D" w14:textId="14588E5C" w:rsidR="0089033F" w:rsidRPr="00B44B51" w:rsidRDefault="0089033F" w:rsidP="0089033F">
      <w:r w:rsidRPr="00A3742F">
        <w:t>Η ΓΓΕΤ, συμβάλλοντας ενεργά στην αναπτυξιακή προσπάθεια της χώρας, πραγματοποίησε μια σειρά από ενέργειες κατά το διάστημα 2014-1</w:t>
      </w:r>
      <w:r w:rsidR="00A3742F" w:rsidRPr="00A3742F">
        <w:t>8</w:t>
      </w:r>
      <w:r w:rsidRPr="00A3742F">
        <w:t>. Συγκεκριμένα προέβη στην εκπλήρωση δύο αιρεσιμοτήτων, οι οποίες ήταν</w:t>
      </w:r>
      <w:r w:rsidRPr="00B44B51">
        <w:t xml:space="preserve"> απαραίτητο να εκπληρωθούν προκειμένου να είναι δυνατή η χρηματοδότηση δράσεων μέσω των νέων επιχειρησιακών προγραμμάτων</w:t>
      </w:r>
      <w:r w:rsidR="00B44B51">
        <w:t xml:space="preserve"> του ΕΣΠΑ</w:t>
      </w:r>
      <w:r w:rsidRPr="00B44B51">
        <w:t>. Οι αιρεσιμότητες που εκπληρώθηκαν από τη ΓΓΕΤ ήταν οι εξής:</w:t>
      </w:r>
    </w:p>
    <w:p w14:paraId="00187A9C" w14:textId="3BE33D89" w:rsidR="0089033F" w:rsidRPr="00B44B51" w:rsidRDefault="0089033F" w:rsidP="00D22350">
      <w:pPr>
        <w:pStyle w:val="ListParagraph"/>
        <w:numPr>
          <w:ilvl w:val="0"/>
          <w:numId w:val="27"/>
        </w:numPr>
        <w:ind w:left="360" w:hanging="360"/>
      </w:pPr>
      <w:r w:rsidRPr="00B44B51">
        <w:t>Η ύπαρξη μιας εθνικής ή περιφερειακής στρατηγικής έξυπνης εξειδίκευσης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p w14:paraId="46245B0F" w14:textId="18E53CFB" w:rsidR="0089033F" w:rsidRPr="00B44B51" w:rsidRDefault="0089033F" w:rsidP="00D22350">
      <w:pPr>
        <w:pStyle w:val="ListParagraph"/>
        <w:numPr>
          <w:ilvl w:val="0"/>
          <w:numId w:val="27"/>
        </w:numPr>
        <w:ind w:left="360" w:hanging="360"/>
      </w:pPr>
      <w:r w:rsidRPr="00B44B51">
        <w:t xml:space="preserve">Η ύπαρξη πολυετούς σχεδίου προϋπολογισμού και ιεράρχησης προτεραιοτήτων για τις υποδομές έρευνας και καινοτομίας.  </w:t>
      </w:r>
    </w:p>
    <w:p w14:paraId="7BC6249D" w14:textId="77777777" w:rsidR="0089033F" w:rsidRPr="004F31A9" w:rsidRDefault="0089033F" w:rsidP="0089033F">
      <w:pPr>
        <w:rPr>
          <w:u w:val="single"/>
        </w:rPr>
      </w:pPr>
      <w:r w:rsidRPr="004F31A9">
        <w:rPr>
          <w:u w:val="single"/>
        </w:rPr>
        <w:t>ΕΘΝΙΚΗ ΣΤΡΑΤΗΓΙΚΗ ΓΙΑ ΤΗΝ ΕΞΥΠΝΗ ΕΞΕΙΔΙΚΕΥΣΗ. ΕΚΠΛΗΡΩΣΗ ΑΙΡΕΣΙΜΟΤΗΤΑΣ</w:t>
      </w:r>
    </w:p>
    <w:p w14:paraId="7B77A486" w14:textId="77777777" w:rsidR="0089033F" w:rsidRPr="00B44B51" w:rsidRDefault="0089033F" w:rsidP="0089033F">
      <w:r w:rsidRPr="00B44B51">
        <w:t xml:space="preserve">Η διαδικασία που ακολούθησε η ΓΓΕΤ για τη διαμόρφωση της Στρατηγικής Έξυπνης Εξειδίκευσης, περιλάμβανε δύο βασικά βήματα. Το πρώτο αφορούσε στη διερευνητική φάση, κατά την οποία πραγματοποιήθηκε ένας κύκλος διαβουλεύσεων, η πραγματοποίηση μιας εκτεταμένης βιβλιογραφικής ανάλυσης, καθώς και η επεξεργασία των πορισμάτων πρόσφατων μελετών στρατηγικής. Οι παραπάνω ενέργειες οδήγησαν στον </w:t>
      </w:r>
      <w:r w:rsidRPr="00B44B51">
        <w:lastRenderedPageBreak/>
        <w:t>εντοπισμό των τομέων εκείνων στους οποίους η έρευνα και η καινοτομία μπορούν να συμβάλουν στην ανάπτυξη σημαντικού ανταγωνιστικού πλεονεκτήματος, ενώ συνυπολογίσθηκε η κρίσιμη μάζα και η αριστεία του ερευνητικού δυναμικού. Οι τομείς αυτοί είναι:</w:t>
      </w:r>
    </w:p>
    <w:p w14:paraId="37EFB4DF" w14:textId="77777777" w:rsidR="0089033F" w:rsidRPr="00B44B51" w:rsidRDefault="0089033F" w:rsidP="00D22350">
      <w:pPr>
        <w:pStyle w:val="ListParagraph"/>
        <w:numPr>
          <w:ilvl w:val="0"/>
          <w:numId w:val="26"/>
        </w:numPr>
      </w:pPr>
      <w:r w:rsidRPr="00B44B51">
        <w:t xml:space="preserve">Αγρο-διατροφή </w:t>
      </w:r>
    </w:p>
    <w:p w14:paraId="01FAA329" w14:textId="77777777" w:rsidR="0089033F" w:rsidRPr="00B44B51" w:rsidRDefault="0089033F" w:rsidP="00D22350">
      <w:pPr>
        <w:pStyle w:val="ListParagraph"/>
        <w:numPr>
          <w:ilvl w:val="0"/>
          <w:numId w:val="26"/>
        </w:numPr>
      </w:pPr>
      <w:r w:rsidRPr="00B44B51">
        <w:t>Βιοεπιστήμες, Υγεία - Φάρμακα,</w:t>
      </w:r>
    </w:p>
    <w:p w14:paraId="07520EB3" w14:textId="77777777" w:rsidR="0089033F" w:rsidRPr="00B44B51" w:rsidRDefault="0089033F" w:rsidP="00D22350">
      <w:pPr>
        <w:pStyle w:val="ListParagraph"/>
        <w:numPr>
          <w:ilvl w:val="0"/>
          <w:numId w:val="26"/>
        </w:numPr>
      </w:pPr>
      <w:r w:rsidRPr="00B44B51">
        <w:t>Τεχνολογίες πληροφορικής και επικοινωνιών</w:t>
      </w:r>
    </w:p>
    <w:p w14:paraId="720AA259" w14:textId="77777777" w:rsidR="0089033F" w:rsidRPr="00B44B51" w:rsidRDefault="0089033F" w:rsidP="00D22350">
      <w:pPr>
        <w:pStyle w:val="ListParagraph"/>
        <w:numPr>
          <w:ilvl w:val="0"/>
          <w:numId w:val="26"/>
        </w:numPr>
      </w:pPr>
      <w:r w:rsidRPr="00B44B51">
        <w:t>Ενέργεια</w:t>
      </w:r>
    </w:p>
    <w:p w14:paraId="1D031F72" w14:textId="77777777" w:rsidR="0089033F" w:rsidRPr="00B44B51" w:rsidRDefault="0089033F" w:rsidP="00D22350">
      <w:pPr>
        <w:pStyle w:val="ListParagraph"/>
        <w:numPr>
          <w:ilvl w:val="0"/>
          <w:numId w:val="26"/>
        </w:numPr>
      </w:pPr>
      <w:r w:rsidRPr="00B44B51">
        <w:t>Περιβάλλον και βιώσιμη ανάπτυξη</w:t>
      </w:r>
    </w:p>
    <w:p w14:paraId="1BDA0AFE" w14:textId="77777777" w:rsidR="0089033F" w:rsidRPr="00B44B51" w:rsidRDefault="0089033F" w:rsidP="00D22350">
      <w:pPr>
        <w:pStyle w:val="ListParagraph"/>
        <w:numPr>
          <w:ilvl w:val="0"/>
          <w:numId w:val="26"/>
        </w:numPr>
      </w:pPr>
      <w:r w:rsidRPr="00B44B51">
        <w:t>Μεταφορές και Εφοδιαστική Αλυσίδα</w:t>
      </w:r>
    </w:p>
    <w:p w14:paraId="16E47D0E" w14:textId="77777777" w:rsidR="0089033F" w:rsidRPr="00B44B51" w:rsidRDefault="0089033F" w:rsidP="00D22350">
      <w:pPr>
        <w:pStyle w:val="ListParagraph"/>
        <w:numPr>
          <w:ilvl w:val="0"/>
          <w:numId w:val="26"/>
        </w:numPr>
      </w:pPr>
      <w:r w:rsidRPr="00B44B51">
        <w:t>Υλικά – κατασκευές</w:t>
      </w:r>
    </w:p>
    <w:p w14:paraId="569E4033" w14:textId="77777777" w:rsidR="0089033F" w:rsidRPr="00B44B51" w:rsidRDefault="0089033F" w:rsidP="00D22350">
      <w:pPr>
        <w:pStyle w:val="ListParagraph"/>
        <w:numPr>
          <w:ilvl w:val="0"/>
          <w:numId w:val="26"/>
        </w:numPr>
      </w:pPr>
      <w:r w:rsidRPr="00B44B51">
        <w:t>Πολιτισμός – Τουρισμός - Δημιουργικές Βιομηχανίες</w:t>
      </w:r>
    </w:p>
    <w:p w14:paraId="1011D4A0" w14:textId="0463F0BD" w:rsidR="0089033F" w:rsidRPr="00B44B51" w:rsidRDefault="0089033F" w:rsidP="0089033F">
      <w:r w:rsidRPr="00B44B51">
        <w:t>Το δεύτερο βήμα περιλάμβανε την εφαρμογή της διαδικασίας της επιχειρηματικής ανακάλυψης, που αφορά στην εξεύρεση  νέων επιχειρηματικών ευκαιριών για την αξιοποίηση της γνώσης και την  ενσωμάτωσή της σε αλυσίδες αξίας. Η διαδικασία αυτή στόχευε στην περαιτέρω εξειδίκευση των παραπάνω τομέων, την ανάδειξη των κρίσιμων ερευνητικών πεδίων/τεχνολογιών (και των κατάλληλων εργαλείων πολιτικής), που πρέπει να περιληφθούν στη στρατηγική, καθώς και την ανάδειξη των συνεργειών μεταξύ των τομέων εξειδίκευσης, με στόχο να επιτευχθεί μεγαλύτερη προστιθέμενη αξία από τις παρεμβάσεις. Για την επίτευξη του στόχου η ΓΓΕΤ ανέπτυξε πλατφόρμες καινοτομίας στους αναδεδειγμένους τομείς προτεραιότητας. Οι πλατφόρμες αυτές αποτέλεσαν και αποτελούν τους βασικούς πυρήνες της διαβούλευσης σε εθνικό επίπεδο, συγκεντρώνοντας εκπροσώπους από τις επιχειρήσεις  του τομέα, τα ερευνητικά κέντρα, τα Πανεπιστήμια, τα Υπουργεία και τις Περιφέρειες και γενικότερα τους φορείς που εμπλέκονται στο σύστημα καινοτομίας του κάθε τομέα. Για κάθε Πλατφόρμα Καινοτομίας ορίσθηκε ολιγομελής Συμβουλευτική Ομάδα η οποία απαρτίζεται από εμπειρογνώμονες με σημαντική δραστηριότητα στον τομέα, προερχόμενους τόσο από τον παραγωγικό</w:t>
      </w:r>
      <w:r w:rsidR="004F31A9">
        <w:t>,</w:t>
      </w:r>
      <w:r w:rsidRPr="00B44B51">
        <w:t xml:space="preserve"> όσο και από τον ερευνητικό χώρο. Για κάθε Πλατφόρμα ορίσθηκε επίσης Συντονιστής, στέλεχος της ΓΓΕΤ ή από τα εποπτευόμενα ερευνητικά κέντρα, με κατάλληλη ειδικότητα. Ο Συντονιστής αναλαμβάνει την οργάνωση, συντονισμό και λειτουργία της πλατφόρμας σε συνεργασία με την Συμβουλευτική Ομάδα του τομέα και την αρμόδια Διεύθυνση/ Τμήμα  Προγραμματισμού της ΓΓΕΤ.</w:t>
      </w:r>
    </w:p>
    <w:p w14:paraId="1716A76A" w14:textId="77777777" w:rsidR="0089033F" w:rsidRPr="004F31A9" w:rsidRDefault="0089033F" w:rsidP="0089033F">
      <w:pPr>
        <w:rPr>
          <w:u w:val="single"/>
        </w:rPr>
      </w:pPr>
      <w:r w:rsidRPr="004F31A9">
        <w:rPr>
          <w:u w:val="single"/>
        </w:rPr>
        <w:t>ΥΠΟΔΟΜΕΣ ΕΡΕΥΝΑΣ ΚΑΙ ΚΑΙΝΟΤΟΜΙΑΣ. ΕΚΠΛΗΡΩΣΗ ΑΙΡΕΣΙΜΟΤΗΤΑΣ 1.2</w:t>
      </w:r>
    </w:p>
    <w:p w14:paraId="5B214434" w14:textId="08BD1184" w:rsidR="0089033F" w:rsidRPr="00B44B51" w:rsidRDefault="0089033F" w:rsidP="0089033F">
      <w:r w:rsidRPr="00B44B51">
        <w:t>Από το 2012, η ΓΓΕΤ, στο πλαίσιο διαμόρφωσης Εθνικής Στρατηγικής για την Έρευνα και Καινοτομία, προχώρησε στον σχεδιασμό Εθνικού Οδικού Χάρτη Ερευνητικών Υποδομών. Τον Δεκέμβριο του 2014, η ΓΓΕΤ μετά από διαβουλεύσεις με τους  ενδιαφερόμενους φορείς εξέδωσε τον Εθνικό Οδικό Χάρτη των Ερευνητικών Υποδομών, με 26 υποδομές. Για την αποδοχή του Ο</w:t>
      </w:r>
      <w:r w:rsidR="004F31A9">
        <w:t xml:space="preserve">δικού </w:t>
      </w:r>
      <w:r w:rsidRPr="00B44B51">
        <w:t>Χ</w:t>
      </w:r>
      <w:r w:rsidR="004F31A9">
        <w:t>άρτη</w:t>
      </w:r>
      <w:r w:rsidRPr="00B44B51">
        <w:t xml:space="preserve"> από την Γ</w:t>
      </w:r>
      <w:r w:rsidR="004F31A9">
        <w:t xml:space="preserve">ενική </w:t>
      </w:r>
      <w:r w:rsidR="004F31A9" w:rsidRPr="00B44B51">
        <w:t>Δ</w:t>
      </w:r>
      <w:r w:rsidR="004F31A9">
        <w:t>ιεύθυνση</w:t>
      </w:r>
      <w:r w:rsidRPr="00B44B51">
        <w:t xml:space="preserve"> Περιφερειών ακολουθήθηκε μία διαδικασία τριών σταδίων.</w:t>
      </w:r>
    </w:p>
    <w:p w14:paraId="26426FA9" w14:textId="46ACA318" w:rsidR="0089033F" w:rsidRPr="00B44B51" w:rsidRDefault="0089033F" w:rsidP="0089033F">
      <w:r w:rsidRPr="00B44B51">
        <w:t>Το πρώτο περιλάμβανε τη συγκρότηση μιας Επιτροπής Υψηλού Κύρους, με στόχο την αξιολόγηση της εναρμόνισης των υποδομών του Οδικού Χάρτη με τις  προτεραιότητες της Στρατηγικής Έξυπνης Εξειδίκευσης. Η Επιτροπή</w:t>
      </w:r>
      <w:r w:rsidR="00B44B51">
        <w:t xml:space="preserve"> κατάρτισε</w:t>
      </w:r>
      <w:r w:rsidRPr="00B44B51">
        <w:t xml:space="preserve"> κατάλογο 20 ερευνητικών Υποδομών (Α’ ομάδα) μετά από αξιολόγηση. Το δεύτερο στάδιο αφορούσε στην έκδοση της Πρόσκλησης η οποία απευθυνόταν στους ερευνητικούς φορείς της χώρας, οι προτάσεις των οποίων είχαν  αξιολογηθεί θετικά. Τέλος, το τρίτο στάδιο περιλάμβανε την ανακοίνωση της 2</w:t>
      </w:r>
      <w:r w:rsidRPr="004F31A9">
        <w:rPr>
          <w:vertAlign w:val="superscript"/>
        </w:rPr>
        <w:t>ης</w:t>
      </w:r>
      <w:r w:rsidR="004F31A9">
        <w:t xml:space="preserve"> </w:t>
      </w:r>
      <w:r w:rsidRPr="00B44B51">
        <w:t>ανοικτής Πρόσκλησης Εκδήλωσης Ενδιαφέροντος με στόχο τη δημιουργία ερευνητικών υποδομών κύρια για τους τομείς Έξυπνης Εξειδίκευσης που είχαν μείνει ακάλυπτοι από τις προηγούμενες προτάσεις.</w:t>
      </w:r>
    </w:p>
    <w:p w14:paraId="5DC26808" w14:textId="08A3296C" w:rsidR="0089033F" w:rsidRPr="00B44B51" w:rsidRDefault="0089033F" w:rsidP="0089033F">
      <w:r w:rsidRPr="00B44B51">
        <w:t xml:space="preserve">Το τελικό αποτέλεσμα ήταν 19 από τις 20 υποδομές του της Α’ Ομάδας να  ενταχθούν στο ΕΠΑνΕΚ εντός του 2017 και 1 (INSPIRED) </w:t>
      </w:r>
      <w:r w:rsidR="00A3742F">
        <w:t>το</w:t>
      </w:r>
      <w:r w:rsidRPr="00B44B51">
        <w:t xml:space="preserve"> 2018. </w:t>
      </w:r>
      <w:r w:rsidR="006E037E" w:rsidRPr="00B44B51">
        <w:t>Ακολούθησε η ένταξη των υποδομών του Β’ Κύκλου το 2018 -19.</w:t>
      </w:r>
    </w:p>
    <w:p w14:paraId="38F7783F" w14:textId="34336D14" w:rsidR="00D46530" w:rsidRPr="00B44B51" w:rsidRDefault="00D46530" w:rsidP="0089033F">
      <w:r w:rsidRPr="00B44B51">
        <w:t>Εντός του 2018, στο πλαίσιο του ΕΠΑνΕΚ που αποτελεί τ</w:t>
      </w:r>
      <w:r w:rsidR="004F31A9">
        <w:t>η</w:t>
      </w:r>
      <w:r w:rsidRPr="00B44B51">
        <w:t xml:space="preserve"> βασική πηγή χρηματοδότησης της </w:t>
      </w:r>
      <w:r w:rsidRPr="00B44B51">
        <w:rPr>
          <w:lang w:val="en-US"/>
        </w:rPr>
        <w:t>RIS</w:t>
      </w:r>
      <w:r w:rsidRPr="00B44B51">
        <w:t xml:space="preserve">3 για την περίοδο 2014-20, </w:t>
      </w:r>
      <w:r w:rsidR="00D948D9" w:rsidRPr="00B44B51">
        <w:t>και της Επενδυτικής Προτεραιότητας 1</w:t>
      </w:r>
      <w:r w:rsidR="00D948D9" w:rsidRPr="00B44B51">
        <w:rPr>
          <w:lang w:val="en-US"/>
        </w:rPr>
        <w:t>b</w:t>
      </w:r>
      <w:r w:rsidR="00D948D9" w:rsidRPr="00B44B51">
        <w:t xml:space="preserve">, </w:t>
      </w:r>
      <w:r w:rsidRPr="00B44B51">
        <w:t>εντάχθηκαν 576 πράξεις συνολικής δημόσιας δαπάνης 308.542.591 € της δράσης «Ερευνώ-Δημιουργώ- Καινοτομώ»</w:t>
      </w:r>
      <w:r w:rsidR="00D948D9" w:rsidRPr="00B44B51">
        <w:t>, καθώς και</w:t>
      </w:r>
      <w:r w:rsidRPr="00B44B51">
        <w:t xml:space="preserve"> </w:t>
      </w:r>
      <w:r w:rsidR="00F736C3" w:rsidRPr="00B44B51">
        <w:t>3</w:t>
      </w:r>
      <w:r w:rsidR="00D948D9" w:rsidRPr="00B44B51">
        <w:t>3</w:t>
      </w:r>
      <w:r w:rsidR="00F736C3" w:rsidRPr="00B44B51">
        <w:t xml:space="preserve"> πράξεις συνολικής δημόσιας δαπάνης € </w:t>
      </w:r>
      <w:r w:rsidR="00D948D9" w:rsidRPr="00B44B51">
        <w:t xml:space="preserve">€ 11.390.541,63 των δράσεων </w:t>
      </w:r>
      <w:r w:rsidR="00D948D9" w:rsidRPr="00C40AEF">
        <w:t>Διμερούς Ε&amp;Τ Συνεργασίας «Ελλάδας Ισραήλ», Ελλάδας-Ρωσίας και Ελλάδας Γερμανίας</w:t>
      </w:r>
      <w:r w:rsidR="004F31A9" w:rsidRPr="00C40AEF">
        <w:t>.</w:t>
      </w:r>
      <w:r w:rsidR="00D948D9" w:rsidRPr="00C40AEF">
        <w:t xml:space="preserve"> </w:t>
      </w:r>
      <w:r w:rsidR="00F736C3" w:rsidRPr="00C40AEF">
        <w:t xml:space="preserve">Για λόγους πληρότητας, έχει συμπεριληφθεί στην παρούσα </w:t>
      </w:r>
      <w:r w:rsidR="00D948D9" w:rsidRPr="00C40AEF">
        <w:t xml:space="preserve">Έκθεση η δράση </w:t>
      </w:r>
      <w:r w:rsidR="00D948D9" w:rsidRPr="00C40AEF">
        <w:rPr>
          <w:lang w:val="en-US"/>
        </w:rPr>
        <w:t>ERANETs</w:t>
      </w:r>
      <w:r w:rsidR="00D948D9" w:rsidRPr="00C40AEF">
        <w:t xml:space="preserve"> (Πρόσκληση 2018)</w:t>
      </w:r>
      <w:r w:rsidR="00C40AEF" w:rsidRPr="00C40AEF">
        <w:t>, για την</w:t>
      </w:r>
      <w:r w:rsidR="00D948D9" w:rsidRPr="00C40AEF">
        <w:t xml:space="preserve"> οποία</w:t>
      </w:r>
      <w:r w:rsidR="00C40AEF" w:rsidRPr="00C40AEF">
        <w:t xml:space="preserve"> αν και</w:t>
      </w:r>
      <w:r w:rsidR="00D948D9" w:rsidRPr="00C40AEF">
        <w:t xml:space="preserve"> </w:t>
      </w:r>
      <w:r w:rsidR="00552917">
        <w:t>οι</w:t>
      </w:r>
      <w:r w:rsidR="00D948D9" w:rsidRPr="00C40AEF">
        <w:t xml:space="preserve"> εντάξεις</w:t>
      </w:r>
      <w:r w:rsidR="00552917">
        <w:t xml:space="preserve"> των έργων πραγματοποιήθηκαν</w:t>
      </w:r>
      <w:r w:rsidR="00D948D9" w:rsidRPr="00C40AEF">
        <w:t xml:space="preserve"> στις αρχές του 2019</w:t>
      </w:r>
      <w:r w:rsidR="00C40AEF" w:rsidRPr="00C40AEF">
        <w:t>, οι εγκρίσεις των προτάσεων είχαν ολοκληρωθεί εντός του 2018</w:t>
      </w:r>
      <w:r w:rsidR="00D948D9" w:rsidRPr="00C40AEF">
        <w:t>. Στο πλαίσιο της Επενδυτικής Προτεραιότητας 1a, εντός του 2018 έγινε η ένταξη 8 έργων συνολικής δημόσιας δαπάνης 15.537.285,15</w:t>
      </w:r>
      <w:r w:rsidR="004F31A9" w:rsidRPr="00C40AEF">
        <w:t xml:space="preserve"> </w:t>
      </w:r>
      <w:r w:rsidR="00D948D9" w:rsidRPr="00C40AEF">
        <w:t>€ που αφορούσαν στη δράση Ενίσχυση των Υποδομών Έρευνας και Καινοτομίας (Β' Κύκλος).</w:t>
      </w:r>
    </w:p>
    <w:p w14:paraId="2A708051" w14:textId="77777777" w:rsidR="00D46530" w:rsidRDefault="00D46530" w:rsidP="0089033F"/>
    <w:p w14:paraId="2D8A9C6C" w14:textId="77777777" w:rsidR="00A12A57" w:rsidRDefault="00A12A57" w:rsidP="00A12A57">
      <w:pPr>
        <w:pStyle w:val="Heading2"/>
      </w:pPr>
      <w:bookmarkStart w:id="5" w:name="_Toc22645395"/>
      <w:r>
        <w:t xml:space="preserve">Βασικές </w:t>
      </w:r>
      <w:r w:rsidR="00B51735">
        <w:t xml:space="preserve">πολιτικές και </w:t>
      </w:r>
      <w:r>
        <w:t>δράσεις της στρατηγικής</w:t>
      </w:r>
      <w:bookmarkEnd w:id="5"/>
    </w:p>
    <w:p w14:paraId="399F977A" w14:textId="6FB2F2F1" w:rsidR="004E26E5" w:rsidRPr="004E26E5" w:rsidRDefault="004E26E5" w:rsidP="004E26E5">
      <w:r w:rsidRPr="004E26E5">
        <w:t xml:space="preserve">Η υλοποίηση </w:t>
      </w:r>
      <w:r w:rsidR="00B51735">
        <w:t>της Στρατηγικής της</w:t>
      </w:r>
      <w:r w:rsidRPr="004E26E5">
        <w:t xml:space="preserve"> Έξυπνης Εξειδίκευσης (</w:t>
      </w:r>
      <w:r w:rsidRPr="004E26E5">
        <w:rPr>
          <w:lang w:val="en-US"/>
        </w:rPr>
        <w:t>RIS</w:t>
      </w:r>
      <w:r w:rsidR="00B51735">
        <w:t xml:space="preserve">3), </w:t>
      </w:r>
      <w:r w:rsidRPr="004E26E5">
        <w:t>αποτελεί σημαντικό παράγοντα για την επίτευξη του στόχου</w:t>
      </w:r>
      <w:r w:rsidR="00A12A57">
        <w:t xml:space="preserve"> αύξησης της </w:t>
      </w:r>
      <w:r w:rsidR="0086315E" w:rsidRPr="0086315E">
        <w:t>Ακαθάριστη</w:t>
      </w:r>
      <w:r w:rsidR="0086315E">
        <w:t>ς</w:t>
      </w:r>
      <w:r w:rsidR="0086315E" w:rsidRPr="0086315E">
        <w:t xml:space="preserve"> Δαπάνη</w:t>
      </w:r>
      <w:r w:rsidR="0086315E">
        <w:t>ς</w:t>
      </w:r>
      <w:r w:rsidR="0086315E" w:rsidRPr="0086315E">
        <w:t xml:space="preserve"> για Έρευνα &amp; Τεχνολογική Ανάπτυξη </w:t>
      </w:r>
      <w:r w:rsidR="0086315E">
        <w:t>(</w:t>
      </w:r>
      <w:r w:rsidR="00A12A57">
        <w:t>ΑΔΕΤΑ</w:t>
      </w:r>
      <w:r w:rsidR="0086315E">
        <w:t>)</w:t>
      </w:r>
      <w:r w:rsidRPr="004E26E5">
        <w:t>.</w:t>
      </w:r>
      <w:r w:rsidR="00450C14" w:rsidRPr="00450C14">
        <w:t xml:space="preserve"> </w:t>
      </w:r>
      <w:r w:rsidR="00450C14">
        <w:t xml:space="preserve">Στο πλαίσιο αυτό, η εφαρμογή της </w:t>
      </w:r>
      <w:r w:rsidR="00450C14" w:rsidRPr="004E26E5">
        <w:t>RIS3</w:t>
      </w:r>
      <w:r w:rsidR="00450C14">
        <w:t xml:space="preserve"> </w:t>
      </w:r>
      <w:r w:rsidR="00450C14" w:rsidRPr="004E26E5">
        <w:t xml:space="preserve">βρίσκεται σε πλήρη εξέλιξη με στόχο την ενίσχυση της ανταγωνιστικότητας των επιχειρήσεων και τη διασύνδεση της Έρευνας με την Επιχειρηματικότητα, </w:t>
      </w:r>
      <w:r w:rsidRPr="004E26E5">
        <w:t xml:space="preserve"> Ειδικότερα, σημειώνονται τα παρακάτω:</w:t>
      </w:r>
    </w:p>
    <w:p w14:paraId="4E705CFB" w14:textId="55BBE80B" w:rsidR="004E26E5" w:rsidRDefault="004E26E5" w:rsidP="00D22350">
      <w:pPr>
        <w:numPr>
          <w:ilvl w:val="0"/>
          <w:numId w:val="14"/>
        </w:numPr>
      </w:pPr>
      <w:r w:rsidRPr="004E26E5">
        <w:t>Σε σχέση με το ΕΣΠΑ 2007-2013</w:t>
      </w:r>
      <w:r w:rsidR="004F31A9">
        <w:t>,</w:t>
      </w:r>
      <w:r w:rsidRPr="004E26E5">
        <w:t xml:space="preserve"> η χρηματοδότηση της ΕΤΑΚ από το ΕΣΠΑ/ΣΕΣ 2014-2020 είναι αυξημένη. Ο Θεματικός Στόχος 1 (Έρευνα και Καινοτομία) διαθέτει περίπου 1,25 δις € κοινοτικής συνδρομής, τα οποία με την εθνική συμμετοχή θα προσεγγίσουν τα 1,5 δις. € περίπου, ποσό αυξημένο κατά 50% σε σχέση με τον προϋπολογισμό της προηγούμενης προγραμματικής περιόδου που ανερχόταν σε 1 δις € δημοσίας δαπάνης. </w:t>
      </w:r>
    </w:p>
    <w:p w14:paraId="0E00E1FF" w14:textId="24C1E2E3" w:rsidR="00D64A39" w:rsidRPr="004E26E5" w:rsidRDefault="00D64A39" w:rsidP="00D22350">
      <w:pPr>
        <w:numPr>
          <w:ilvl w:val="0"/>
          <w:numId w:val="14"/>
        </w:numPr>
      </w:pPr>
      <w:r w:rsidRPr="004E26E5">
        <w:t xml:space="preserve">Προβλέπεται η ενίσχυση των ερευνητικών υποδομών και της πρόσβασης σε αυτές με πόρους που αγγίζουν τα 200 εκ. €, με στόχο την προώθηση της Αριστείας και τη διασύνδεση με την επιχειρηματικότητα. </w:t>
      </w:r>
    </w:p>
    <w:p w14:paraId="47ABDCE1" w14:textId="0F51BD2E" w:rsidR="004E26E5" w:rsidRPr="004E26E5" w:rsidRDefault="004E26E5" w:rsidP="00D22350">
      <w:pPr>
        <w:numPr>
          <w:ilvl w:val="0"/>
          <w:numId w:val="14"/>
        </w:numPr>
      </w:pPr>
      <w:r w:rsidRPr="004E26E5">
        <w:t xml:space="preserve">Σημειώθηκε σημαντικό ενδιαφέρον από τις επιχειρήσεις </w:t>
      </w:r>
      <w:r w:rsidR="001215EA">
        <w:t>ιδιαίτερα μέσω της προκήρυξης</w:t>
      </w:r>
      <w:r w:rsidRPr="004E26E5">
        <w:t xml:space="preserve"> του Α’ κύκλου της δράσης </w:t>
      </w:r>
      <w:r w:rsidR="00E0699D">
        <w:t>«</w:t>
      </w:r>
      <w:r w:rsidRPr="004E26E5">
        <w:t>ΕΡΕΥΝΩ</w:t>
      </w:r>
      <w:r w:rsidR="00E0699D">
        <w:t>–</w:t>
      </w:r>
      <w:r w:rsidRPr="004E26E5">
        <w:t>ΔΗΜΙΟΥΡΓΩ</w:t>
      </w:r>
      <w:r w:rsidR="00E0699D">
        <w:t>–</w:t>
      </w:r>
      <w:r w:rsidRPr="004E26E5">
        <w:t>ΚΑΙΝΟΤΟΜΩ</w:t>
      </w:r>
      <w:r w:rsidR="00E0699D">
        <w:t>»</w:t>
      </w:r>
      <w:r w:rsidRPr="004E26E5">
        <w:t xml:space="preserve"> (δράση του Επιχειρησιακού Προγράμματος «Επιχειρηματικότητα, Ανταγωνιστικότητα και Καινο</w:t>
      </w:r>
      <w:r w:rsidR="00A12A57">
        <w:t>τομία»/ΕΠΑνΕΚ του ΕΣΠΑ 2014-20)</w:t>
      </w:r>
      <w:r w:rsidR="001B79CF">
        <w:t xml:space="preserve"> (βλ. αναλυτικότερα στο κεφ. 2 της Έκθεσης)</w:t>
      </w:r>
      <w:r w:rsidR="00D64A39">
        <w:t xml:space="preserve">, καθώς και για τις ειδικές δράσεις, </w:t>
      </w:r>
      <w:r w:rsidR="001215EA">
        <w:t>και τις διμερής Ε&amp;Τ συνεργασίες</w:t>
      </w:r>
      <w:r w:rsidR="00D64A39" w:rsidRPr="001215EA">
        <w:t xml:space="preserve"> </w:t>
      </w:r>
      <w:r w:rsidR="00D64A39">
        <w:t>κλπ.</w:t>
      </w:r>
    </w:p>
    <w:p w14:paraId="27457975" w14:textId="77777777" w:rsidR="004E26E5" w:rsidRPr="004E26E5" w:rsidRDefault="004E26E5" w:rsidP="004E26E5">
      <w:r w:rsidRPr="004E26E5">
        <w:t>Επιπρόσθετα:</w:t>
      </w:r>
    </w:p>
    <w:p w14:paraId="2F514F8D" w14:textId="4D53D18D" w:rsidR="00A12A57" w:rsidRPr="004E26E5" w:rsidRDefault="004E26E5" w:rsidP="00D22350">
      <w:pPr>
        <w:numPr>
          <w:ilvl w:val="0"/>
          <w:numId w:val="14"/>
        </w:numPr>
      </w:pPr>
      <w:r w:rsidRPr="004E26E5">
        <w:t>Η Έρευνα ενισχύεται με πρόσθετους πόρους συνολικού ύψους 240 εκ. € για την περίοδο 2017-2019, η οποία προήλθε από την υπογραφή συμφωνίας χρηματοδότησης του Ελληνικού Δημοσίου με την Ευρωπαϊκή Τράπεζα Επενδύσεων και τη δημιουργία του Ελληνικού Ιδρύματος Έρευνας &amp; Καινοτομίας (</w:t>
      </w:r>
      <w:r w:rsidRPr="00A12A57">
        <w:rPr>
          <w:b/>
        </w:rPr>
        <w:t>ΕΛΙΔΕΚ</w:t>
      </w:r>
      <w:r w:rsidRPr="004E26E5">
        <w:t>)</w:t>
      </w:r>
      <w:r w:rsidR="0013687E">
        <w:t>.</w:t>
      </w:r>
      <w:r w:rsidR="00041CF6" w:rsidRPr="00041CF6">
        <w:t xml:space="preserve"> </w:t>
      </w:r>
      <w:r w:rsidR="00041CF6">
        <w:t xml:space="preserve">Το ΕΛΙΔΕΚ αποτελεί ένα νέο θεσμό μέσω του οποίου επιχειρείται </w:t>
      </w:r>
      <w:r w:rsidR="008E03B1">
        <w:t xml:space="preserve">μια </w:t>
      </w:r>
      <w:r w:rsidR="00041CF6">
        <w:t xml:space="preserve">μεταρρυθμιστική τομή στο πεδίο της </w:t>
      </w:r>
      <w:r w:rsidR="0013687E">
        <w:t>Έ</w:t>
      </w:r>
      <w:r w:rsidR="00041CF6">
        <w:t xml:space="preserve">ρευνάς και της Καινοτομίας στη χώρα. Σκοπός του ΕΛΙΔΕΚ είναι η προαγωγή της έρευνας και της καινοτομίας στη χώρα και ειδικότερα η αξιολόγηση και χρηματοδότηση της ελεύθερης έρευνας, δηλαδή </w:t>
      </w:r>
      <w:r w:rsidR="008E03B1">
        <w:t xml:space="preserve">της διενέργειας </w:t>
      </w:r>
      <w:r w:rsidR="00041CF6">
        <w:t>ερευνητικών δραστηριοτήτων χωρίς θεματικούς ή γεωγραφικούς περιορισμούς, με μοναδικό κριτήριο την επιστημονική ποιότητα και αριστεία.</w:t>
      </w:r>
      <w:r w:rsidR="008E03B1">
        <w:t xml:space="preserve"> </w:t>
      </w:r>
      <w:r w:rsidR="00041CF6">
        <w:t>Για την εκπλήρωσ</w:t>
      </w:r>
      <w:r w:rsidR="008E03B1">
        <w:t xml:space="preserve">η των στόχων του, το </w:t>
      </w:r>
      <w:r w:rsidR="0013687E">
        <w:t>ΕΛΙΔΕΚ</w:t>
      </w:r>
      <w:r w:rsidR="00041CF6">
        <w:t>:</w:t>
      </w:r>
      <w:r w:rsidR="008E03B1">
        <w:t xml:space="preserve"> χ</w:t>
      </w:r>
      <w:r w:rsidR="00041CF6">
        <w:t>ορηγεί υποτροφίες για τη διεξαγωγή διδακτορικών διατριβών και μεταδιδακτορικών μελετών</w:t>
      </w:r>
      <w:r w:rsidR="008E03B1">
        <w:t>, χ</w:t>
      </w:r>
      <w:r w:rsidR="00041CF6">
        <w:t>ρηματοδοτεί υψηλής ποιότητας ερευνητικά προγράμματα με επιστημονικούς υπεύθυνους Μεταδιδάκτορες, Ερευνητές και μέλη ΔΕΠ</w:t>
      </w:r>
      <w:r w:rsidR="008E03B1">
        <w:t>, χ</w:t>
      </w:r>
      <w:r w:rsidR="00041CF6">
        <w:t>ρηματοδοτεί την αγορά ερευνητικού εξοπλισμού</w:t>
      </w:r>
      <w:r w:rsidR="008E03B1">
        <w:t>, δ</w:t>
      </w:r>
      <w:r w:rsidR="00041CF6">
        <w:t>ιευκολύνει την πρόσβαση Πανεπιστημίων, Τ.Ε.Ι. και ερευνητικών και τεχνολογικών φορέων στη χρηματοδότηση καινοτόμων ερευνητικών προγραμμάτων</w:t>
      </w:r>
      <w:r w:rsidR="008E03B1">
        <w:t>, υ υποστηρίζει</w:t>
      </w:r>
      <w:r w:rsidR="00041CF6">
        <w:t xml:space="preserve"> τη δημιουργία και λειτουργία νεοφυών επιχειρήσεων για την εκμετάλλευση ερευνητικών αποτελεσμάτων</w:t>
      </w:r>
      <w:r w:rsidRPr="004E26E5">
        <w:t>. Αναφέρεται ότι, το 2017 προκηρύχθηκαν και υλοποιούνται από το ΕΛΙΔΕΚ δράσεις συνο</w:t>
      </w:r>
      <w:r w:rsidR="00A12A57">
        <w:t xml:space="preserve">λικού προϋπολογισμού 100 εκ. € (βλ αναλυτικότερα στο κεφ. </w:t>
      </w:r>
      <w:r w:rsidR="008E03B1">
        <w:t xml:space="preserve">3.3 </w:t>
      </w:r>
      <w:r w:rsidR="00A12A57">
        <w:t>της Έκθεσης)</w:t>
      </w:r>
      <w:r w:rsidR="008E03B1">
        <w:t>.</w:t>
      </w:r>
    </w:p>
    <w:p w14:paraId="5D65AA17" w14:textId="77777777" w:rsidR="004E26E5" w:rsidRDefault="004E26E5" w:rsidP="00D22350">
      <w:pPr>
        <w:numPr>
          <w:ilvl w:val="0"/>
          <w:numId w:val="14"/>
        </w:numPr>
      </w:pPr>
      <w:r w:rsidRPr="004E26E5">
        <w:t>Υλοποιείται</w:t>
      </w:r>
      <w:r w:rsidRPr="00A12A57">
        <w:rPr>
          <w:b/>
        </w:rPr>
        <w:t xml:space="preserve"> </w:t>
      </w:r>
      <w:r w:rsidRPr="00A12A57">
        <w:t xml:space="preserve">σειρά </w:t>
      </w:r>
      <w:r w:rsidRPr="00A12A57">
        <w:rPr>
          <w:b/>
        </w:rPr>
        <w:t xml:space="preserve">εμβληματικών πρωτοβουλιών </w:t>
      </w:r>
      <w:r w:rsidRPr="004E26E5">
        <w:t>που αποτελούν οριζόντιες δράσεις σε επιστημονικούς τομείς με ισχυρή κοινωνική διάσταση και δυναμική καινοτομίας όπως το Εθνικό Δίκτυο Ιατρικής Ακριβείας στην Ογκολογία, τα Καρδιαγγειακά Νοσήματα και τις Γενετικές Νευροεκφυλιστικές Παθήσεις (για αποτελεσματικότερες και μειωμένου κόστους θεραπείες μοριακής ιατρικής, προσβάσιμες για τους πολίτες από το Δημόσιο Σύστημα Υγείας), το Εθνικό Δίκτυο Αγροδιατροφής (για την ανάδειξη των ποιοτικών χαρακτηριστικών παραδοσιακών προϊόντων όπως Ελιά, Αμπέλι, Μέλισσα) και το Εθνικό Δίκτυο Κλιματικής Αλλαγής (για τη μελέτη και την έγκυρη ενημέρωση στην αντιμετώπιση ακραίων φυσικών φαινομένων). Για τις εμβληματικές πρωτοβουλίες προβλέπονται εθνικοί πόροι ύψους 25εκ.€.</w:t>
      </w:r>
    </w:p>
    <w:p w14:paraId="203B1457" w14:textId="77777777" w:rsidR="004E26E5" w:rsidRDefault="004E26E5" w:rsidP="00D22350">
      <w:pPr>
        <w:numPr>
          <w:ilvl w:val="0"/>
          <w:numId w:val="14"/>
        </w:numPr>
      </w:pPr>
      <w:r w:rsidRPr="004E26E5">
        <w:t xml:space="preserve">Εξασφαλίσθηκαν </w:t>
      </w:r>
      <w:r w:rsidRPr="00B51735">
        <w:rPr>
          <w:b/>
        </w:rPr>
        <w:t>κονδύλια του εθνικού ΠΔΕ</w:t>
      </w:r>
      <w:r w:rsidRPr="004E26E5">
        <w:t xml:space="preserve"> ύψους 10 εκ. € για τη συμμετοχή της Ελλάδας στην Ευρωμεσογειακή πρωτοβουλία </w:t>
      </w:r>
      <w:r w:rsidRPr="00A12A57">
        <w:rPr>
          <w:lang w:val="en-US"/>
        </w:rPr>
        <w:t>PRIMA</w:t>
      </w:r>
      <w:r w:rsidRPr="004E26E5">
        <w:t xml:space="preserve"> και τη χρηματοδότηση των ελληνικών φορέων που συμμετέχουν επιτυχώς στις προκηρύξεις του. Επιπλέον, οι ελληνικοί φορείς θα διεκδικήσουν χρηματοδότηση και μέσω άλλων ανταγωνιστικών προκηρύξεων του προγράμματος </w:t>
      </w:r>
      <w:r w:rsidRPr="00A12A57">
        <w:rPr>
          <w:lang w:val="en-US"/>
        </w:rPr>
        <w:t>PRIMA</w:t>
      </w:r>
      <w:r w:rsidRPr="004E26E5">
        <w:t xml:space="preserve"> οι οποίες θα χρηματοδοτηθούν εξ ολοκλήρου από τον Ορίζοντα 2020. </w:t>
      </w:r>
    </w:p>
    <w:p w14:paraId="15881B3C" w14:textId="77777777" w:rsidR="004E26E5" w:rsidRDefault="004E26E5" w:rsidP="00D22350">
      <w:pPr>
        <w:numPr>
          <w:ilvl w:val="0"/>
          <w:numId w:val="14"/>
        </w:numPr>
      </w:pPr>
      <w:r w:rsidRPr="004E26E5">
        <w:t xml:space="preserve">Το Ευρωπαϊκό </w:t>
      </w:r>
      <w:r w:rsidRPr="00B51735">
        <w:rPr>
          <w:b/>
        </w:rPr>
        <w:t xml:space="preserve">Πρόγραμμα </w:t>
      </w:r>
      <w:r w:rsidRPr="00B51735">
        <w:rPr>
          <w:b/>
          <w:lang w:val="en-US"/>
        </w:rPr>
        <w:t>Horizon</w:t>
      </w:r>
      <w:r w:rsidRPr="00B51735">
        <w:rPr>
          <w:b/>
        </w:rPr>
        <w:t xml:space="preserve"> 2020</w:t>
      </w:r>
      <w:r w:rsidRPr="004E26E5">
        <w:t xml:space="preserve"> διαθέτει αυξημένο προϋπολογισμό κατά 30% του σε σχέση με αυτόν του 7</w:t>
      </w:r>
      <w:r w:rsidRPr="00B51735">
        <w:rPr>
          <w:vertAlign w:val="superscript"/>
        </w:rPr>
        <w:t>ου</w:t>
      </w:r>
      <w:r w:rsidRPr="004E26E5">
        <w:t xml:space="preserve"> Προγράμματος Πλαισίου για την ΕΤΑΚ (</w:t>
      </w:r>
      <w:r w:rsidRPr="00B51735">
        <w:rPr>
          <w:lang w:val="en-US"/>
        </w:rPr>
        <w:t>FP</w:t>
      </w:r>
      <w:r w:rsidRPr="004E26E5">
        <w:t xml:space="preserve">7), ενώ οι μέχρι τώρα επιδόσεις των δημόσιων </w:t>
      </w:r>
      <w:r w:rsidRPr="004E26E5">
        <w:lastRenderedPageBreak/>
        <w:t xml:space="preserve">ερευνητικών φορέων και των επιχειρήσεων στην επιτυχή διεκδίκηση ερευνητικών έργων από τις προσκλήσεις του  </w:t>
      </w:r>
      <w:r w:rsidRPr="00B51735">
        <w:rPr>
          <w:lang w:val="en-US"/>
        </w:rPr>
        <w:t>Horizon</w:t>
      </w:r>
      <w:r w:rsidRPr="004E26E5">
        <w:t xml:space="preserve"> 2020 είναι πολύ καλές.</w:t>
      </w:r>
    </w:p>
    <w:p w14:paraId="2189872B" w14:textId="77777777" w:rsidR="00450C14" w:rsidRDefault="00450C14" w:rsidP="00D22350">
      <w:pPr>
        <w:numPr>
          <w:ilvl w:val="0"/>
          <w:numId w:val="14"/>
        </w:numPr>
      </w:pPr>
      <w:r w:rsidRPr="00450C14">
        <w:t xml:space="preserve">Το </w:t>
      </w:r>
      <w:r w:rsidRPr="00450C14">
        <w:rPr>
          <w:b/>
        </w:rPr>
        <w:t>Υπερταμείο Equifund</w:t>
      </w:r>
      <w:r w:rsidRPr="00450C14">
        <w:t>, μια πρωτοβουλία μεταξύ ελληνικής κυβέρνησης και Ευρωπαϊκού Ταμείου Επενδύσεων. Ειδικότερα μέσω του υπο-ταμείου “Παράθυρο Καινοτομίας» (Innovation Window), επιδιώκεται η τόνωση της ρευστότητας των νέων καινοτόμων και spin off/out επιχειρήσεων και η μόχλευση ιδιωτικών επενδύσεων. Ειδικότερα, το Παράθυρο Καινοτομίας εντάσσεται στη γενικότερη πολιτική επιδίωξη η Καινοτομία που παράγεται από την Έρευνα να οδηγήσει στην ανάπτυξη της Οικονομίας της Γνώσης, δηλαδή στην παραγωγή πλούτου με βάση τη γνώση που προκύπτει από την ερευνητική δραστηριότητα. Με δεδομένο ότι στην Ελλάδα παράγεται πρωτότυπο και διεθνώς αναγνωρισμένο επιστημονικό και ερευνητικό έργο είναι κρίσιμης σημασίας η αξιοποίηση των ερευνητικών αποτελεσμάτων που βρίσκονται σε υψηλό επίπεδο τεχνολογικής ετοιμότητας και η στήριξη των δομών που μπορούν να επιταχύνουν τη διαδικασία αυτή. Το Παράθυρο Καινοτομίας περιλαμβάνει το Ταμείο Μεταφοράς Τεχνολογίας (Technology Transfer Fund - TT Fund) και το Ταμείο Επιτάχυνσης (Accelerator Fund). Το TT Fund στοχεύει έργα ή/και εταιρείες (SMEs) προερχόμενες από ΑΕΙ, Ερευνητικά κέντρα ή άλλους οργανισμούς με σημαντική ερευνητική δραστηριότητα. Ο στόχος είναι η αξιοποίηση ερευνητικών αποτελεσμάτων που βρίσκονται σε σχετικό επίπεδο τεχνολογικής ετοιμότητας, η διαμόρφωση επιχειρηματικών σχεδίων και η εμπορική αξιοποίησή τους.</w:t>
      </w:r>
    </w:p>
    <w:p w14:paraId="34134334" w14:textId="77777777" w:rsidR="004E26E5" w:rsidRPr="004E26E5" w:rsidRDefault="00B51735" w:rsidP="00B51735">
      <w:r>
        <w:t xml:space="preserve">Από την άλλη η </w:t>
      </w:r>
      <w:r w:rsidR="004E26E5" w:rsidRPr="004E26E5">
        <w:t xml:space="preserve">αύξηση της δαπάνης κατά 33,8% για ΕΤΑΚ των επιχειρήσεων στο δυσμενές οικονομικό περιβάλλον το 2017, ενδεχομένως οφείλεται στο γεγονός ότι οι επιχειρήσεις έχουν συνειδητοποιήσει ότι η ενίσχυση της ανταγωνιστικότητάς τους περνά μέσα από την αύξηση της ερευνητικής και καινοτομικής τους δραστηριότητας. Αναμένεται κατά συνέπεια, μέσω και της ιδιωτικής μόχλευσης που θα προέλθει επιπρόσθετα στους παραπάνω δημόσιους πόρους, αυξημένη χρηματοδότηση της ΕΤΑΚ από τις επιχειρήσεις. Τονίζεται ότι ο επιμέρους στόχος που έχει τεθεί για το 2020, για Ε&amp;Α από τις επιχειρήσεις στο 0,38% του ΑΕΠ, έχει ήδη ξεπεραστεί με βάση τα στοιχεία του 2017. </w:t>
      </w:r>
    </w:p>
    <w:p w14:paraId="6205FFC6" w14:textId="77777777" w:rsidR="00B51735" w:rsidRDefault="00B51735" w:rsidP="00B51735">
      <w:r>
        <w:t>Επίσης, η</w:t>
      </w:r>
      <w:r w:rsidR="004E26E5" w:rsidRPr="004E26E5">
        <w:t xml:space="preserve"> ανάσχεση της συρρίκνωσης του ΑΕΠ στη χώρα και η έναρξη μεγέθυνσής του από το 2017 δημιουργεί ζωτικό χώρο αύξησης των κονδυλίων Ε&amp;Α, δημιουργίας νέων χρηματοδοτικών εργαλείων καθώς και ένα ιδιαίτερα θετικό και ενθαρρυντικό κλίμα για επενδύσεις έντασης Γνώσης.</w:t>
      </w:r>
    </w:p>
    <w:p w14:paraId="1B323FA0" w14:textId="77777777" w:rsidR="004E26E5" w:rsidRPr="00B51735" w:rsidRDefault="00B51735" w:rsidP="00B51735">
      <w:r>
        <w:t>Στις πρόσθετες</w:t>
      </w:r>
      <w:r w:rsidR="004E26E5" w:rsidRPr="004E26E5">
        <w:t xml:space="preserve"> </w:t>
      </w:r>
      <w:r>
        <w:t xml:space="preserve">παρεμβάσεις που δεν συνδέονται άμεσα αλλά επηρεάζουν την </w:t>
      </w:r>
      <w:r>
        <w:rPr>
          <w:lang w:val="en-US"/>
        </w:rPr>
        <w:t>RIS</w:t>
      </w:r>
      <w:r>
        <w:t xml:space="preserve">3 </w:t>
      </w:r>
      <w:r w:rsidR="00450C14">
        <w:t>θα πρέπει να αναφερθεί ότι:</w:t>
      </w:r>
    </w:p>
    <w:p w14:paraId="71BF97CB" w14:textId="5D9C8AC3" w:rsidR="004E26E5" w:rsidRPr="004E26E5" w:rsidRDefault="004E26E5" w:rsidP="00D22350">
      <w:pPr>
        <w:numPr>
          <w:ilvl w:val="0"/>
          <w:numId w:val="14"/>
        </w:numPr>
      </w:pPr>
      <w:r w:rsidRPr="004E26E5">
        <w:t>Διασφαλίσθηκε το μισθολογικό κόστος από τον τακτικό προϋπολογισμό, και η σταθερή ενίσχυση  των προϋπολογισμών των Ε</w:t>
      </w:r>
      <w:r w:rsidR="00450C14">
        <w:t xml:space="preserve">ρευνητικών </w:t>
      </w:r>
      <w:r w:rsidRPr="004E26E5">
        <w:t>Κ</w:t>
      </w:r>
      <w:r w:rsidR="00450C14">
        <w:t>έντρων (ΕΚ)</w:t>
      </w:r>
      <w:r w:rsidRPr="004E26E5">
        <w:t xml:space="preserve"> και των ΑΕΙ, με την ταυτόχρονη δημιουργία 1.000 περίπου νέων θέσεων επιστημονικού προσωπικού στα ΑΕΙ, 100 θέσεων στα ΕΚ καθώς και 152 θέσεων Ειδικού Επιστημονικού Προσωπικού και Διοικητικών υψηλών προσόντων.</w:t>
      </w:r>
    </w:p>
    <w:p w14:paraId="5E2F2933" w14:textId="77777777" w:rsidR="004E26E5" w:rsidRPr="004E26E5" w:rsidRDefault="004E26E5" w:rsidP="00D22350">
      <w:pPr>
        <w:numPr>
          <w:ilvl w:val="0"/>
          <w:numId w:val="14"/>
        </w:numPr>
      </w:pPr>
      <w:r w:rsidRPr="004E26E5">
        <w:t>Θεσπίσθηκαν νομοθετικές παρεμβάσεις (Ν.4386/2016) για την αναμόρφωση και βελτίωση του πλαισίου Έρευνας και την ενίσχυση του ερευνητικού δυναμικού καθώς και η χορήγηση φορολογικών κινήτρων για την τόνωση των δαπανών έρευνας από πλευράς επιχειρήσεων (Ν.4485/2017).</w:t>
      </w:r>
    </w:p>
    <w:p w14:paraId="524C7D71" w14:textId="77777777" w:rsidR="004E26E5" w:rsidRPr="004E26E5" w:rsidRDefault="004E26E5" w:rsidP="00D22350">
      <w:pPr>
        <w:numPr>
          <w:ilvl w:val="0"/>
          <w:numId w:val="14"/>
        </w:numPr>
      </w:pPr>
      <w:r w:rsidRPr="004E26E5">
        <w:t xml:space="preserve">Διαφαίνεται αυξημένο ενδιαφέρον από μεγάλες εταιρείες του εξωτερικού για επενδύσεις στην Ελλάδα (π.χ </w:t>
      </w:r>
      <w:r w:rsidRPr="00450C14">
        <w:t>Tesla</w:t>
      </w:r>
      <w:r w:rsidRPr="004E26E5">
        <w:t>-</w:t>
      </w:r>
      <w:r w:rsidRPr="00450C14">
        <w:t>Greece</w:t>
      </w:r>
      <w:r w:rsidRPr="004E26E5">
        <w:t>) καθώς και για εξαγορές νέων καινοτόμων ελληνικών επιχειρήσεων (π.χ της εταιρείας INNOETICS από την εταιρεία Samsung Electronics).</w:t>
      </w:r>
    </w:p>
    <w:p w14:paraId="5B7531D0" w14:textId="77777777" w:rsidR="003770DC" w:rsidRDefault="003770DC">
      <w:pPr>
        <w:spacing w:before="0" w:after="160" w:line="259" w:lineRule="auto"/>
        <w:jc w:val="left"/>
        <w:rPr>
          <w:rFonts w:eastAsia="Times New Roman"/>
          <w:b/>
          <w:kern w:val="28"/>
          <w:sz w:val="28"/>
          <w:szCs w:val="44"/>
        </w:rPr>
      </w:pPr>
      <w:r>
        <w:br w:type="page"/>
      </w:r>
    </w:p>
    <w:p w14:paraId="3A04E9A1" w14:textId="77777777" w:rsidR="00727101" w:rsidRDefault="00727101" w:rsidP="00727101">
      <w:pPr>
        <w:pStyle w:val="Heading1"/>
      </w:pPr>
      <w:bookmarkStart w:id="6" w:name="_Toc22645396"/>
      <w:r>
        <w:lastRenderedPageBreak/>
        <w:t xml:space="preserve">Επισκόπηση υλοποίησης </w:t>
      </w:r>
      <w:r w:rsidR="004F551F">
        <w:t xml:space="preserve">της </w:t>
      </w:r>
      <w:r>
        <w:t>Στρατηγικής</w:t>
      </w:r>
      <w:bookmarkEnd w:id="6"/>
    </w:p>
    <w:p w14:paraId="6983A2FF" w14:textId="77777777" w:rsidR="003770DC" w:rsidRPr="00C33E1A" w:rsidRDefault="003770DC" w:rsidP="003770DC">
      <w:pPr>
        <w:pStyle w:val="Heading2"/>
        <w:rPr>
          <w:rFonts w:eastAsia="Calibri"/>
        </w:rPr>
      </w:pPr>
      <w:bookmarkStart w:id="7" w:name="_Toc22645397"/>
      <w:r w:rsidRPr="00C33E1A">
        <w:rPr>
          <w:rFonts w:eastAsia="Calibri"/>
        </w:rPr>
        <w:t>Εισαγωγή</w:t>
      </w:r>
      <w:bookmarkEnd w:id="7"/>
    </w:p>
    <w:p w14:paraId="7A1104D9" w14:textId="77777777" w:rsidR="003770DC" w:rsidRDefault="003770DC" w:rsidP="003770DC">
      <w:r w:rsidRPr="00520C79">
        <w:t>Στρατηγικός στόχος του ΕΠΑνΕΚ είναι η ενίσχυση της ανταγωνιστικότητας και της εξωστρέφειας των επιχειρήσεων, της μετάβασης στην ποιοτική επιχειρηματικότητα με αιχμή την καινοτομία και την αύξηση της εγχώριας προστιθέμενης αξίας.</w:t>
      </w:r>
      <w:r>
        <w:t xml:space="preserve"> </w:t>
      </w:r>
      <w:r w:rsidRPr="00520C79">
        <w:t xml:space="preserve">Ειδικότερα, σηματοδοτεί την κύρια στροφή στο νέο αναπτυξιακό υπόδειγμα, που αναδεικνύει σε κεντρικό ρόλο παραγωγικούς, ανταγωνιστικούς και εξωστρεφείς τομείς της οικονομίας. </w:t>
      </w:r>
      <w:r w:rsidR="00975CDE">
        <w:rPr>
          <w:b/>
        </w:rPr>
        <w:t xml:space="preserve">Μέσω του ΕΠΑνΕΚ, υλοποιείται η εθνική </w:t>
      </w:r>
      <w:r w:rsidRPr="00E50852">
        <w:rPr>
          <w:b/>
        </w:rPr>
        <w:t>στρατηγική της Έξυπνης Εξειδίκευσης</w:t>
      </w:r>
      <w:r w:rsidRPr="00520C79">
        <w:t xml:space="preserve"> </w:t>
      </w:r>
      <w:r>
        <w:t>(</w:t>
      </w:r>
      <w:r>
        <w:rPr>
          <w:lang w:val="en-US"/>
        </w:rPr>
        <w:t>RIS</w:t>
      </w:r>
      <w:r w:rsidRPr="00E50852">
        <w:t>3</w:t>
      </w:r>
      <w:r>
        <w:t>)</w:t>
      </w:r>
      <w:r w:rsidRPr="00520C79">
        <w:t>με στόχο τη σύνδεση της έρευνας και της καινοτομίας με την επιχειρηματικότητα και την ενίσχυση των υφιστάμενων πλεονεκτημάτων της Ελλάδας και των περιφερειών της.</w:t>
      </w:r>
    </w:p>
    <w:p w14:paraId="79F3EE77" w14:textId="77777777" w:rsidR="003770DC" w:rsidRDefault="003770DC" w:rsidP="003770DC">
      <w:r w:rsidRPr="00520C79">
        <w:t>Η έξυπνη εξειδίκευση και η στρατηγική ψηφιακής ανάπτυξης αποτελούν βασικές παραμέτρους</w:t>
      </w:r>
      <w:r>
        <w:t xml:space="preserve"> </w:t>
      </w:r>
      <w:r w:rsidRPr="00520C79">
        <w:t xml:space="preserve">του ΕΠΑνΕΚ αφού θα πρέπει διαπνέουν το νέο αναπτυξιακό μοντέλο και αποσκοπούν στον εντοπισμό των μοναδικών χαρακτηριστικών της Ελλάδας, αναδεικνύοντας τα υφιστάμενα πλεονεκτήματά </w:t>
      </w:r>
      <w:r>
        <w:t xml:space="preserve">της. </w:t>
      </w:r>
      <w:r w:rsidRPr="00520C79">
        <w:t>Το ΕΠΑνΕΚ κατά το σχεδιασμό του έχει λάβει υπόψη τις περιφερειακές προτεραιότητες όπως αναδείχθηκαν από τις περιφερειακές στρατηγικές για την έξυπνη εξειδίκευση. Οι στρατηγικές αυτές επηρέασαν σημαντικά τις προτεραιότητες της αντίστοιχης εθνικής RIS3. Μέσα από τη μεθοδολογική ανάλυση αποδεικνύεται ότι οι στρατηγικές αυτές συγκλίνουν θεματικά σε εξαιρετικά μεγάλο βαθμό.</w:t>
      </w:r>
    </w:p>
    <w:p w14:paraId="1E105254" w14:textId="77777777" w:rsidR="003770DC" w:rsidRDefault="003770DC" w:rsidP="003770DC">
      <w:r>
        <w:t xml:space="preserve">Για το </w:t>
      </w:r>
      <w:r w:rsidRPr="00E81906">
        <w:t xml:space="preserve">ΕΠΑνΕΚ, </w:t>
      </w:r>
      <w:r>
        <w:t>ο Θεματικός Στόχος 1 «</w:t>
      </w:r>
      <w:r w:rsidRPr="00DA5804">
        <w:t>Ενίσχυση της έρευνας, της τεχνολογικής ανάπτυξης και της καινοτομίας</w:t>
      </w:r>
      <w:r>
        <w:t>» και</w:t>
      </w:r>
      <w:r w:rsidRPr="00E81906">
        <w:t xml:space="preserve"> </w:t>
      </w:r>
      <w:r>
        <w:t>οι</w:t>
      </w:r>
      <w:r w:rsidRPr="00E81906">
        <w:t xml:space="preserve"> Επενδυτικ</w:t>
      </w:r>
      <w:r>
        <w:t>ές Προτεραιότητες 1</w:t>
      </w:r>
      <w:r>
        <w:rPr>
          <w:lang w:val="en-US"/>
        </w:rPr>
        <w:t>a</w:t>
      </w:r>
      <w:r>
        <w:t xml:space="preserve"> και 1b είναι αυτές που συνδέονται άμεσα με την </w:t>
      </w:r>
      <w:r w:rsidRPr="00E81906">
        <w:t>εφαρμογή της</w:t>
      </w:r>
      <w:r w:rsidRPr="00E50852">
        <w:t xml:space="preserve"> Στρατηγικής </w:t>
      </w:r>
      <w:r w:rsidRPr="00E50852">
        <w:rPr>
          <w:lang w:val="en-US"/>
        </w:rPr>
        <w:t>RIS</w:t>
      </w:r>
      <w:r w:rsidRPr="00E50852">
        <w:t>3</w:t>
      </w:r>
      <w:r>
        <w:t>, οπότε και είναι αυτές που θα παρακολουθούνται για την αξιολόγηση της υλοποίησης της εν λόγω Στρατηγικής. Οι Επενδυτικές Προτεραιότητες αφορούν στους Άξονες Προτεραιότητας ΑΠ1, ΑΠ1Σ, ΑΠ3 και ΑΠ3Σ του ΕΠΑνΕΚ και περιλαμβάνουν τους Ειδικούς Στόχους 1.1. και 3.1.</w:t>
      </w:r>
    </w:p>
    <w:p w14:paraId="7333272C" w14:textId="77777777" w:rsidR="003770DC" w:rsidRDefault="003770DC" w:rsidP="003770DC"/>
    <w:tbl>
      <w:tblPr>
        <w:tblStyle w:val="TableGrid1"/>
        <w:tblW w:w="9493"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539"/>
        <w:gridCol w:w="3402"/>
        <w:gridCol w:w="2552"/>
      </w:tblGrid>
      <w:tr w:rsidR="003770DC" w:rsidRPr="00DA5804" w14:paraId="06370550" w14:textId="77777777" w:rsidTr="003D021E">
        <w:trPr>
          <w:trHeight w:val="523"/>
        </w:trPr>
        <w:tc>
          <w:tcPr>
            <w:tcW w:w="3539" w:type="dxa"/>
            <w:shd w:val="clear" w:color="auto" w:fill="800000"/>
          </w:tcPr>
          <w:p w14:paraId="0C72A7D7" w14:textId="77777777" w:rsidR="003770DC" w:rsidRPr="00DA5804" w:rsidRDefault="003770DC" w:rsidP="005F5D19">
            <w:pPr>
              <w:jc w:val="center"/>
              <w:rPr>
                <w:b/>
                <w:sz w:val="16"/>
                <w:szCs w:val="16"/>
              </w:rPr>
            </w:pPr>
            <w:r w:rsidRPr="00DA5804">
              <w:rPr>
                <w:b/>
                <w:sz w:val="16"/>
                <w:szCs w:val="16"/>
              </w:rPr>
              <w:t>Επενδυτικές Προτεραιότητες</w:t>
            </w:r>
          </w:p>
        </w:tc>
        <w:tc>
          <w:tcPr>
            <w:tcW w:w="3402" w:type="dxa"/>
            <w:shd w:val="clear" w:color="auto" w:fill="800000"/>
          </w:tcPr>
          <w:p w14:paraId="259DA977" w14:textId="77777777" w:rsidR="003770DC" w:rsidRPr="00DA5804" w:rsidRDefault="003770DC" w:rsidP="005F5D19">
            <w:pPr>
              <w:jc w:val="center"/>
              <w:rPr>
                <w:b/>
                <w:sz w:val="16"/>
                <w:szCs w:val="16"/>
              </w:rPr>
            </w:pPr>
            <w:r w:rsidRPr="00DA5804">
              <w:rPr>
                <w:b/>
                <w:sz w:val="16"/>
                <w:szCs w:val="16"/>
              </w:rPr>
              <w:t>Άξονας Προτεραιότητας ΕΠΑΝΕΚ</w:t>
            </w:r>
          </w:p>
        </w:tc>
        <w:tc>
          <w:tcPr>
            <w:tcW w:w="2552" w:type="dxa"/>
            <w:shd w:val="clear" w:color="auto" w:fill="800000"/>
          </w:tcPr>
          <w:p w14:paraId="2C7B0336" w14:textId="77777777" w:rsidR="003770DC" w:rsidRPr="00DA5804" w:rsidRDefault="003770DC" w:rsidP="005F5D19">
            <w:pPr>
              <w:jc w:val="center"/>
              <w:rPr>
                <w:b/>
                <w:sz w:val="16"/>
                <w:szCs w:val="16"/>
              </w:rPr>
            </w:pPr>
            <w:r>
              <w:rPr>
                <w:b/>
                <w:sz w:val="16"/>
                <w:szCs w:val="16"/>
              </w:rPr>
              <w:t>Ειδικός Στόχος</w:t>
            </w:r>
          </w:p>
        </w:tc>
      </w:tr>
      <w:tr w:rsidR="003770DC" w:rsidRPr="00DA5804" w14:paraId="1C43BB41" w14:textId="77777777" w:rsidTr="003D021E">
        <w:tc>
          <w:tcPr>
            <w:tcW w:w="3539" w:type="dxa"/>
          </w:tcPr>
          <w:p w14:paraId="07D3879C" w14:textId="77777777" w:rsidR="003770DC" w:rsidRPr="00DA5804" w:rsidRDefault="003770DC" w:rsidP="005F5D19">
            <w:pPr>
              <w:rPr>
                <w:sz w:val="16"/>
                <w:szCs w:val="16"/>
              </w:rPr>
            </w:pPr>
            <w:r w:rsidRPr="00DA5804">
              <w:rPr>
                <w:sz w:val="16"/>
                <w:szCs w:val="16"/>
              </w:rPr>
              <w:t>1</w:t>
            </w:r>
            <w:r w:rsidRPr="00DA5804">
              <w:rPr>
                <w:sz w:val="16"/>
                <w:szCs w:val="16"/>
                <w:lang w:val="en-US"/>
              </w:rPr>
              <w:t>a</w:t>
            </w:r>
            <w:r w:rsidRPr="00DA5804">
              <w:rPr>
                <w:sz w:val="16"/>
                <w:szCs w:val="16"/>
              </w:rPr>
              <w:t xml:space="preserve">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c>
          <w:tcPr>
            <w:tcW w:w="3402" w:type="dxa"/>
          </w:tcPr>
          <w:p w14:paraId="59063254" w14:textId="77777777" w:rsidR="003770DC" w:rsidRDefault="003770DC" w:rsidP="005F5D19">
            <w:pPr>
              <w:rPr>
                <w:sz w:val="16"/>
                <w:szCs w:val="16"/>
              </w:rPr>
            </w:pPr>
            <w:r w:rsidRPr="00DA5804">
              <w:rPr>
                <w:sz w:val="16"/>
                <w:szCs w:val="16"/>
              </w:rPr>
              <w:t>ΑΠ1 «Ανάπτυξη επιχειρηματικότητας με τομεακές προτεραιότητες»</w:t>
            </w:r>
          </w:p>
          <w:p w14:paraId="5DC5A55E" w14:textId="77777777" w:rsidR="003770DC" w:rsidRPr="00DA5804" w:rsidRDefault="003770DC" w:rsidP="005F5D19">
            <w:pPr>
              <w:rPr>
                <w:sz w:val="16"/>
                <w:szCs w:val="16"/>
              </w:rPr>
            </w:pPr>
            <w:r w:rsidRPr="00DA5804">
              <w:rPr>
                <w:sz w:val="16"/>
                <w:szCs w:val="16"/>
              </w:rPr>
              <w:t>ΑΠ1</w:t>
            </w:r>
            <w:r>
              <w:rPr>
                <w:sz w:val="16"/>
                <w:szCs w:val="16"/>
              </w:rPr>
              <w:t xml:space="preserve">Σ </w:t>
            </w:r>
            <w:r w:rsidRPr="00DA5804">
              <w:rPr>
                <w:sz w:val="16"/>
                <w:szCs w:val="16"/>
              </w:rPr>
              <w:t>«Ανάπτυξη επιχειρηματικότητας με τομεακές προτεραιότητες (Στερεά Ελλάδα, Νότιο Αιγαίο)»</w:t>
            </w:r>
          </w:p>
        </w:tc>
        <w:tc>
          <w:tcPr>
            <w:tcW w:w="2552" w:type="dxa"/>
          </w:tcPr>
          <w:p w14:paraId="0265F3B9" w14:textId="77777777" w:rsidR="003770DC" w:rsidRPr="00DA5804" w:rsidRDefault="003770DC" w:rsidP="005F5D19">
            <w:pPr>
              <w:rPr>
                <w:sz w:val="16"/>
                <w:szCs w:val="16"/>
              </w:rPr>
            </w:pPr>
            <w:r>
              <w:rPr>
                <w:sz w:val="16"/>
                <w:szCs w:val="16"/>
              </w:rPr>
              <w:t>3.1 «</w:t>
            </w:r>
            <w:r w:rsidRPr="00DA5804">
              <w:rPr>
                <w:sz w:val="16"/>
                <w:szCs w:val="16"/>
              </w:rPr>
              <w:t>Αναβάθμιση ή/και ανάπτυξη υποδομών έρευνας και καινοτομίας για την ανάπτυξη της καινοτομικής ικανότητας της χώρας για τη στήριξη της επιχειρηματικότητας</w:t>
            </w:r>
            <w:r>
              <w:rPr>
                <w:sz w:val="16"/>
                <w:szCs w:val="16"/>
              </w:rPr>
              <w:t>»</w:t>
            </w:r>
          </w:p>
        </w:tc>
      </w:tr>
      <w:tr w:rsidR="003770DC" w:rsidRPr="00DA5804" w14:paraId="4315AF94" w14:textId="77777777" w:rsidTr="003D021E">
        <w:tc>
          <w:tcPr>
            <w:tcW w:w="3539" w:type="dxa"/>
          </w:tcPr>
          <w:p w14:paraId="6D73652F" w14:textId="77777777" w:rsidR="003770DC" w:rsidRPr="00DA5804" w:rsidRDefault="003770DC" w:rsidP="005F5D19">
            <w:pPr>
              <w:rPr>
                <w:sz w:val="16"/>
                <w:szCs w:val="16"/>
              </w:rPr>
            </w:pPr>
            <w:r w:rsidRPr="00DA5804">
              <w:rPr>
                <w:sz w:val="16"/>
                <w:szCs w:val="16"/>
              </w:rPr>
              <w:t>1b ««Προαγωγή επιχειρηματικών επενδύσεων στην έρευνα και καινοτομία, ανάπτυξη δεσμών και συνεργειών μεταξύ επιχειρήσεων, κέντρων έρευνας και ανάπτυξης και του τομέα της τριτοβάθμιας εκπαίδευσης, ιδίως μέσω της προαγωγής επενδύσεων στην ανάπτυξη προϊόντων και υπηρεσιών, στη μεταφορά τεχνολογίας, στην κοινωνική καινοτομία, στην οικολογική καινοτομία, στις εφαρμογές παροχής δημόσιων υπηρεσιών, στην ενθάρρυνση της ζήτησης, στη δικτύωση, στα συμπλέγματα φορέων και στην ανοιχτή καινοτομία μέσω ευφυούς εξειδίκευσης, καθώς και στήριξη της τεχνολογικής και εφαρμοσμένης έρευνας, δοκιμαστικών δράσεων, ενεργειών έγκαιρης επικύρωσης προϊόντων, προηγμένων ικανοτήτων παραγωγής και πρώτης παραγωγής, ειδικά σε βασικές τεχνολογίες, και διάδοση των τεχνολογιών γενικής εφαρμογής»»</w:t>
            </w:r>
          </w:p>
        </w:tc>
        <w:tc>
          <w:tcPr>
            <w:tcW w:w="3402" w:type="dxa"/>
          </w:tcPr>
          <w:p w14:paraId="7EFDB23C" w14:textId="77777777" w:rsidR="003770DC" w:rsidRDefault="003770DC" w:rsidP="005F5D19">
            <w:pPr>
              <w:rPr>
                <w:sz w:val="16"/>
                <w:szCs w:val="16"/>
              </w:rPr>
            </w:pPr>
            <w:r w:rsidRPr="00DA5804">
              <w:rPr>
                <w:sz w:val="16"/>
                <w:szCs w:val="16"/>
              </w:rPr>
              <w:t>ΑΠ</w:t>
            </w:r>
            <w:r>
              <w:rPr>
                <w:sz w:val="16"/>
                <w:szCs w:val="16"/>
              </w:rPr>
              <w:t>3</w:t>
            </w:r>
            <w:r w:rsidRPr="00DA5804">
              <w:rPr>
                <w:sz w:val="16"/>
                <w:szCs w:val="16"/>
              </w:rPr>
              <w:t xml:space="preserve"> «Ανάπτυξη επιχειρηματικότητας με τομεακές προτεραιότητες»</w:t>
            </w:r>
          </w:p>
          <w:p w14:paraId="65AB92DE" w14:textId="77777777" w:rsidR="003770DC" w:rsidRPr="00DA5804" w:rsidRDefault="003770DC" w:rsidP="005F5D19">
            <w:pPr>
              <w:rPr>
                <w:sz w:val="16"/>
                <w:szCs w:val="16"/>
              </w:rPr>
            </w:pPr>
            <w:r>
              <w:rPr>
                <w:sz w:val="16"/>
                <w:szCs w:val="16"/>
              </w:rPr>
              <w:t xml:space="preserve">ΑΠ3Σ </w:t>
            </w:r>
            <w:r w:rsidRPr="00DA5804">
              <w:rPr>
                <w:sz w:val="16"/>
                <w:szCs w:val="16"/>
              </w:rPr>
              <w:t>«Ανάπτυξη επιχειρηματικότητας με τομεακές προτεραιότητες (Στερεά Ελλάδα, Νότιο Αιγαίο)»</w:t>
            </w:r>
          </w:p>
        </w:tc>
        <w:tc>
          <w:tcPr>
            <w:tcW w:w="2552" w:type="dxa"/>
          </w:tcPr>
          <w:p w14:paraId="022E3E39" w14:textId="77777777" w:rsidR="003770DC" w:rsidRPr="00DA5804" w:rsidRDefault="003770DC" w:rsidP="005F5D19">
            <w:pPr>
              <w:rPr>
                <w:sz w:val="16"/>
                <w:szCs w:val="16"/>
              </w:rPr>
            </w:pPr>
            <w:r>
              <w:rPr>
                <w:sz w:val="16"/>
                <w:szCs w:val="16"/>
              </w:rPr>
              <w:t xml:space="preserve">1.1 </w:t>
            </w:r>
            <w:r w:rsidRPr="00DA5804">
              <w:rPr>
                <w:sz w:val="16"/>
                <w:szCs w:val="16"/>
              </w:rPr>
              <w:t>«Αύξηση επιχειρηματικών πρωτοβουλιών και συνεργασιών για την ανάπτυξη καινοτόμου επιχειρηματικότητας σύμφωνα με την εθνική στρατηγική έρευνας και καινοτομίας για έξυπνη εξειδίκευση»</w:t>
            </w:r>
          </w:p>
        </w:tc>
      </w:tr>
    </w:tbl>
    <w:p w14:paraId="31FD9450" w14:textId="77777777" w:rsidR="003770DC" w:rsidRPr="00E81906" w:rsidRDefault="003770DC" w:rsidP="003770DC"/>
    <w:p w14:paraId="682F9FD8" w14:textId="6EF7D194" w:rsidR="003770DC" w:rsidRDefault="00C05541" w:rsidP="00833098">
      <w:r>
        <w:t>Η</w:t>
      </w:r>
      <w:r w:rsidR="003770DC" w:rsidRPr="00537462">
        <w:t xml:space="preserve"> Στρατηγική </w:t>
      </w:r>
      <w:r w:rsidR="003770DC" w:rsidRPr="006C615E">
        <w:t xml:space="preserve">RIS3 </w:t>
      </w:r>
      <w:r w:rsidR="003770DC" w:rsidRPr="00537462">
        <w:t>δομείται στη βάση τριών στρατηγικών επιλογών και τεσσάρων αξόνων προτεραιότητας που «τέμνουν εγκάρσια» τις στρατηγικές επιλογές όπως φαίνεται στον ακόλουθο πίνακα, στον οποίο παρουσιάζονται και οι κατηγορίες παρέμβασης της Στρατηγικής.</w:t>
      </w:r>
    </w:p>
    <w:p w14:paraId="3B3493FA" w14:textId="4318B74C" w:rsidR="00C05541" w:rsidRPr="00BD4534" w:rsidRDefault="00C05541" w:rsidP="00C05541">
      <w:pPr>
        <w:pStyle w:val="Caption"/>
      </w:pPr>
      <w:r w:rsidRPr="00BD4534">
        <w:t xml:space="preserve">Πίνακας </w:t>
      </w:r>
      <w:r>
        <w:rPr>
          <w:noProof/>
        </w:rPr>
        <w:fldChar w:fldCharType="begin"/>
      </w:r>
      <w:r>
        <w:rPr>
          <w:noProof/>
        </w:rPr>
        <w:instrText xml:space="preserve"> STYLEREF 1 \s </w:instrText>
      </w:r>
      <w:r>
        <w:rPr>
          <w:noProof/>
        </w:rPr>
        <w:fldChar w:fldCharType="separate"/>
      </w:r>
      <w:r>
        <w:rPr>
          <w:noProof/>
        </w:rPr>
        <w:t>3</w:t>
      </w:r>
      <w:r>
        <w:rPr>
          <w:noProof/>
        </w:rPr>
        <w:fldChar w:fldCharType="end"/>
      </w:r>
      <w:r>
        <w:noBreakHyphen/>
      </w:r>
      <w:r>
        <w:rPr>
          <w:noProof/>
        </w:rPr>
        <w:fldChar w:fldCharType="begin"/>
      </w:r>
      <w:r>
        <w:rPr>
          <w:noProof/>
        </w:rPr>
        <w:instrText xml:space="preserve"> SEQ Πίνακας \* ARABIC \s 1 </w:instrText>
      </w:r>
      <w:r>
        <w:rPr>
          <w:noProof/>
        </w:rPr>
        <w:fldChar w:fldCharType="separate"/>
      </w:r>
      <w:r>
        <w:rPr>
          <w:noProof/>
        </w:rPr>
        <w:t>1</w:t>
      </w:r>
      <w:r>
        <w:rPr>
          <w:noProof/>
        </w:rPr>
        <w:fldChar w:fldCharType="end"/>
      </w:r>
      <w:r w:rsidRPr="00BD4534">
        <w:t>: Δομή της Εθνικής RIS3 ανά Στρατηγικής Επιλογή, Άξονα και κατηγορίες παρέμβασης</w:t>
      </w:r>
    </w:p>
    <w:tbl>
      <w:tblPr>
        <w:tblW w:w="5000" w:type="pct"/>
        <w:jc w:val="center"/>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ook w:val="0600" w:firstRow="0" w:lastRow="0" w:firstColumn="0" w:lastColumn="0" w:noHBand="1" w:noVBand="1"/>
      </w:tblPr>
      <w:tblGrid>
        <w:gridCol w:w="1510"/>
        <w:gridCol w:w="2597"/>
        <w:gridCol w:w="2738"/>
        <w:gridCol w:w="2552"/>
      </w:tblGrid>
      <w:tr w:rsidR="00C05541" w:rsidRPr="007F6EB5" w14:paraId="4B9029C5" w14:textId="77777777" w:rsidTr="00842E11">
        <w:trPr>
          <w:trHeight w:val="904"/>
          <w:tblHeader/>
          <w:jc w:val="center"/>
        </w:trPr>
        <w:tc>
          <w:tcPr>
            <w:tcW w:w="803" w:type="pct"/>
            <w:shd w:val="clear" w:color="auto" w:fill="800000"/>
            <w:tcMar>
              <w:top w:w="40" w:type="dxa"/>
              <w:left w:w="40" w:type="dxa"/>
              <w:bottom w:w="40" w:type="dxa"/>
              <w:right w:w="40" w:type="dxa"/>
            </w:tcMar>
            <w:vAlign w:val="center"/>
            <w:hideMark/>
          </w:tcPr>
          <w:p w14:paraId="6B1DA53A" w14:textId="77777777" w:rsidR="00C05541" w:rsidRPr="007F6EB5" w:rsidRDefault="00C05541" w:rsidP="00842E11">
            <w:pPr>
              <w:jc w:val="center"/>
              <w:rPr>
                <w:sz w:val="16"/>
                <w:szCs w:val="16"/>
              </w:rPr>
            </w:pPr>
            <w:r w:rsidRPr="007F6EB5">
              <w:rPr>
                <w:b/>
                <w:sz w:val="16"/>
                <w:szCs w:val="16"/>
              </w:rPr>
              <w:t>Στρατηγικές Επιλογές</w:t>
            </w:r>
          </w:p>
        </w:tc>
        <w:tc>
          <w:tcPr>
            <w:tcW w:w="1382" w:type="pct"/>
            <w:shd w:val="clear" w:color="auto" w:fill="800000"/>
            <w:tcMar>
              <w:top w:w="40" w:type="dxa"/>
              <w:left w:w="40" w:type="dxa"/>
              <w:bottom w:w="40" w:type="dxa"/>
              <w:right w:w="40" w:type="dxa"/>
            </w:tcMar>
            <w:vAlign w:val="center"/>
            <w:hideMark/>
          </w:tcPr>
          <w:p w14:paraId="6B587FE1" w14:textId="77777777" w:rsidR="00C05541" w:rsidRPr="007F6EB5" w:rsidRDefault="00C05541" w:rsidP="00842E11">
            <w:pPr>
              <w:jc w:val="center"/>
              <w:rPr>
                <w:sz w:val="16"/>
                <w:szCs w:val="16"/>
              </w:rPr>
            </w:pPr>
            <w:r w:rsidRPr="007F6EB5">
              <w:rPr>
                <w:b/>
                <w:sz w:val="16"/>
                <w:szCs w:val="16"/>
              </w:rPr>
              <w:t>Επένδυση στη δημιουργία και διάχυση της Νέας Γνώσης</w:t>
            </w:r>
          </w:p>
        </w:tc>
        <w:tc>
          <w:tcPr>
            <w:tcW w:w="1457" w:type="pct"/>
            <w:shd w:val="clear" w:color="auto" w:fill="800000"/>
            <w:tcMar>
              <w:top w:w="40" w:type="dxa"/>
              <w:left w:w="40" w:type="dxa"/>
              <w:bottom w:w="40" w:type="dxa"/>
              <w:right w:w="40" w:type="dxa"/>
            </w:tcMar>
            <w:vAlign w:val="center"/>
            <w:hideMark/>
          </w:tcPr>
          <w:p w14:paraId="3D2EC476" w14:textId="77777777" w:rsidR="00C05541" w:rsidRPr="007F6EB5" w:rsidRDefault="00C05541" w:rsidP="00842E11">
            <w:pPr>
              <w:jc w:val="center"/>
              <w:rPr>
                <w:sz w:val="16"/>
                <w:szCs w:val="16"/>
              </w:rPr>
            </w:pPr>
            <w:r w:rsidRPr="007F6EB5">
              <w:rPr>
                <w:b/>
                <w:sz w:val="16"/>
                <w:szCs w:val="16"/>
              </w:rPr>
              <w:t>Επένδυση στην Έρευνα και Καινοτομία</w:t>
            </w:r>
          </w:p>
        </w:tc>
        <w:tc>
          <w:tcPr>
            <w:tcW w:w="1358" w:type="pct"/>
            <w:shd w:val="clear" w:color="auto" w:fill="800000"/>
            <w:tcMar>
              <w:top w:w="40" w:type="dxa"/>
              <w:left w:w="40" w:type="dxa"/>
              <w:bottom w:w="40" w:type="dxa"/>
              <w:right w:w="40" w:type="dxa"/>
            </w:tcMar>
            <w:vAlign w:val="center"/>
          </w:tcPr>
          <w:p w14:paraId="4633C818" w14:textId="77777777" w:rsidR="00C05541" w:rsidRPr="007F6EB5" w:rsidRDefault="00C05541" w:rsidP="00842E11">
            <w:pPr>
              <w:jc w:val="center"/>
              <w:rPr>
                <w:sz w:val="16"/>
                <w:szCs w:val="16"/>
              </w:rPr>
            </w:pPr>
            <w:r w:rsidRPr="007F6EB5">
              <w:rPr>
                <w:b/>
                <w:sz w:val="16"/>
                <w:szCs w:val="16"/>
              </w:rPr>
              <w:t>Ανάπτυξη καινοτομικής νοοτροπίας και θεσμών και διασυνδέσεων Ε.ΤΑ.Κ με την κοινωνία</w:t>
            </w:r>
          </w:p>
        </w:tc>
      </w:tr>
      <w:tr w:rsidR="00C05541" w:rsidRPr="007F6EB5" w14:paraId="1A1E118F" w14:textId="77777777" w:rsidTr="00842E11">
        <w:trPr>
          <w:trHeight w:val="360"/>
          <w:jc w:val="center"/>
        </w:trPr>
        <w:tc>
          <w:tcPr>
            <w:tcW w:w="803" w:type="pct"/>
            <w:shd w:val="clear" w:color="auto" w:fill="EBF1DD"/>
            <w:tcMar>
              <w:top w:w="40" w:type="dxa"/>
              <w:left w:w="40" w:type="dxa"/>
              <w:bottom w:w="40" w:type="dxa"/>
              <w:right w:w="40" w:type="dxa"/>
            </w:tcMar>
            <w:vAlign w:val="bottom"/>
            <w:hideMark/>
          </w:tcPr>
          <w:p w14:paraId="749F375D" w14:textId="77777777" w:rsidR="00C05541" w:rsidRPr="00D21C6A" w:rsidRDefault="00C05541" w:rsidP="00842E11">
            <w:pPr>
              <w:rPr>
                <w:b/>
                <w:sz w:val="16"/>
                <w:szCs w:val="16"/>
              </w:rPr>
            </w:pPr>
            <w:r w:rsidRPr="00D21C6A">
              <w:rPr>
                <w:b/>
                <w:sz w:val="16"/>
                <w:szCs w:val="16"/>
              </w:rPr>
              <w:t>Άξονες Παρέμβασης</w:t>
            </w:r>
          </w:p>
        </w:tc>
        <w:tc>
          <w:tcPr>
            <w:tcW w:w="4197" w:type="pct"/>
            <w:gridSpan w:val="3"/>
            <w:tcMar>
              <w:top w:w="40" w:type="dxa"/>
              <w:left w:w="40" w:type="dxa"/>
              <w:bottom w:w="40" w:type="dxa"/>
              <w:right w:w="40" w:type="dxa"/>
            </w:tcMar>
            <w:vAlign w:val="center"/>
            <w:hideMark/>
          </w:tcPr>
          <w:p w14:paraId="1B1BF1F5" w14:textId="77777777" w:rsidR="00C05541" w:rsidRPr="00D21C6A" w:rsidRDefault="00C05541" w:rsidP="00842E11">
            <w:pPr>
              <w:jc w:val="center"/>
              <w:rPr>
                <w:b/>
                <w:sz w:val="16"/>
                <w:szCs w:val="16"/>
              </w:rPr>
            </w:pPr>
            <w:r w:rsidRPr="00D21C6A">
              <w:rPr>
                <w:b/>
                <w:sz w:val="16"/>
                <w:szCs w:val="16"/>
              </w:rPr>
              <w:t>Κατηγορίες παρέμβασης</w:t>
            </w:r>
          </w:p>
        </w:tc>
      </w:tr>
      <w:tr w:rsidR="00C05541" w:rsidRPr="007F6EB5" w14:paraId="4A3FA699" w14:textId="77777777" w:rsidTr="00842E11">
        <w:trPr>
          <w:jc w:val="center"/>
        </w:trPr>
        <w:tc>
          <w:tcPr>
            <w:tcW w:w="803" w:type="pct"/>
            <w:shd w:val="clear" w:color="auto" w:fill="EBF1DD"/>
            <w:tcMar>
              <w:top w:w="40" w:type="dxa"/>
              <w:left w:w="40" w:type="dxa"/>
              <w:bottom w:w="40" w:type="dxa"/>
              <w:right w:w="40" w:type="dxa"/>
            </w:tcMar>
            <w:vAlign w:val="center"/>
            <w:hideMark/>
          </w:tcPr>
          <w:p w14:paraId="0E944E5A" w14:textId="77777777" w:rsidR="00C05541" w:rsidRPr="007F6EB5" w:rsidRDefault="00C05541" w:rsidP="00842E11">
            <w:pPr>
              <w:jc w:val="left"/>
              <w:rPr>
                <w:sz w:val="16"/>
                <w:szCs w:val="16"/>
              </w:rPr>
            </w:pPr>
            <w:r w:rsidRPr="007F6EB5">
              <w:rPr>
                <w:sz w:val="16"/>
                <w:szCs w:val="16"/>
              </w:rPr>
              <w:t>α. Ανάπτυξη δυναμικού (capacity building)</w:t>
            </w:r>
          </w:p>
        </w:tc>
        <w:tc>
          <w:tcPr>
            <w:tcW w:w="1382" w:type="pct"/>
            <w:tcMar>
              <w:top w:w="40" w:type="dxa"/>
              <w:left w:w="40" w:type="dxa"/>
              <w:bottom w:w="40" w:type="dxa"/>
              <w:right w:w="40" w:type="dxa"/>
            </w:tcMar>
            <w:hideMark/>
          </w:tcPr>
          <w:p w14:paraId="6A8E9D66" w14:textId="77777777" w:rsidR="00C05541" w:rsidRPr="007F6EB5" w:rsidRDefault="00C05541" w:rsidP="00842E11">
            <w:pPr>
              <w:rPr>
                <w:sz w:val="16"/>
                <w:szCs w:val="16"/>
              </w:rPr>
            </w:pPr>
            <w:r w:rsidRPr="007F6EB5">
              <w:rPr>
                <w:sz w:val="16"/>
                <w:szCs w:val="16"/>
              </w:rPr>
              <w:t>1.α. Ανάπτυξη δυναμικού ΕΤΑΚ στους τομείς εξειδίκευσης</w:t>
            </w:r>
          </w:p>
          <w:p w14:paraId="7C392F90" w14:textId="77777777" w:rsidR="00C05541" w:rsidRPr="007F6EB5" w:rsidRDefault="00C05541" w:rsidP="00842E11">
            <w:pPr>
              <w:rPr>
                <w:sz w:val="16"/>
                <w:szCs w:val="16"/>
              </w:rPr>
            </w:pPr>
            <w:r w:rsidRPr="007F6EB5">
              <w:rPr>
                <w:sz w:val="16"/>
                <w:szCs w:val="16"/>
              </w:rPr>
              <w:t>1.α.1  Ενίσχυση ερευνητικών υποδομών σύμφωνα με τον Εθνικό Οδικό Χάρτη Ερευνητικών Υποδομών</w:t>
            </w:r>
          </w:p>
          <w:p w14:paraId="38E29B87" w14:textId="77777777" w:rsidR="00C05541" w:rsidRPr="007F6EB5" w:rsidRDefault="00C05541" w:rsidP="00842E11">
            <w:pPr>
              <w:rPr>
                <w:sz w:val="16"/>
                <w:szCs w:val="16"/>
              </w:rPr>
            </w:pPr>
            <w:r w:rsidRPr="007F6EB5">
              <w:rPr>
                <w:sz w:val="16"/>
                <w:szCs w:val="16"/>
              </w:rPr>
              <w:t>1.α.2 Εξειδικευμένα δίκτυα κέντρων ικανότητας (competence centers)</w:t>
            </w:r>
          </w:p>
          <w:p w14:paraId="68755964" w14:textId="77777777" w:rsidR="00C05541" w:rsidRPr="007F6EB5" w:rsidRDefault="00C05541" w:rsidP="00842E11">
            <w:pPr>
              <w:rPr>
                <w:sz w:val="16"/>
                <w:szCs w:val="16"/>
              </w:rPr>
            </w:pPr>
            <w:r w:rsidRPr="007F6EB5">
              <w:rPr>
                <w:sz w:val="16"/>
                <w:szCs w:val="16"/>
              </w:rPr>
              <w:t>1.α.3 Ανάπτυξη επαγγελματικών γνώσεων και δεξιοτήτων σε θέματα πνευματικής ιδιοκτησίας, διαχείρισης καινοτομίας και τεχνολογίας, εξαγωγών κοκ</w:t>
            </w:r>
          </w:p>
        </w:tc>
        <w:tc>
          <w:tcPr>
            <w:tcW w:w="1457" w:type="pct"/>
            <w:tcMar>
              <w:top w:w="40" w:type="dxa"/>
              <w:left w:w="40" w:type="dxa"/>
              <w:bottom w:w="40" w:type="dxa"/>
              <w:right w:w="40" w:type="dxa"/>
            </w:tcMar>
            <w:hideMark/>
          </w:tcPr>
          <w:p w14:paraId="78F338E0" w14:textId="77777777" w:rsidR="00C05541" w:rsidRPr="007F6EB5" w:rsidRDefault="00C05541" w:rsidP="00842E11">
            <w:pPr>
              <w:rPr>
                <w:sz w:val="16"/>
                <w:szCs w:val="16"/>
              </w:rPr>
            </w:pPr>
            <w:r w:rsidRPr="007F6EB5">
              <w:rPr>
                <w:sz w:val="16"/>
                <w:szCs w:val="16"/>
              </w:rPr>
              <w:t>2.α. Εκκόλαψη νέων επιχειρηματικών παικτών</w:t>
            </w:r>
          </w:p>
          <w:p w14:paraId="25D9EAA1" w14:textId="77777777" w:rsidR="00C05541" w:rsidRPr="007F6EB5" w:rsidRDefault="00C05541" w:rsidP="00842E11">
            <w:pPr>
              <w:rPr>
                <w:sz w:val="16"/>
                <w:szCs w:val="16"/>
              </w:rPr>
            </w:pPr>
            <w:r w:rsidRPr="007F6EB5">
              <w:rPr>
                <w:sz w:val="16"/>
                <w:szCs w:val="16"/>
              </w:rPr>
              <w:t>2.α.1 Ενίσχυση επιχειρηματικών ομάδων στο στάδιο εκκόλαψης</w:t>
            </w:r>
          </w:p>
          <w:p w14:paraId="340AE2B4" w14:textId="77777777" w:rsidR="00C05541" w:rsidRPr="007F6EB5" w:rsidRDefault="00C05541" w:rsidP="00842E11">
            <w:pPr>
              <w:rPr>
                <w:sz w:val="16"/>
                <w:szCs w:val="16"/>
              </w:rPr>
            </w:pPr>
            <w:r w:rsidRPr="007F6EB5">
              <w:rPr>
                <w:sz w:val="16"/>
                <w:szCs w:val="16"/>
              </w:rPr>
              <w:t>2.α.2 Ενίσχυση της ίδρυσης και ανάπτυξης νεοφυών επιχειρήσεων</w:t>
            </w:r>
          </w:p>
          <w:p w14:paraId="20A7E06B" w14:textId="77777777" w:rsidR="00C05541" w:rsidRPr="007F6EB5" w:rsidRDefault="00C05541" w:rsidP="00842E11">
            <w:pPr>
              <w:rPr>
                <w:sz w:val="16"/>
                <w:szCs w:val="16"/>
              </w:rPr>
            </w:pPr>
            <w:r w:rsidRPr="007F6EB5">
              <w:rPr>
                <w:sz w:val="16"/>
                <w:szCs w:val="16"/>
              </w:rPr>
              <w:t>2.α.3 Αξιοποίηση ερευνητικών αποτελεσμάτων (proof-of- concept)</w:t>
            </w:r>
          </w:p>
          <w:p w14:paraId="63593838" w14:textId="77777777" w:rsidR="00C05541" w:rsidRPr="007F6EB5" w:rsidRDefault="00C05541" w:rsidP="00842E11">
            <w:pPr>
              <w:rPr>
                <w:sz w:val="16"/>
                <w:szCs w:val="16"/>
              </w:rPr>
            </w:pPr>
            <w:r w:rsidRPr="007F6EB5">
              <w:rPr>
                <w:sz w:val="16"/>
                <w:szCs w:val="16"/>
              </w:rPr>
              <w:t>2.α.4 Ανάπτυξη τεχνοβλαστών (Spin off/out)</w:t>
            </w:r>
          </w:p>
          <w:p w14:paraId="70CEA3E4" w14:textId="77777777" w:rsidR="00C05541" w:rsidRPr="007F6EB5" w:rsidRDefault="00C05541" w:rsidP="00842E11">
            <w:pPr>
              <w:rPr>
                <w:sz w:val="16"/>
                <w:szCs w:val="16"/>
              </w:rPr>
            </w:pPr>
            <w:r w:rsidRPr="007F6EB5">
              <w:rPr>
                <w:sz w:val="16"/>
                <w:szCs w:val="16"/>
              </w:rPr>
              <w:t xml:space="preserve">2.α.5 Ενίσχυση υφιστάμενων και ίδρυση καινοτομικών συνεργατικών σχηματισμών </w:t>
            </w:r>
          </w:p>
        </w:tc>
        <w:tc>
          <w:tcPr>
            <w:tcW w:w="1358" w:type="pct"/>
            <w:tcMar>
              <w:top w:w="40" w:type="dxa"/>
              <w:left w:w="40" w:type="dxa"/>
              <w:bottom w:w="40" w:type="dxa"/>
              <w:right w:w="40" w:type="dxa"/>
            </w:tcMar>
            <w:hideMark/>
          </w:tcPr>
          <w:p w14:paraId="42726314" w14:textId="77777777" w:rsidR="00C05541" w:rsidRPr="007F6EB5" w:rsidRDefault="00C05541" w:rsidP="00842E11">
            <w:pPr>
              <w:rPr>
                <w:sz w:val="16"/>
                <w:szCs w:val="16"/>
              </w:rPr>
            </w:pPr>
            <w:r w:rsidRPr="007F6EB5">
              <w:rPr>
                <w:sz w:val="16"/>
                <w:szCs w:val="16"/>
              </w:rPr>
              <w:t>3.α. Ενίσχυση μηχανισμών και θεσμικού πλαισίου</w:t>
            </w:r>
          </w:p>
          <w:p w14:paraId="394FDCD8" w14:textId="77777777" w:rsidR="00C05541" w:rsidRPr="007F6EB5" w:rsidRDefault="00C05541" w:rsidP="00842E11">
            <w:pPr>
              <w:rPr>
                <w:sz w:val="16"/>
                <w:szCs w:val="16"/>
              </w:rPr>
            </w:pPr>
            <w:r w:rsidRPr="007F6EB5">
              <w:rPr>
                <w:sz w:val="16"/>
                <w:szCs w:val="16"/>
              </w:rPr>
              <w:t>3.α.1  Ίδρυση και ενίσχυση νέων χρηματοδοτικών εργαλείων</w:t>
            </w:r>
          </w:p>
          <w:p w14:paraId="47D8177F" w14:textId="77777777" w:rsidR="00C05541" w:rsidRPr="007F6EB5" w:rsidRDefault="00C05541" w:rsidP="00842E11">
            <w:pPr>
              <w:rPr>
                <w:sz w:val="16"/>
                <w:szCs w:val="16"/>
              </w:rPr>
            </w:pPr>
            <w:r w:rsidRPr="007F6EB5">
              <w:rPr>
                <w:sz w:val="16"/>
                <w:szCs w:val="16"/>
              </w:rPr>
              <w:t>3.α.2 Ταμείο Αξιοποίησης Διανοητικής Ιδιοκτησίας (Patent Pool Fund)</w:t>
            </w:r>
          </w:p>
          <w:p w14:paraId="480A327C" w14:textId="77777777" w:rsidR="00C05541" w:rsidRPr="007F6EB5" w:rsidRDefault="00C05541" w:rsidP="00842E11">
            <w:pPr>
              <w:rPr>
                <w:sz w:val="16"/>
                <w:szCs w:val="16"/>
              </w:rPr>
            </w:pPr>
            <w:r w:rsidRPr="007F6EB5">
              <w:rPr>
                <w:sz w:val="16"/>
                <w:szCs w:val="16"/>
              </w:rPr>
              <w:t>3.α.3 Μητρώο συμβούλων σε ζητήματα διαχείρισης πνευματικής και βιομηχανικής ιδιοκτησίας</w:t>
            </w:r>
          </w:p>
        </w:tc>
      </w:tr>
      <w:tr w:rsidR="00C05541" w:rsidRPr="007F6EB5" w14:paraId="0E32F078" w14:textId="77777777" w:rsidTr="00842E11">
        <w:trPr>
          <w:jc w:val="center"/>
        </w:trPr>
        <w:tc>
          <w:tcPr>
            <w:tcW w:w="803" w:type="pct"/>
            <w:shd w:val="clear" w:color="auto" w:fill="EBF1DD"/>
            <w:tcMar>
              <w:top w:w="40" w:type="dxa"/>
              <w:left w:w="40" w:type="dxa"/>
              <w:bottom w:w="40" w:type="dxa"/>
              <w:right w:w="40" w:type="dxa"/>
            </w:tcMar>
            <w:vAlign w:val="center"/>
            <w:hideMark/>
          </w:tcPr>
          <w:p w14:paraId="06E71679" w14:textId="77777777" w:rsidR="00C05541" w:rsidRPr="007F6EB5" w:rsidRDefault="00C05541" w:rsidP="00842E11">
            <w:pPr>
              <w:jc w:val="left"/>
              <w:rPr>
                <w:sz w:val="16"/>
                <w:szCs w:val="16"/>
              </w:rPr>
            </w:pPr>
            <w:r w:rsidRPr="007F6EB5">
              <w:rPr>
                <w:sz w:val="16"/>
                <w:szCs w:val="16"/>
              </w:rPr>
              <w:t>β. Ενίσχυση δραστηριοτήτων ΕΤΑΚ</w:t>
            </w:r>
          </w:p>
        </w:tc>
        <w:tc>
          <w:tcPr>
            <w:tcW w:w="1382" w:type="pct"/>
            <w:tcMar>
              <w:top w:w="40" w:type="dxa"/>
              <w:left w:w="40" w:type="dxa"/>
              <w:bottom w:w="40" w:type="dxa"/>
              <w:right w:w="40" w:type="dxa"/>
            </w:tcMar>
            <w:hideMark/>
          </w:tcPr>
          <w:p w14:paraId="6A55E018" w14:textId="77777777" w:rsidR="00C05541" w:rsidRPr="007F6EB5" w:rsidRDefault="00C05541" w:rsidP="00842E11">
            <w:pPr>
              <w:rPr>
                <w:sz w:val="16"/>
                <w:szCs w:val="16"/>
              </w:rPr>
            </w:pPr>
            <w:r w:rsidRPr="007F6EB5">
              <w:rPr>
                <w:sz w:val="16"/>
                <w:szCs w:val="16"/>
              </w:rPr>
              <w:t>1.β. Ενίσχυση δραστηριοτήτων ΕΤΑΚ και νησίδων αριστείας</w:t>
            </w:r>
          </w:p>
          <w:p w14:paraId="7B82E523" w14:textId="77777777" w:rsidR="00C05541" w:rsidRPr="007F6EB5" w:rsidRDefault="00C05541" w:rsidP="00842E11">
            <w:pPr>
              <w:rPr>
                <w:sz w:val="16"/>
                <w:szCs w:val="16"/>
              </w:rPr>
            </w:pPr>
            <w:r w:rsidRPr="007F6EB5">
              <w:rPr>
                <w:sz w:val="16"/>
                <w:szCs w:val="16"/>
              </w:rPr>
              <w:t>1.β.1. Ενίσχυση του ανθρώπινου ερευνητικού δυναμικού μέσω της υλοποίησης διδακτορικής έρευνας)</w:t>
            </w:r>
          </w:p>
          <w:p w14:paraId="679D698C" w14:textId="77777777" w:rsidR="00C05541" w:rsidRPr="007F6EB5" w:rsidRDefault="00C05541" w:rsidP="00842E11">
            <w:pPr>
              <w:rPr>
                <w:sz w:val="16"/>
                <w:szCs w:val="16"/>
              </w:rPr>
            </w:pPr>
            <w:r w:rsidRPr="007F6EB5">
              <w:rPr>
                <w:sz w:val="16"/>
                <w:szCs w:val="16"/>
              </w:rPr>
              <w:t>1.β.2 Υποστήριξη της ερευνητικής διάστασης της τριτοβάθμιας εκπαίδευσης</w:t>
            </w:r>
          </w:p>
          <w:p w14:paraId="1CE70730" w14:textId="77777777" w:rsidR="00C05541" w:rsidRPr="007F6EB5" w:rsidRDefault="00C05541" w:rsidP="00842E11">
            <w:pPr>
              <w:rPr>
                <w:sz w:val="16"/>
                <w:szCs w:val="16"/>
              </w:rPr>
            </w:pPr>
            <w:r w:rsidRPr="007F6EB5">
              <w:rPr>
                <w:sz w:val="16"/>
                <w:szCs w:val="16"/>
              </w:rPr>
              <w:t>1.β.3 Ενίσχυση μεταδιδακτόρων ερευνητών/τριών</w:t>
            </w:r>
          </w:p>
          <w:p w14:paraId="660B826B" w14:textId="77777777" w:rsidR="00C05541" w:rsidRPr="007F6EB5" w:rsidRDefault="00C05541" w:rsidP="00842E11">
            <w:pPr>
              <w:rPr>
                <w:sz w:val="16"/>
                <w:szCs w:val="16"/>
              </w:rPr>
            </w:pPr>
            <w:r w:rsidRPr="007F6EB5">
              <w:rPr>
                <w:sz w:val="16"/>
                <w:szCs w:val="16"/>
              </w:rPr>
              <w:t>1.β.4 Χρηματοδότηση προτάσεων που αξιολογήθηκαν θετικά στα ERC Grant Schemes, αλλά δεν χρηματοδοτήθηκαν</w:t>
            </w:r>
          </w:p>
          <w:p w14:paraId="629735BC" w14:textId="77777777" w:rsidR="00C05541" w:rsidRPr="007F6EB5" w:rsidRDefault="00C05541" w:rsidP="00842E11">
            <w:pPr>
              <w:rPr>
                <w:sz w:val="16"/>
                <w:szCs w:val="16"/>
              </w:rPr>
            </w:pPr>
            <w:r w:rsidRPr="007F6EB5">
              <w:rPr>
                <w:sz w:val="16"/>
                <w:szCs w:val="16"/>
              </w:rPr>
              <w:t>1.β.5 Συνεργατικές πρωτοβουλίες ΕΤΑΚ</w:t>
            </w:r>
          </w:p>
          <w:p w14:paraId="5DF55898" w14:textId="77777777" w:rsidR="00C05541" w:rsidRPr="007F6EB5" w:rsidRDefault="00C05541" w:rsidP="00842E11">
            <w:pPr>
              <w:rPr>
                <w:sz w:val="16"/>
                <w:szCs w:val="16"/>
              </w:rPr>
            </w:pPr>
            <w:r w:rsidRPr="007F6EB5">
              <w:rPr>
                <w:sz w:val="16"/>
                <w:szCs w:val="16"/>
              </w:rPr>
              <w:t>1.β.6 Ανάπτυξη καινοτόμων προϊόντων/υπηρεσιών που προτείνονται από επιχειρήσεις, κλπ. (customer- driven)</w:t>
            </w:r>
          </w:p>
          <w:p w14:paraId="28549D41" w14:textId="77777777" w:rsidR="00C05541" w:rsidRPr="007F6EB5" w:rsidRDefault="00C05541" w:rsidP="00842E11">
            <w:pPr>
              <w:rPr>
                <w:sz w:val="16"/>
                <w:szCs w:val="16"/>
              </w:rPr>
            </w:pPr>
            <w:r w:rsidRPr="007F6EB5">
              <w:rPr>
                <w:sz w:val="16"/>
                <w:szCs w:val="16"/>
              </w:rPr>
              <w:t>1.β.7 Ενίσχυση για την πραγματοποίηση δοκιμών προϊόντων και υπηρεσιών</w:t>
            </w:r>
          </w:p>
          <w:p w14:paraId="51219EE1" w14:textId="77777777" w:rsidR="00C05541" w:rsidRPr="007F6EB5" w:rsidRDefault="00C05541" w:rsidP="00842E11">
            <w:pPr>
              <w:rPr>
                <w:sz w:val="16"/>
                <w:szCs w:val="16"/>
              </w:rPr>
            </w:pPr>
            <w:r w:rsidRPr="007F6EB5">
              <w:rPr>
                <w:sz w:val="16"/>
                <w:szCs w:val="16"/>
              </w:rPr>
              <w:lastRenderedPageBreak/>
              <w:t>1.β.8 Στρατηγικά Σχέδια Ερευνητικών Φορέων</w:t>
            </w:r>
          </w:p>
          <w:p w14:paraId="11D8F688" w14:textId="77777777" w:rsidR="00C05541" w:rsidRPr="007F6EB5" w:rsidRDefault="00C05541" w:rsidP="00842E11">
            <w:pPr>
              <w:rPr>
                <w:sz w:val="16"/>
                <w:szCs w:val="16"/>
              </w:rPr>
            </w:pPr>
            <w:r w:rsidRPr="007F6EB5">
              <w:rPr>
                <w:sz w:val="16"/>
                <w:szCs w:val="16"/>
              </w:rPr>
              <w:t>1.β.9 Ολοκληρωμένες Στρατηγικές Έρευνας ΑΕΙ</w:t>
            </w:r>
          </w:p>
        </w:tc>
        <w:tc>
          <w:tcPr>
            <w:tcW w:w="1457" w:type="pct"/>
            <w:tcMar>
              <w:top w:w="40" w:type="dxa"/>
              <w:left w:w="40" w:type="dxa"/>
              <w:bottom w:w="40" w:type="dxa"/>
              <w:right w:w="40" w:type="dxa"/>
            </w:tcMar>
            <w:hideMark/>
          </w:tcPr>
          <w:p w14:paraId="4B767C3F" w14:textId="77777777" w:rsidR="00C05541" w:rsidRPr="007F6EB5" w:rsidRDefault="00C05541" w:rsidP="00842E11">
            <w:pPr>
              <w:rPr>
                <w:sz w:val="16"/>
                <w:szCs w:val="16"/>
              </w:rPr>
            </w:pPr>
            <w:r w:rsidRPr="007F6EB5">
              <w:rPr>
                <w:sz w:val="16"/>
                <w:szCs w:val="16"/>
              </w:rPr>
              <w:lastRenderedPageBreak/>
              <w:t xml:space="preserve">2.β. Ενίσχυση της ενδογενούς έρευνας και καινοτομίας στις επιχειρήσεις </w:t>
            </w:r>
          </w:p>
          <w:p w14:paraId="1B89699C" w14:textId="77777777" w:rsidR="00C05541" w:rsidRPr="007F6EB5" w:rsidRDefault="00C05541" w:rsidP="00842E11">
            <w:pPr>
              <w:rPr>
                <w:sz w:val="16"/>
                <w:szCs w:val="16"/>
              </w:rPr>
            </w:pPr>
            <w:r w:rsidRPr="007F6EB5">
              <w:rPr>
                <w:sz w:val="16"/>
                <w:szCs w:val="16"/>
              </w:rPr>
              <w:t>2.β.1 Ενιαία δράση κρατικών ενισχύσεων ΕΤΑΚ: ΕΡΕΥΝΩ – ΚΑΙΝΟΤΟΜΩ – ΔΗΜΙΟΥΡΓΩ</w:t>
            </w:r>
          </w:p>
          <w:p w14:paraId="01A54EA8" w14:textId="77777777" w:rsidR="00C05541" w:rsidRPr="007F6EB5" w:rsidRDefault="00C05541" w:rsidP="00842E11">
            <w:pPr>
              <w:rPr>
                <w:sz w:val="16"/>
                <w:szCs w:val="16"/>
              </w:rPr>
            </w:pPr>
            <w:r w:rsidRPr="007F6EB5">
              <w:rPr>
                <w:sz w:val="16"/>
                <w:szCs w:val="16"/>
              </w:rPr>
              <w:t>i. Πρωτοεμφανιζόμενες στην έρευνα επιχειρήσεις</w:t>
            </w:r>
          </w:p>
          <w:p w14:paraId="3DC7335C" w14:textId="77777777" w:rsidR="00C05541" w:rsidRPr="007F6EB5" w:rsidRDefault="00C05541" w:rsidP="00842E11">
            <w:pPr>
              <w:rPr>
                <w:sz w:val="16"/>
                <w:szCs w:val="16"/>
              </w:rPr>
            </w:pPr>
            <w:r w:rsidRPr="007F6EB5">
              <w:rPr>
                <w:sz w:val="16"/>
                <w:szCs w:val="16"/>
              </w:rPr>
              <w:t>ii. Μικρομεσαίες επιχειρήσεις</w:t>
            </w:r>
          </w:p>
          <w:p w14:paraId="1E0A3055" w14:textId="77777777" w:rsidR="00C05541" w:rsidRPr="007F6EB5" w:rsidRDefault="00C05541" w:rsidP="00842E11">
            <w:pPr>
              <w:rPr>
                <w:sz w:val="16"/>
                <w:szCs w:val="16"/>
              </w:rPr>
            </w:pPr>
            <w:r w:rsidRPr="007F6EB5">
              <w:rPr>
                <w:sz w:val="16"/>
                <w:szCs w:val="16"/>
              </w:rPr>
              <w:t>iii.1 Συμπράξεις επιχειρήσεων με άλλους φορείς (Μικρές συνεργασίες)</w:t>
            </w:r>
          </w:p>
          <w:p w14:paraId="07ECFF01" w14:textId="77777777" w:rsidR="00C05541" w:rsidRPr="007F6EB5" w:rsidRDefault="00C05541" w:rsidP="00842E11">
            <w:pPr>
              <w:rPr>
                <w:sz w:val="16"/>
                <w:szCs w:val="16"/>
              </w:rPr>
            </w:pPr>
            <w:r w:rsidRPr="007F6EB5">
              <w:rPr>
                <w:sz w:val="16"/>
                <w:szCs w:val="16"/>
              </w:rPr>
              <w:t>iii.2 Συμπράξεις ομάδων επιχειρήσεων με άλλους φορείς (Μεγάλες συνεργασίες)</w:t>
            </w:r>
          </w:p>
          <w:p w14:paraId="29FF7FD6" w14:textId="77777777" w:rsidR="00C05541" w:rsidRPr="007F6EB5" w:rsidRDefault="00C05541" w:rsidP="00842E11">
            <w:pPr>
              <w:rPr>
                <w:sz w:val="16"/>
                <w:szCs w:val="16"/>
              </w:rPr>
            </w:pPr>
            <w:r w:rsidRPr="007F6EB5">
              <w:rPr>
                <w:sz w:val="16"/>
                <w:szCs w:val="16"/>
              </w:rPr>
              <w:t>iv. Ενσωμάτωση ερευνητικών αποτελεσμάτων στην παραγωγική διαδικασία</w:t>
            </w:r>
          </w:p>
          <w:p w14:paraId="49D8109B" w14:textId="77777777" w:rsidR="00C05541" w:rsidRPr="007F6EB5" w:rsidRDefault="00C05541" w:rsidP="00842E11">
            <w:pPr>
              <w:rPr>
                <w:sz w:val="16"/>
                <w:szCs w:val="16"/>
              </w:rPr>
            </w:pPr>
            <w:r w:rsidRPr="007F6EB5">
              <w:rPr>
                <w:sz w:val="16"/>
                <w:szCs w:val="16"/>
              </w:rPr>
              <w:t>2.β.2 Ενίσχυση ανάπτυξης προϊόντων και υπηρεσιών ΤΠΕ</w:t>
            </w:r>
          </w:p>
          <w:p w14:paraId="0101D850" w14:textId="77777777" w:rsidR="00C05541" w:rsidRPr="007F6EB5" w:rsidRDefault="00C05541" w:rsidP="00842E11">
            <w:pPr>
              <w:rPr>
                <w:sz w:val="16"/>
                <w:szCs w:val="16"/>
              </w:rPr>
            </w:pPr>
            <w:r w:rsidRPr="007F6EB5">
              <w:rPr>
                <w:sz w:val="16"/>
                <w:szCs w:val="16"/>
              </w:rPr>
              <w:t>2.β.3 Ανάπτυξη εφαρμογών e-επιχειρείν από μεμονωμένες επιχειρήσεις ή ομάδες επιχειρήσεων</w:t>
            </w:r>
          </w:p>
          <w:p w14:paraId="3ED42BE9" w14:textId="77777777" w:rsidR="00C05541" w:rsidRPr="007F6EB5" w:rsidRDefault="00C05541" w:rsidP="00842E11">
            <w:pPr>
              <w:rPr>
                <w:sz w:val="16"/>
                <w:szCs w:val="16"/>
              </w:rPr>
            </w:pPr>
            <w:r w:rsidRPr="007F6EB5">
              <w:rPr>
                <w:sz w:val="16"/>
                <w:szCs w:val="16"/>
              </w:rPr>
              <w:lastRenderedPageBreak/>
              <w:t>2.β.4 Ενίσχυση επενδύσεων σε υφιστάμενες επιχειρήσεις για την εισαγωγή νέων προϊόντων και υπηρεσιών στην αγορά και για την ανάπτυξη και εφαρμογή σύγχρονων μεθόδων παραγωγής</w:t>
            </w:r>
          </w:p>
          <w:p w14:paraId="6CA561FC" w14:textId="77777777" w:rsidR="00C05541" w:rsidRPr="007F6EB5" w:rsidRDefault="00C05541" w:rsidP="00842E11">
            <w:pPr>
              <w:rPr>
                <w:sz w:val="16"/>
                <w:szCs w:val="16"/>
              </w:rPr>
            </w:pPr>
            <w:r w:rsidRPr="007F6EB5">
              <w:rPr>
                <w:sz w:val="16"/>
                <w:szCs w:val="16"/>
              </w:rPr>
              <w:t>2.β.5 Στήριξη των επιχειρήσεων για τη δημιουργία και την επέκταση προηγμένων ικανοτήτων, για την ανάπτυξη προϊόντων και υπηρεσιών σε νέους τομείς</w:t>
            </w:r>
          </w:p>
        </w:tc>
        <w:tc>
          <w:tcPr>
            <w:tcW w:w="1358" w:type="pct"/>
            <w:tcMar>
              <w:top w:w="40" w:type="dxa"/>
              <w:left w:w="40" w:type="dxa"/>
              <w:bottom w:w="40" w:type="dxa"/>
              <w:right w:w="40" w:type="dxa"/>
            </w:tcMar>
            <w:hideMark/>
          </w:tcPr>
          <w:p w14:paraId="1FACEBC6" w14:textId="77777777" w:rsidR="00C05541" w:rsidRPr="007F6EB5" w:rsidRDefault="00C05541" w:rsidP="00842E11">
            <w:pPr>
              <w:rPr>
                <w:sz w:val="16"/>
                <w:szCs w:val="16"/>
              </w:rPr>
            </w:pPr>
            <w:r w:rsidRPr="007F6EB5">
              <w:rPr>
                <w:sz w:val="16"/>
                <w:szCs w:val="16"/>
              </w:rPr>
              <w:lastRenderedPageBreak/>
              <w:t>3.β. Ενίσχυση της ζήτησης για καινοτομία από τη δημόσια διοίκηση</w:t>
            </w:r>
          </w:p>
          <w:p w14:paraId="47DDBBB5" w14:textId="77777777" w:rsidR="00C05541" w:rsidRPr="007F6EB5" w:rsidRDefault="00C05541" w:rsidP="00842E11">
            <w:pPr>
              <w:rPr>
                <w:sz w:val="16"/>
                <w:szCs w:val="16"/>
              </w:rPr>
            </w:pPr>
            <w:r w:rsidRPr="007F6EB5">
              <w:rPr>
                <w:sz w:val="16"/>
                <w:szCs w:val="16"/>
              </w:rPr>
              <w:t>3.β.1 Καινοτόμες προ-εμπορευματικές δημόσιες προμήθειες (pre-commercial procurements - PCPs) ΘΣ 2,4,5,6,7</w:t>
            </w:r>
          </w:p>
          <w:p w14:paraId="2076F21C" w14:textId="77777777" w:rsidR="00C05541" w:rsidRPr="007F6EB5" w:rsidRDefault="00C05541" w:rsidP="00842E11">
            <w:pPr>
              <w:rPr>
                <w:sz w:val="16"/>
                <w:szCs w:val="16"/>
              </w:rPr>
            </w:pPr>
            <w:r w:rsidRPr="007F6EB5">
              <w:rPr>
                <w:sz w:val="16"/>
                <w:szCs w:val="16"/>
              </w:rPr>
              <w:t xml:space="preserve">3.β.2 Ανάπτυξη και εφαρμογή “πρωτοκόλλων” ή  σημάτων </w:t>
            </w:r>
          </w:p>
        </w:tc>
      </w:tr>
      <w:tr w:rsidR="00C05541" w:rsidRPr="007F6EB5" w14:paraId="118132AD" w14:textId="77777777" w:rsidTr="00842E11">
        <w:trPr>
          <w:jc w:val="center"/>
        </w:trPr>
        <w:tc>
          <w:tcPr>
            <w:tcW w:w="803" w:type="pct"/>
            <w:shd w:val="clear" w:color="auto" w:fill="EBF1DD"/>
            <w:tcMar>
              <w:top w:w="40" w:type="dxa"/>
              <w:left w:w="40" w:type="dxa"/>
              <w:bottom w:w="40" w:type="dxa"/>
              <w:right w:w="40" w:type="dxa"/>
            </w:tcMar>
            <w:vAlign w:val="center"/>
            <w:hideMark/>
          </w:tcPr>
          <w:p w14:paraId="533FEC55" w14:textId="77777777" w:rsidR="00C05541" w:rsidRPr="007F6EB5" w:rsidRDefault="00C05541" w:rsidP="00842E11">
            <w:pPr>
              <w:rPr>
                <w:sz w:val="16"/>
                <w:szCs w:val="16"/>
              </w:rPr>
            </w:pPr>
            <w:r w:rsidRPr="007F6EB5">
              <w:rPr>
                <w:sz w:val="16"/>
                <w:szCs w:val="16"/>
              </w:rPr>
              <w:t>γ. Μηχανισμοί και δομές υποστήριξης</w:t>
            </w:r>
          </w:p>
        </w:tc>
        <w:tc>
          <w:tcPr>
            <w:tcW w:w="1382" w:type="pct"/>
            <w:tcMar>
              <w:top w:w="40" w:type="dxa"/>
              <w:left w:w="40" w:type="dxa"/>
              <w:bottom w:w="40" w:type="dxa"/>
              <w:right w:w="40" w:type="dxa"/>
            </w:tcMar>
            <w:hideMark/>
          </w:tcPr>
          <w:p w14:paraId="565A5052" w14:textId="77777777" w:rsidR="00C05541" w:rsidRPr="007F6EB5" w:rsidRDefault="00C05541" w:rsidP="00842E11">
            <w:pPr>
              <w:rPr>
                <w:sz w:val="16"/>
                <w:szCs w:val="16"/>
              </w:rPr>
            </w:pPr>
            <w:r w:rsidRPr="007F6EB5">
              <w:rPr>
                <w:sz w:val="16"/>
                <w:szCs w:val="16"/>
              </w:rPr>
              <w:t>1.γ Ενίσχυση (Υπο)δομών δικτύωσης</w:t>
            </w:r>
          </w:p>
          <w:p w14:paraId="61C832A7" w14:textId="77777777" w:rsidR="00C05541" w:rsidRPr="007F6EB5" w:rsidRDefault="00C05541" w:rsidP="00842E11">
            <w:pPr>
              <w:rPr>
                <w:sz w:val="16"/>
                <w:szCs w:val="16"/>
              </w:rPr>
            </w:pPr>
            <w:r w:rsidRPr="007F6EB5">
              <w:rPr>
                <w:sz w:val="16"/>
                <w:szCs w:val="16"/>
              </w:rPr>
              <w:t>1.γ.1 Διαμόρφωση &amp; λειτουργία ψηφιακής πλατφόρμας έρευνας και καινοτομίας*</w:t>
            </w:r>
          </w:p>
          <w:p w14:paraId="584C1AD7" w14:textId="77777777" w:rsidR="00C05541" w:rsidRPr="007F6EB5" w:rsidRDefault="00C05541" w:rsidP="00842E11">
            <w:pPr>
              <w:rPr>
                <w:sz w:val="16"/>
                <w:szCs w:val="16"/>
              </w:rPr>
            </w:pPr>
            <w:r w:rsidRPr="007F6EB5">
              <w:rPr>
                <w:sz w:val="16"/>
                <w:szCs w:val="16"/>
              </w:rPr>
              <w:t>1.γ.2 Γραφεία αξιοποίησης τεχνολογίας</w:t>
            </w:r>
          </w:p>
          <w:p w14:paraId="7AAE92B4" w14:textId="77777777" w:rsidR="00C05541" w:rsidRPr="007F6EB5" w:rsidRDefault="00C05541" w:rsidP="00842E11">
            <w:pPr>
              <w:rPr>
                <w:sz w:val="16"/>
                <w:szCs w:val="16"/>
              </w:rPr>
            </w:pPr>
            <w:r w:rsidRPr="007F6EB5">
              <w:rPr>
                <w:sz w:val="16"/>
                <w:szCs w:val="16"/>
              </w:rPr>
              <w:t>1.γ.3 Ενίσχυση και διεύρυνση της δραστηριότητας και του ρόλου των Μονάδων Καινοτομίας και Επιχειρηματικότητας (ΜΟΚΕ)</w:t>
            </w:r>
          </w:p>
          <w:p w14:paraId="163EF31D" w14:textId="77777777" w:rsidR="00C05541" w:rsidRPr="007F6EB5" w:rsidRDefault="00C05541" w:rsidP="00842E11">
            <w:pPr>
              <w:rPr>
                <w:sz w:val="16"/>
                <w:szCs w:val="16"/>
              </w:rPr>
            </w:pPr>
            <w:r w:rsidRPr="007F6EB5">
              <w:rPr>
                <w:sz w:val="16"/>
                <w:szCs w:val="16"/>
              </w:rPr>
              <w:t>1.γ.4 Εκσυγχρονισμός των εσωτερικών δικτυακών υποδομών όλων των ΑΕΙ και των ΕΚ της χώρας)</w:t>
            </w:r>
          </w:p>
          <w:p w14:paraId="08014C6C" w14:textId="77777777" w:rsidR="00C05541" w:rsidRPr="007F6EB5" w:rsidRDefault="00C05541" w:rsidP="00842E11">
            <w:pPr>
              <w:rPr>
                <w:sz w:val="16"/>
                <w:szCs w:val="16"/>
              </w:rPr>
            </w:pPr>
            <w:r w:rsidRPr="007F6EB5">
              <w:rPr>
                <w:sz w:val="16"/>
                <w:szCs w:val="16"/>
              </w:rPr>
              <w:t>1.γ.5 Ένταξη Νοσοκομειακών Μονάδων στο εθνικό ακαδημαϊκό δίκτυο ΕΔΕΤ για την υποστήριξη ερευνητικών και κλινικών δραστηριοτήτων στην ιατρική και στη βιολογία, σε νεφoϋπολογιστικό περιβάλλον (Cloud Computing)  - επέκταση στις υπόλοιπες 5 περιφέρεις της χώρας</w:t>
            </w:r>
          </w:p>
        </w:tc>
        <w:tc>
          <w:tcPr>
            <w:tcW w:w="1457" w:type="pct"/>
            <w:tcMar>
              <w:top w:w="40" w:type="dxa"/>
              <w:left w:w="40" w:type="dxa"/>
              <w:bottom w:w="40" w:type="dxa"/>
              <w:right w:w="40" w:type="dxa"/>
            </w:tcMar>
          </w:tcPr>
          <w:p w14:paraId="34DD7725" w14:textId="77777777" w:rsidR="00C05541" w:rsidRPr="007F6EB5" w:rsidRDefault="00C05541" w:rsidP="00842E11">
            <w:pPr>
              <w:rPr>
                <w:sz w:val="16"/>
                <w:szCs w:val="16"/>
              </w:rPr>
            </w:pPr>
            <w:r w:rsidRPr="007F6EB5">
              <w:rPr>
                <w:sz w:val="16"/>
                <w:szCs w:val="16"/>
              </w:rPr>
              <w:t xml:space="preserve">2.γ Υποδομές και μηχανισμοί στήριξης καινοτόμου επιχειρηματικότητας </w:t>
            </w:r>
          </w:p>
          <w:p w14:paraId="2F308ADA" w14:textId="77777777" w:rsidR="00C05541" w:rsidRPr="007F6EB5" w:rsidRDefault="00C05541" w:rsidP="00842E11">
            <w:pPr>
              <w:rPr>
                <w:sz w:val="16"/>
                <w:szCs w:val="16"/>
              </w:rPr>
            </w:pPr>
            <w:r w:rsidRPr="007F6EB5">
              <w:rPr>
                <w:sz w:val="16"/>
                <w:szCs w:val="16"/>
              </w:rPr>
              <w:t>2.γ.1.Ενίσχυση της ανάπτυξης ψηφιακών πλατφορμών επιχειρηματικών συναλλαγών και συνεργασίας μεταξύ επιχειρήσεων, μεταξύ επιχειρήσεων και καταναλωτών και μεταξύ επιχειρήσεων και φορέων του δημοσίου</w:t>
            </w:r>
          </w:p>
          <w:p w14:paraId="744BA0D0" w14:textId="77777777" w:rsidR="00C05541" w:rsidRPr="007F6EB5" w:rsidRDefault="00C05541" w:rsidP="00842E11">
            <w:pPr>
              <w:rPr>
                <w:sz w:val="16"/>
                <w:szCs w:val="16"/>
              </w:rPr>
            </w:pPr>
          </w:p>
        </w:tc>
        <w:tc>
          <w:tcPr>
            <w:tcW w:w="1358" w:type="pct"/>
            <w:tcMar>
              <w:top w:w="40" w:type="dxa"/>
              <w:left w:w="40" w:type="dxa"/>
              <w:bottom w:w="40" w:type="dxa"/>
              <w:right w:w="40" w:type="dxa"/>
            </w:tcMar>
          </w:tcPr>
          <w:p w14:paraId="146540AE" w14:textId="77777777" w:rsidR="00C05541" w:rsidRPr="007F6EB5" w:rsidRDefault="00C05541" w:rsidP="00842E11">
            <w:pPr>
              <w:rPr>
                <w:sz w:val="16"/>
                <w:szCs w:val="16"/>
              </w:rPr>
            </w:pPr>
            <w:r w:rsidRPr="007F6EB5">
              <w:rPr>
                <w:sz w:val="16"/>
                <w:szCs w:val="16"/>
              </w:rPr>
              <w:t>3.γ Μηχανισμοί Επιχειρηματικής Ανακάλυψης και Τεκμηρίωσης</w:t>
            </w:r>
          </w:p>
          <w:p w14:paraId="0B6F0318" w14:textId="77777777" w:rsidR="00C05541" w:rsidRPr="007F6EB5" w:rsidRDefault="00C05541" w:rsidP="00842E11">
            <w:pPr>
              <w:rPr>
                <w:sz w:val="16"/>
                <w:szCs w:val="16"/>
              </w:rPr>
            </w:pPr>
            <w:r w:rsidRPr="007F6EB5">
              <w:rPr>
                <w:sz w:val="16"/>
                <w:szCs w:val="16"/>
              </w:rPr>
              <w:t>3.γ.1 Μηχανισμός Επιχειρηματικής ανακάλυψης</w:t>
            </w:r>
          </w:p>
          <w:p w14:paraId="3CD665D1" w14:textId="77777777" w:rsidR="00C05541" w:rsidRPr="007F6EB5" w:rsidRDefault="00C05541" w:rsidP="00842E11">
            <w:pPr>
              <w:rPr>
                <w:sz w:val="16"/>
                <w:szCs w:val="16"/>
              </w:rPr>
            </w:pPr>
            <w:r w:rsidRPr="007F6EB5">
              <w:rPr>
                <w:sz w:val="16"/>
                <w:szCs w:val="16"/>
              </w:rPr>
              <w:t>3.γ.2  Εγκατάσταση Μηχανισμού Παρακολούθησης (monitoring mechanism) της υλοποίησης της εθνικής στρατηγικής RIS3</w:t>
            </w:r>
          </w:p>
          <w:p w14:paraId="080CE250" w14:textId="77777777" w:rsidR="00C05541" w:rsidRPr="007F6EB5" w:rsidRDefault="00C05541" w:rsidP="00842E11">
            <w:pPr>
              <w:rPr>
                <w:sz w:val="16"/>
                <w:szCs w:val="16"/>
              </w:rPr>
            </w:pPr>
          </w:p>
          <w:p w14:paraId="7152D34D" w14:textId="77777777" w:rsidR="00C05541" w:rsidRPr="007F6EB5" w:rsidRDefault="00C05541" w:rsidP="00842E11">
            <w:pPr>
              <w:rPr>
                <w:sz w:val="16"/>
                <w:szCs w:val="16"/>
              </w:rPr>
            </w:pPr>
          </w:p>
        </w:tc>
      </w:tr>
      <w:tr w:rsidR="00C05541" w:rsidRPr="007F6EB5" w14:paraId="68EC4A9B" w14:textId="77777777" w:rsidTr="00842E11">
        <w:trPr>
          <w:jc w:val="center"/>
        </w:trPr>
        <w:tc>
          <w:tcPr>
            <w:tcW w:w="803" w:type="pct"/>
            <w:shd w:val="clear" w:color="auto" w:fill="EBF1DD"/>
            <w:tcMar>
              <w:top w:w="40" w:type="dxa"/>
              <w:left w:w="40" w:type="dxa"/>
              <w:bottom w:w="40" w:type="dxa"/>
              <w:right w:w="40" w:type="dxa"/>
            </w:tcMar>
            <w:vAlign w:val="center"/>
            <w:hideMark/>
          </w:tcPr>
          <w:p w14:paraId="2481DA83" w14:textId="77777777" w:rsidR="00C05541" w:rsidRPr="007F6EB5" w:rsidRDefault="00C05541" w:rsidP="00842E11">
            <w:pPr>
              <w:rPr>
                <w:b/>
                <w:sz w:val="16"/>
                <w:szCs w:val="16"/>
              </w:rPr>
            </w:pPr>
            <w:r w:rsidRPr="007F6EB5">
              <w:rPr>
                <w:sz w:val="16"/>
                <w:szCs w:val="16"/>
              </w:rPr>
              <w:t>δ. Εξωστρέφεια και δικτύωση</w:t>
            </w:r>
          </w:p>
        </w:tc>
        <w:tc>
          <w:tcPr>
            <w:tcW w:w="1382" w:type="pct"/>
            <w:tcMar>
              <w:top w:w="40" w:type="dxa"/>
              <w:left w:w="40" w:type="dxa"/>
              <w:bottom w:w="40" w:type="dxa"/>
              <w:right w:w="40" w:type="dxa"/>
            </w:tcMar>
          </w:tcPr>
          <w:p w14:paraId="24A887E4" w14:textId="77777777" w:rsidR="00C05541" w:rsidRPr="007F6EB5" w:rsidRDefault="00C05541" w:rsidP="00842E11">
            <w:pPr>
              <w:rPr>
                <w:sz w:val="16"/>
                <w:szCs w:val="16"/>
              </w:rPr>
            </w:pPr>
            <w:r w:rsidRPr="007F6EB5">
              <w:rPr>
                <w:sz w:val="16"/>
                <w:szCs w:val="16"/>
              </w:rPr>
              <w:t xml:space="preserve">1.δ. Διασύνδεση και συνεργασία σε ΕΤΑΚ </w:t>
            </w:r>
          </w:p>
          <w:p w14:paraId="7072076C" w14:textId="77777777" w:rsidR="00C05541" w:rsidRPr="007F6EB5" w:rsidRDefault="00C05541" w:rsidP="00842E11">
            <w:pPr>
              <w:rPr>
                <w:sz w:val="16"/>
                <w:szCs w:val="16"/>
              </w:rPr>
            </w:pPr>
            <w:r w:rsidRPr="007F6EB5">
              <w:rPr>
                <w:sz w:val="16"/>
                <w:szCs w:val="16"/>
              </w:rPr>
              <w:t>1.δ.1 Ενίσχυση συμμετοχής σε διακρατικά/διευρωπαϊκά δίκτυα, προγράμματα και πρωτοβουλίες  - ERANETS-FETs</w:t>
            </w:r>
          </w:p>
          <w:p w14:paraId="6193B304" w14:textId="77777777" w:rsidR="00C05541" w:rsidRPr="007F6EB5" w:rsidRDefault="00C05541" w:rsidP="00842E11">
            <w:pPr>
              <w:rPr>
                <w:sz w:val="16"/>
                <w:szCs w:val="16"/>
              </w:rPr>
            </w:pPr>
            <w:r w:rsidRPr="007F6EB5">
              <w:rPr>
                <w:sz w:val="16"/>
                <w:szCs w:val="16"/>
              </w:rPr>
              <w:t>1.δ.2 Δράσεις διμερών και διακρατικών συνεργασιών</w:t>
            </w:r>
          </w:p>
          <w:p w14:paraId="7A479929" w14:textId="77777777" w:rsidR="00C05541" w:rsidRPr="007F6EB5" w:rsidRDefault="00C05541" w:rsidP="00842E11">
            <w:pPr>
              <w:rPr>
                <w:sz w:val="16"/>
                <w:szCs w:val="16"/>
              </w:rPr>
            </w:pPr>
          </w:p>
        </w:tc>
        <w:tc>
          <w:tcPr>
            <w:tcW w:w="1457" w:type="pct"/>
            <w:tcMar>
              <w:top w:w="40" w:type="dxa"/>
              <w:left w:w="40" w:type="dxa"/>
              <w:bottom w:w="40" w:type="dxa"/>
              <w:right w:w="40" w:type="dxa"/>
            </w:tcMar>
            <w:hideMark/>
          </w:tcPr>
          <w:p w14:paraId="27CBABA3" w14:textId="77777777" w:rsidR="00C05541" w:rsidRPr="007F6EB5" w:rsidRDefault="00C05541" w:rsidP="00842E11">
            <w:pPr>
              <w:rPr>
                <w:sz w:val="16"/>
                <w:szCs w:val="16"/>
              </w:rPr>
            </w:pPr>
            <w:r w:rsidRPr="007F6EB5">
              <w:rPr>
                <w:sz w:val="16"/>
                <w:szCs w:val="16"/>
              </w:rPr>
              <w:t>2.δ  Επιχειρηματική εξωστρέφεια</w:t>
            </w:r>
          </w:p>
          <w:p w14:paraId="4B845BDD" w14:textId="77777777" w:rsidR="00C05541" w:rsidRPr="007F6EB5" w:rsidRDefault="00C05541" w:rsidP="00842E11">
            <w:pPr>
              <w:rPr>
                <w:sz w:val="16"/>
                <w:szCs w:val="16"/>
              </w:rPr>
            </w:pPr>
            <w:r w:rsidRPr="007F6EB5">
              <w:rPr>
                <w:sz w:val="16"/>
                <w:szCs w:val="16"/>
              </w:rPr>
              <w:t>2.δ.1 Προετοιμασία, εφαρμογή και αξιολόγηση τομεακών ή κλαδικών σχεδίων εξωστρέφειας*</w:t>
            </w:r>
          </w:p>
          <w:p w14:paraId="2FC50A59" w14:textId="77777777" w:rsidR="00C05541" w:rsidRPr="007F6EB5" w:rsidRDefault="00C05541" w:rsidP="00842E11">
            <w:pPr>
              <w:rPr>
                <w:sz w:val="16"/>
                <w:szCs w:val="16"/>
              </w:rPr>
            </w:pPr>
            <w:r w:rsidRPr="007F6EB5">
              <w:rPr>
                <w:sz w:val="16"/>
                <w:szCs w:val="16"/>
              </w:rPr>
              <w:t>2.δ.2 Εξειδικευμένες μελέτες για στόχευση αγορών (market analysis), προϊόντων και συγκριτικής ανάλυσης του ανταγωνισμού*</w:t>
            </w:r>
          </w:p>
        </w:tc>
        <w:tc>
          <w:tcPr>
            <w:tcW w:w="1358" w:type="pct"/>
            <w:tcMar>
              <w:top w:w="40" w:type="dxa"/>
              <w:left w:w="40" w:type="dxa"/>
              <w:bottom w:w="40" w:type="dxa"/>
              <w:right w:w="40" w:type="dxa"/>
            </w:tcMar>
            <w:hideMark/>
          </w:tcPr>
          <w:p w14:paraId="352AC2BD" w14:textId="77777777" w:rsidR="00C05541" w:rsidRPr="007F6EB5" w:rsidRDefault="00C05541" w:rsidP="00842E11">
            <w:pPr>
              <w:rPr>
                <w:sz w:val="16"/>
                <w:szCs w:val="16"/>
              </w:rPr>
            </w:pPr>
            <w:r w:rsidRPr="007F6EB5">
              <w:rPr>
                <w:sz w:val="16"/>
                <w:szCs w:val="16"/>
              </w:rPr>
              <w:t>3.δ Ανάπτυξη καινοτομικής κουλτούρας</w:t>
            </w:r>
          </w:p>
          <w:p w14:paraId="447D8E4C" w14:textId="77777777" w:rsidR="00C05541" w:rsidRPr="007F6EB5" w:rsidRDefault="00C05541" w:rsidP="00842E11">
            <w:pPr>
              <w:rPr>
                <w:sz w:val="16"/>
                <w:szCs w:val="16"/>
              </w:rPr>
            </w:pPr>
            <w:r w:rsidRPr="007F6EB5">
              <w:rPr>
                <w:sz w:val="16"/>
                <w:szCs w:val="16"/>
              </w:rPr>
              <w:t>3.δ.1 Ανάπτυξη έργων επίδειξης και πιλοτικών έργων- εφαρμογής αποτελεσμάτων έρευνας</w:t>
            </w:r>
          </w:p>
          <w:p w14:paraId="1FC8D7F2" w14:textId="77777777" w:rsidR="00C05541" w:rsidRPr="007F6EB5" w:rsidRDefault="00C05541" w:rsidP="00842E11">
            <w:pPr>
              <w:rPr>
                <w:sz w:val="16"/>
                <w:szCs w:val="16"/>
              </w:rPr>
            </w:pPr>
            <w:r w:rsidRPr="007F6EB5">
              <w:rPr>
                <w:sz w:val="16"/>
                <w:szCs w:val="16"/>
              </w:rPr>
              <w:t>3.δ.2 Ενίσχυση συμμετοχής σε διεθνείς επιστημονικές διοργανώσεις, διαγωνισμούς κλπ.</w:t>
            </w:r>
          </w:p>
          <w:p w14:paraId="77112CB0" w14:textId="77777777" w:rsidR="00C05541" w:rsidRPr="007F6EB5" w:rsidRDefault="00C05541" w:rsidP="00842E11">
            <w:pPr>
              <w:rPr>
                <w:b/>
                <w:sz w:val="16"/>
                <w:szCs w:val="16"/>
              </w:rPr>
            </w:pPr>
            <w:r w:rsidRPr="007F6EB5">
              <w:rPr>
                <w:sz w:val="16"/>
                <w:szCs w:val="16"/>
              </w:rPr>
              <w:t>3.δ.3 Προβολή κοινωνικής σημασίας έργου ΕΤΑΚ</w:t>
            </w:r>
          </w:p>
        </w:tc>
      </w:tr>
    </w:tbl>
    <w:p w14:paraId="34300A43" w14:textId="77777777" w:rsidR="00C05541" w:rsidRDefault="00C05541" w:rsidP="00833098"/>
    <w:p w14:paraId="0614190F" w14:textId="77777777" w:rsidR="003770DC" w:rsidRPr="00B247D8" w:rsidRDefault="003770DC" w:rsidP="003770DC">
      <w:r w:rsidRPr="00B247D8">
        <w:t>Σκοπός της ανάλυσης των στοιχείων που παρατίθενται στη συνέχεια είναι η παρακολούθηση της τήρησης των βασικών επιλογών, προτεραιοτήτων και κατευθύνσεων της Στρατηγικής RIS3 και η παρακολούθηση της προόδου υλοποίησης των δράσεων της εθνικής και των περιφερειακών στρατηγικών RIS3.</w:t>
      </w:r>
    </w:p>
    <w:p w14:paraId="4C120407" w14:textId="77777777" w:rsidR="003770DC" w:rsidRPr="00B247D8" w:rsidRDefault="003770DC" w:rsidP="003770DC">
      <w:r w:rsidRPr="00B247D8">
        <w:t>Οι δράσεις που περιλαμβάνονται λοιπόν στις ανωτέρω Επενδυτικές Προτεραιότητες και κατ’ επέκταση στους αντίστοιχους Άξονες Προτεραιότητας, είναι αυτές που θα μελετηθούν ώστε να γίνει μια προσέγγιση αναφορικά με τη συνάφεια και συνέπειά τους ως προς τους στόχους της Στρατηγικής RIS3 και τους τομείς προτεραιότητάς της.</w:t>
      </w:r>
    </w:p>
    <w:p w14:paraId="6A31677E" w14:textId="77777777" w:rsidR="003770DC" w:rsidRDefault="003770DC" w:rsidP="003770DC">
      <w:pPr>
        <w:pStyle w:val="Heading2"/>
        <w:rPr>
          <w:rFonts w:eastAsia="Calibri"/>
        </w:rPr>
      </w:pPr>
      <w:bookmarkStart w:id="8" w:name="_Toc22645398"/>
      <w:r w:rsidRPr="00CD0CAF">
        <w:rPr>
          <w:rFonts w:eastAsia="Calibri"/>
        </w:rPr>
        <w:t>Ανάλυση δράσεων ΕΠΑνΕΚ</w:t>
      </w:r>
      <w:bookmarkEnd w:id="8"/>
      <w:r w:rsidRPr="00CD0CAF">
        <w:rPr>
          <w:rFonts w:eastAsia="Calibri"/>
        </w:rPr>
        <w:t xml:space="preserve"> </w:t>
      </w:r>
    </w:p>
    <w:p w14:paraId="045C3CA5" w14:textId="77777777" w:rsidR="00766A04" w:rsidRPr="00CD0CAF" w:rsidRDefault="00766A04" w:rsidP="00766A04">
      <w:pPr>
        <w:pStyle w:val="Heading3"/>
        <w:rPr>
          <w:rFonts w:eastAsia="Calibri"/>
        </w:rPr>
      </w:pPr>
      <w:bookmarkStart w:id="9" w:name="_Toc22645399"/>
      <w:r w:rsidRPr="00CD0CAF">
        <w:rPr>
          <w:rFonts w:eastAsia="Calibri"/>
        </w:rPr>
        <w:t>Δράσεις ΕΠΑνΕΚ στο πλαίσιο της Επενδυτικής Προτεραιότητας 1</w:t>
      </w:r>
      <w:r w:rsidRPr="00CD0CAF">
        <w:rPr>
          <w:rFonts w:eastAsia="Calibri"/>
          <w:lang w:val="en-US"/>
        </w:rPr>
        <w:t>a</w:t>
      </w:r>
      <w:bookmarkEnd w:id="9"/>
    </w:p>
    <w:p w14:paraId="618F40AF" w14:textId="77777777" w:rsidR="00766A04" w:rsidRPr="000D5F33" w:rsidRDefault="00766A04" w:rsidP="00766A04">
      <w:r w:rsidRPr="000D5F33">
        <w:t>Η Επενδυτική Προτεραιότητα 1a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 υποστηρίζει τη στρατηγικής της Έξυπνης Εξειδίκευσης, για το λόγο αυτό εξετάζεται η πρόοδος υλοποίησης των έργων εκείνων που εντάσσονται στον Άξονα Προτεραιότητας 3 «Ανάπτυξη μηχανισμών στήριξης της επιχειρηματικότητας» και στον Άξονα Προτεραιότητας 3Σ «Ανάπτυξη μηχανισμών στήριξης της επιχειρηματικότητας (Στερεά Ελλάδα-Νότιο Αιγαίο)» του ΕΠΑνΕΚ, καθώς αποτελεί τους Άξονες εκείνους που περιλαμβάνουν τη συγκεκριμένη Επενδυτική Προτεραιότητα.</w:t>
      </w:r>
    </w:p>
    <w:p w14:paraId="4FB162FF" w14:textId="77777777" w:rsidR="00766A04" w:rsidRPr="000D5F33" w:rsidRDefault="00766A04" w:rsidP="00766A04">
      <w:r w:rsidRPr="000D5F33">
        <w:t>Ειδικότερα, στο πλαίσιο του Ειδικού Στόχου  3.1 «Αναβάθμιση ή/και ανάπτυξη υποδομών έρευνας και καινοτομίας για την ανάπτυξη της καινοτομικής ικανότητας της χώρας για τη στήριξη της επιχειρηματικότητας» προβλέπεται η ενίσχυση υφιστάμενων ή νέων ερευνητικών υποδομών εθνικής σημασίας, που απαιτούνται για υποστήριξη της στρατηγικής έξυπνης εξειδίκευσης και του Ευρωπαϊκού Χάρτη Ερευνητικών Υποδομών (ESFRI), δημιουργώντας ελκυστικό περιβάλλον για την έρευνα, για την προώθηση της καινοτομίας και για τη δημιουργία οικοσυστήματος καινοτομίας στην Ελλάδα. Εκτιμώμενα αποτελέσματα του συγκεκριμένου Ειδικού Στόχου, είναι τα εξής:</w:t>
      </w:r>
    </w:p>
    <w:p w14:paraId="632FC047" w14:textId="77777777" w:rsidR="00766A04" w:rsidRPr="000D5F33" w:rsidRDefault="00766A04" w:rsidP="00D22350">
      <w:pPr>
        <w:pStyle w:val="ListParagraph"/>
        <w:numPr>
          <w:ilvl w:val="0"/>
          <w:numId w:val="16"/>
        </w:numPr>
      </w:pPr>
      <w:r w:rsidRPr="000D5F33">
        <w:t>Βελτίωση της καινοτομικής ικανότητας της χώρας και σύνδεση αυτής με την αγορά, για τη δημιουργία οικοσυστήματος καινοτομίας</w:t>
      </w:r>
      <w:r>
        <w:t>.</w:t>
      </w:r>
    </w:p>
    <w:p w14:paraId="39F0565C" w14:textId="77777777" w:rsidR="00766A04" w:rsidRPr="000D5F33" w:rsidRDefault="00766A04" w:rsidP="00D22350">
      <w:pPr>
        <w:pStyle w:val="ListParagraph"/>
        <w:numPr>
          <w:ilvl w:val="0"/>
          <w:numId w:val="16"/>
        </w:numPr>
      </w:pPr>
      <w:r w:rsidRPr="000D5F33">
        <w:t>Συμβολή της χώρας στον Ενιαίο Ευρωπαϊκό Χώρο Έρευνας</w:t>
      </w:r>
      <w:r>
        <w:t>.</w:t>
      </w:r>
    </w:p>
    <w:p w14:paraId="542DD6D8" w14:textId="77777777" w:rsidR="00766A04" w:rsidRPr="000D5F33" w:rsidRDefault="00766A04" w:rsidP="00D22350">
      <w:pPr>
        <w:pStyle w:val="ListParagraph"/>
        <w:numPr>
          <w:ilvl w:val="0"/>
          <w:numId w:val="16"/>
        </w:numPr>
      </w:pPr>
      <w:r w:rsidRPr="000D5F33">
        <w:t>Βελτίωση της ανταγωνιστικότητας των ελληνικών επιχειρήσεων και αύξηση παραγωγής καινοτόμων προϊόντων και υπηρεσιών</w:t>
      </w:r>
      <w:r>
        <w:t>.</w:t>
      </w:r>
    </w:p>
    <w:p w14:paraId="7D980AFC" w14:textId="77777777" w:rsidR="00766A04" w:rsidRPr="000D5F33" w:rsidRDefault="00766A04" w:rsidP="00D22350">
      <w:pPr>
        <w:pStyle w:val="ListParagraph"/>
        <w:numPr>
          <w:ilvl w:val="0"/>
          <w:numId w:val="16"/>
        </w:numPr>
      </w:pPr>
      <w:r w:rsidRPr="000D5F33">
        <w:t>Δημιουργία ελκυστικού ερευνητικού περιβάλλοντος το οποίο θα προσελκύσει ιδιωτικές επενδύσεις, συνεργασίες και συμπράξεις σε θέματα έρευνας και καινοτομία</w:t>
      </w:r>
      <w:r>
        <w:t>ς.</w:t>
      </w:r>
    </w:p>
    <w:p w14:paraId="4CEA62AD" w14:textId="77777777" w:rsidR="00766A04" w:rsidRDefault="00766A04" w:rsidP="00766A04">
      <w:pPr>
        <w:rPr>
          <w:szCs w:val="18"/>
        </w:rPr>
      </w:pPr>
      <w:r>
        <w:rPr>
          <w:szCs w:val="18"/>
        </w:rPr>
        <w:t xml:space="preserve">Σε συνέχεια των ανωτέρω και στο πλαίσιο της παρούσας έκθεσης, εξετάζεται η πορεία υλοποίησης των προαναφερθέντων Αξόνων Προτεραιότητας του ΕΠΑΝΕΚ έως και τις </w:t>
      </w:r>
      <w:r w:rsidRPr="00986830">
        <w:rPr>
          <w:szCs w:val="18"/>
        </w:rPr>
        <w:t>31.12.2018</w:t>
      </w:r>
      <w:r>
        <w:rPr>
          <w:szCs w:val="18"/>
        </w:rPr>
        <w:t>.</w:t>
      </w:r>
    </w:p>
    <w:p w14:paraId="56D86DDF" w14:textId="77777777" w:rsidR="00766A04" w:rsidRDefault="00766A04" w:rsidP="00766A04">
      <w:pPr>
        <w:rPr>
          <w:szCs w:val="18"/>
        </w:rPr>
      </w:pPr>
      <w:r>
        <w:rPr>
          <w:szCs w:val="18"/>
        </w:rPr>
        <w:t xml:space="preserve">Έως το τέλος του 2018, </w:t>
      </w:r>
      <w:r w:rsidRPr="00986830">
        <w:rPr>
          <w:szCs w:val="18"/>
        </w:rPr>
        <w:t>είχαν εκδοθεί</w:t>
      </w:r>
      <w:r w:rsidRPr="0004617F">
        <w:rPr>
          <w:b/>
          <w:szCs w:val="18"/>
        </w:rPr>
        <w:t xml:space="preserve"> 3 Προσκλήσεις</w:t>
      </w:r>
      <w:r>
        <w:rPr>
          <w:szCs w:val="18"/>
        </w:rPr>
        <w:t xml:space="preserve">, οι δύο εκ των οποίων αφορούσαν στην ενίσχυση υποδομών έρευνας και τεχνολογίας (δύο κύκλοι) και η τρίτη αφορούσε στην </w:t>
      </w:r>
      <w:r w:rsidRPr="00512C7A">
        <w:rPr>
          <w:szCs w:val="18"/>
        </w:rPr>
        <w:t>ενίσχυση έργων υψηλής ερευνητικής και επιστημονικής στάθμης</w:t>
      </w:r>
      <w:r>
        <w:rPr>
          <w:szCs w:val="18"/>
        </w:rPr>
        <w:t xml:space="preserve"> </w:t>
      </w:r>
      <w:r w:rsidRPr="00512C7A">
        <w:rPr>
          <w:szCs w:val="18"/>
        </w:rPr>
        <w:t xml:space="preserve">και </w:t>
      </w:r>
      <w:r>
        <w:rPr>
          <w:szCs w:val="18"/>
        </w:rPr>
        <w:t xml:space="preserve">στην </w:t>
      </w:r>
      <w:r w:rsidRPr="00512C7A">
        <w:rPr>
          <w:szCs w:val="18"/>
        </w:rPr>
        <w:t>αξιοποίηση των αποτελεσ</w:t>
      </w:r>
      <w:r>
        <w:rPr>
          <w:szCs w:val="18"/>
        </w:rPr>
        <w:t xml:space="preserve">μάτων που θα προέλθουν από αυτά. Παρακάτω, παρατίθενται συνοπτικά στοιχεία των εν λόγω Προσκλήσεων. </w:t>
      </w:r>
    </w:p>
    <w:p w14:paraId="47FBFAD9" w14:textId="77777777" w:rsidR="00766A04" w:rsidRPr="0069759E"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i/>
        </w:rPr>
      </w:pPr>
      <w:r w:rsidRPr="0069759E">
        <w:rPr>
          <w:b/>
          <w:i/>
        </w:rPr>
        <w:t>Πρόσκληση: «Ενίσχυση των υποδομών έρευνας και καινοτομίας» (Α΄ κύκλος)</w:t>
      </w:r>
    </w:p>
    <w:p w14:paraId="28D333D2" w14:textId="77777777" w:rsidR="00766A04" w:rsidRPr="00DF43D2"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DF43D2">
        <w:t>Στις 29.07.2016 δημοσιεύθηκε η πρόσκληση (αρ. πρωτ. 4047/1137/Α2) «Ενίσχυση των υποδομών</w:t>
      </w:r>
      <w:r w:rsidRPr="00523EE7">
        <w:rPr>
          <w:i/>
        </w:rPr>
        <w:t xml:space="preserve"> </w:t>
      </w:r>
      <w:r w:rsidRPr="00DF43D2">
        <w:t xml:space="preserve">έρευνας και καινοτομίας». Ο προϋπολογισμός της πρόσκλησης ανέρχονταν 73.000.000 € (ΔΔ) και η καταληκτική ημερομηνία υποβολής προτάσεων ήταν η 21.10.2016.  </w:t>
      </w:r>
    </w:p>
    <w:p w14:paraId="4977C2B9" w14:textId="77777777" w:rsidR="00766A04"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DF43D2">
        <w:t>Η Πρόσκληση αφορούσε στην υποβολή εκ μέρους συγκεκριμένων ερευνητικών φορέων της χώρας</w:t>
      </w:r>
      <w:r>
        <w:t xml:space="preserve"> (οι</w:t>
      </w:r>
      <w:r w:rsidRPr="002E3181">
        <w:t xml:space="preserve"> προτάσε</w:t>
      </w:r>
      <w:r>
        <w:t>ις</w:t>
      </w:r>
      <w:r w:rsidRPr="002E3181">
        <w:t xml:space="preserve"> των οποίων έχουν περιληφθεί στον κατάλογο υποδομών έρευνας, τεχνολογικής ανάπτυξης και καινοτομίας, ο οποίος εγκρίθηκε  μετά από αξιολόγηση ως προς τη συνάφεια με την Εθνικής Στρατηγική Έξυπνης Εξειδίκευσης των υποδομών Εθνικού δικού Χάρτη Ερευνητικών Υποδομών</w:t>
      </w:r>
      <w:r>
        <w:t>)</w:t>
      </w:r>
      <w:r w:rsidRPr="00DF43D2">
        <w:t xml:space="preserve">, επικαιροποιημένων αναλυτικών προτάσεων για την προπαρασκευαστική φάση ανάπτυξη της υποδομής η οποία θα περιλαμβάνει την εκτέλεση ερευνητικού έργου, βασικής ή εφαρμοσμένης έρευνας, δραστηριότητες δικτύωσης και ενίσχυσης </w:t>
      </w:r>
      <w:r w:rsidRPr="00DF43D2">
        <w:lastRenderedPageBreak/>
        <w:t>της πρόσβασης. Στόχος της δράσης είναι η αύξηση της καινοτομικής ικανότητας της χώρας μέσα από την ενίσχυση σημαντικών υποδομών ΕΤΑΚ, τη διασύνδεσή τους με τον ιδιωτικό τομέα, την εξυπηρέτηση κοινωνικών προκλήσεων, καθώς και τη δικτύωσή τους με αντίστοιχες υποδομές στον Ευρωπαϊκό και Διεθνή χώρο.</w:t>
      </w:r>
    </w:p>
    <w:p w14:paraId="12761F55" w14:textId="77777777" w:rsidR="00766A04" w:rsidRPr="00DF43D2" w:rsidRDefault="00766A04" w:rsidP="00766A04"/>
    <w:p w14:paraId="589CB779" w14:textId="77777777" w:rsidR="00766A04" w:rsidRPr="0069759E"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i/>
        </w:rPr>
      </w:pPr>
      <w:r w:rsidRPr="0069759E">
        <w:rPr>
          <w:b/>
          <w:i/>
        </w:rPr>
        <w:t>Πρόσκληση: «Ενίσχυση των υποδομών έρευνας και καινοτομίας» (Β΄ κύκλος)</w:t>
      </w:r>
    </w:p>
    <w:p w14:paraId="0F37949F" w14:textId="77777777" w:rsidR="00766A04"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DF43D2">
        <w:t>Η Πρόσκληση αποτελεί το Β΄ κύκλο της πρόσκλησης «Ενίσχυση των υποδομών έρευνας και καινοτομίας» και εκδόθηκε στις 22.12.</w:t>
      </w:r>
      <w:r w:rsidRPr="000D5F33">
        <w:rPr>
          <w:szCs w:val="18"/>
        </w:rPr>
        <w:t>2017</w:t>
      </w:r>
      <w:r w:rsidRPr="00DF43D2">
        <w:t xml:space="preserve"> (αρ. πρωτ. 7064/1968/Α2). Ο προϋπολογισμός της Πρόσκλησης ανέρχεται σε 20.000.000 € (ΔΔ) και η καταληκτική της ημερομηνία ήταν η 30.03.2018.</w:t>
      </w:r>
    </w:p>
    <w:p w14:paraId="624D4E4F" w14:textId="77777777" w:rsidR="00766A04" w:rsidRPr="00DF43D2" w:rsidRDefault="00766A04" w:rsidP="00766A04"/>
    <w:p w14:paraId="4AC20F88" w14:textId="77777777" w:rsidR="00766A04" w:rsidRPr="0069759E"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i/>
        </w:rPr>
      </w:pPr>
      <w:r w:rsidRPr="0069759E">
        <w:rPr>
          <w:b/>
          <w:i/>
        </w:rPr>
        <w:t>Πρόσκληση: «Δράση στρατηγικής ανάπτυξης ερευνητικών και τεχνολογικών φορέων»</w:t>
      </w:r>
    </w:p>
    <w:p w14:paraId="11DA9E4A" w14:textId="77777777" w:rsidR="00766A04" w:rsidRPr="000D5F33"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szCs w:val="18"/>
        </w:rPr>
      </w:pPr>
      <w:r w:rsidRPr="000D5F33">
        <w:rPr>
          <w:szCs w:val="18"/>
        </w:rPr>
        <w:t xml:space="preserve">Στις 29.07.2016 δημοσιεύθηκε η πρόσκληση (αρ. πρωτ. 4045/1136/Α2) «Δράση στρατηγικής ανάπτυξης ερευνητικών και τεχνολογικών φορέων». Ο προϋπολογισμός της πρόσκλησης ανέρχονταν 31.860.000 € (ΔΔ) και η καταληκτική ημερομηνία υποβολής προτάσεων ήταν η 23.09.2016.  </w:t>
      </w:r>
    </w:p>
    <w:p w14:paraId="0AF7341C" w14:textId="77777777" w:rsidR="00766A04" w:rsidRPr="000D5F33" w:rsidRDefault="00766A04" w:rsidP="00766A0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szCs w:val="18"/>
        </w:rPr>
      </w:pPr>
      <w:r w:rsidRPr="000D5F33">
        <w:rPr>
          <w:szCs w:val="18"/>
        </w:rPr>
        <w:t xml:space="preserve">Η Πρόσκληση απευθυνόταν σε ΝΠΔΔ και ΝΠΙΔ, εποπτευόμενα από τη ΓΓΕΤ Ερευνητικών Κέντρων / Ινστιτούτων και Τεχνολογικών Φορέων για την υποβολή προτάσεων σχετικών με τους στόχους της Δράσης στρατηγικής ανάπτυξης ερευνητικών και τεχνολογικών φορέων. Βασική επιδίωξη της Δράσης είναι η ενίσχυση της έρευνας και η εν δυνάμει αξιοποίηση των αποτελεσμάτων που θα προέλθουν από αυτήν, με την υλοποίηση έργων υψηλής ερευνητικής και επιστημονικής στάθμης, τα οποία αποτελούν χρήσιμο εργαλείο στη χάραξη της στρατηγικής ανάπτυξης των εποπτευόμενων από τη ΓΓΕΤ Ερευνητικών και Τεχνολογικών Φορέων προς την κατεύθυνση που θέτει η RIS3 2014-2020. </w:t>
      </w:r>
    </w:p>
    <w:p w14:paraId="4896C4A1" w14:textId="77777777" w:rsidR="00766A04" w:rsidRDefault="00766A04" w:rsidP="00766A04">
      <w:pPr>
        <w:rPr>
          <w:szCs w:val="18"/>
        </w:rPr>
      </w:pPr>
      <w:r>
        <w:t xml:space="preserve">Σημειώνεται δε, ότι στο πλαίσιο των προσκλήσεων αυτών, </w:t>
      </w:r>
      <w:r w:rsidRPr="0069759E">
        <w:rPr>
          <w:b/>
        </w:rPr>
        <w:t xml:space="preserve">δε γίνονταν αναφορά στους τομείς Προτεραιότητας της </w:t>
      </w:r>
      <w:r w:rsidRPr="0069759E">
        <w:rPr>
          <w:b/>
          <w:szCs w:val="18"/>
        </w:rPr>
        <w:t>RIS3</w:t>
      </w:r>
      <w:r w:rsidRPr="000D5F33">
        <w:rPr>
          <w:szCs w:val="18"/>
        </w:rPr>
        <w:t>, συνεπώς θεωρείται ότι οι εν δυνάμει δράσεις συμβάλλουν στις οριζόντιες συνιστώσες της RIS3 και κυρίως στη δημιουργία υποδομών έρευνας και καινοτομίας, που συνεισφέρουν με τη σειρά τους στη διευκόλυνση για την ανάπτυξη καινοτόμων προϊόντων και υπηρεσιών, στην παραγωγή  νέας γνώσης, στη διασύνδεση της επιστήμης με την κοινωνία και στη διεθνή συνεργασία.</w:t>
      </w:r>
    </w:p>
    <w:p w14:paraId="5B021FA4" w14:textId="77777777" w:rsidR="00766A04" w:rsidRDefault="00766A04" w:rsidP="00766A04">
      <w:r>
        <w:t xml:space="preserve">Οι προκηρυχθείσες δράσεις εντάσσονται στη </w:t>
      </w:r>
      <w:r w:rsidRPr="00914FBC">
        <w:rPr>
          <w:b/>
        </w:rPr>
        <w:t>Στρατηγική Επιλογή 1</w:t>
      </w:r>
      <w:r>
        <w:t xml:space="preserve"> «Επένδυση στη δημιουργία και διάχυση τη Νέας Γνώσης» της </w:t>
      </w:r>
      <w:r>
        <w:rPr>
          <w:lang w:val="en-US"/>
        </w:rPr>
        <w:t>RIS</w:t>
      </w:r>
      <w:r w:rsidRPr="005A73A7">
        <w:t>3</w:t>
      </w:r>
      <w:r>
        <w:t xml:space="preserve">, στον </w:t>
      </w:r>
      <w:r w:rsidRPr="00914FBC">
        <w:rPr>
          <w:b/>
        </w:rPr>
        <w:t>Άξονα Παρέμβασης</w:t>
      </w:r>
      <w:r>
        <w:t xml:space="preserve"> «α. Ανάπτυξη δυναμικού (</w:t>
      </w:r>
      <w:r>
        <w:rPr>
          <w:lang w:val="en-US"/>
        </w:rPr>
        <w:t>capacity</w:t>
      </w:r>
      <w:r w:rsidRPr="00F612FE">
        <w:t xml:space="preserve"> </w:t>
      </w:r>
      <w:r>
        <w:rPr>
          <w:lang w:val="en-US"/>
        </w:rPr>
        <w:t>building</w:t>
      </w:r>
      <w:r>
        <w:t xml:space="preserve">)» και, στην </w:t>
      </w:r>
      <w:r w:rsidRPr="00914FBC">
        <w:rPr>
          <w:b/>
        </w:rPr>
        <w:t>κατηγορί</w:t>
      </w:r>
      <w:r>
        <w:rPr>
          <w:b/>
        </w:rPr>
        <w:t>α</w:t>
      </w:r>
      <w:r w:rsidRPr="00914FBC">
        <w:rPr>
          <w:b/>
        </w:rPr>
        <w:t xml:space="preserve"> παρέμβασης</w:t>
      </w:r>
      <w:r>
        <w:t xml:space="preserve"> «</w:t>
      </w:r>
      <w:r w:rsidRPr="00F612FE">
        <w:t>Ανάπτυξη δυναμικού ΕΤΑΚ στους τομείς εξειδίκευσης</w:t>
      </w:r>
      <w:r>
        <w:t xml:space="preserve">» (1.α.1 Ενίσχυση ερευνητικών υποδομών σύμφωνα με τον Εθνικό Οδικό Χάρτη Ερευνητικών Υποδομών» καθώς επίσης και στον </w:t>
      </w:r>
      <w:r w:rsidRPr="00914FBC">
        <w:rPr>
          <w:b/>
        </w:rPr>
        <w:t>Άξονα Παρέμβασης</w:t>
      </w:r>
      <w:r>
        <w:rPr>
          <w:b/>
        </w:rPr>
        <w:t xml:space="preserve"> </w:t>
      </w:r>
      <w:r w:rsidRPr="004C4D4D">
        <w:t>«β. Ενίσχυση δραστηριοτήτων ΕΤΑΚ»</w:t>
      </w:r>
      <w:r>
        <w:t xml:space="preserve"> και στην </w:t>
      </w:r>
      <w:r w:rsidRPr="003731B9">
        <w:rPr>
          <w:b/>
        </w:rPr>
        <w:t>κατηγορία παρέμβασης</w:t>
      </w:r>
      <w:r>
        <w:t xml:space="preserve"> «1.β Ενίσχυση δραστηριοτήτων ΕΤΑΚ» (1.β.8 Στρατηγικά σχέδια ερευνητικών φορέων (ΚΡΗΠΙΣ ΕΚ), 1.β.9 «Ολοκληρωμένες Στρατηγικές Έρευνας ΑΕΙ (ΚΡΗΠΙΣ ΑΕΙ)»).</w:t>
      </w:r>
    </w:p>
    <w:p w14:paraId="7B84B788" w14:textId="77777777" w:rsidR="00766A04" w:rsidRPr="000D5F33" w:rsidRDefault="00766A04" w:rsidP="00766A04">
      <w:pPr>
        <w:rPr>
          <w:szCs w:val="18"/>
        </w:rPr>
      </w:pPr>
      <w:r w:rsidRPr="000D5F33">
        <w:rPr>
          <w:szCs w:val="18"/>
        </w:rPr>
        <w:t>Τα συνολικά στοιχεία για την εξέλιξη της υλοποίησης των δράσεων της εν λόγω Επενδυτικής Προτεραιότητας, παρουσιάζονται στους κάτωθι πίνακες.</w:t>
      </w:r>
    </w:p>
    <w:p w14:paraId="2D81DE42" w14:textId="1356610A" w:rsidR="00766A04" w:rsidRPr="000D5F33" w:rsidRDefault="00766A04" w:rsidP="00766A04">
      <w:pPr>
        <w:rPr>
          <w:szCs w:val="18"/>
        </w:rPr>
      </w:pPr>
      <w:r w:rsidRPr="000D5F33">
        <w:rPr>
          <w:szCs w:val="18"/>
        </w:rPr>
        <w:t>Αναλυτικότερα, από την επεξεργασία των στοιχείων προκύπτει ότι ο προϋπολογισμός των τριών προσκλήσεων που εκδόθηκαν ανέρχονταν σε 124</w:t>
      </w:r>
      <w:r w:rsidR="005416EE">
        <w:rPr>
          <w:szCs w:val="18"/>
        </w:rPr>
        <w:t>.</w:t>
      </w:r>
      <w:r w:rsidRPr="000D5F33">
        <w:rPr>
          <w:szCs w:val="18"/>
        </w:rPr>
        <w:t>860</w:t>
      </w:r>
      <w:r w:rsidR="005416EE">
        <w:rPr>
          <w:szCs w:val="18"/>
        </w:rPr>
        <w:t>.</w:t>
      </w:r>
      <w:r w:rsidRPr="000D5F33">
        <w:rPr>
          <w:szCs w:val="18"/>
        </w:rPr>
        <w:t>000 €, με το ήμισυ – περίπου – αυτού να αφορά στις λιγότερο ανεπτυγμένες Περιφέρειες (44,90%).</w:t>
      </w:r>
    </w:p>
    <w:p w14:paraId="6A385B92" w14:textId="77777777" w:rsidR="00766A04" w:rsidRPr="000D5F33" w:rsidRDefault="00766A04" w:rsidP="00766A04">
      <w:pPr>
        <w:rPr>
          <w:szCs w:val="18"/>
        </w:rPr>
      </w:pPr>
      <w:r w:rsidRPr="000D5F33">
        <w:rPr>
          <w:szCs w:val="18"/>
        </w:rPr>
        <w:t xml:space="preserve">Ως προς τις εντάξεις έργων, το ποσοστό του προϋπολογισμού αυτών κρίνεται ικανοποιητικό, καθώς ανέρχεται σε 97,50% του διατιθέμενου προϋπολογισμού στις Προσκλήσεις. Το μεγαλύτερο ποσοστό του προϋπολογισμού των ενταγμένων έργων αφορά στις περισσότερο ανεπτυγμένες Περιφέρειες (54,14%). </w:t>
      </w:r>
    </w:p>
    <w:p w14:paraId="0F1DE8D4" w14:textId="1BB08D6E" w:rsidR="00766A04" w:rsidRPr="00DF2AEA" w:rsidRDefault="00766A04" w:rsidP="00766A04">
      <w:pPr>
        <w:rPr>
          <w:szCs w:val="18"/>
        </w:rPr>
      </w:pPr>
      <w:r w:rsidRPr="000D5F33">
        <w:rPr>
          <w:szCs w:val="18"/>
        </w:rPr>
        <w:t xml:space="preserve">Σημειώνεται ότι στο πλαίσιο της Πρόσκλησης «Ενίσχυση των υποδομών έρευνας και καινοτομίας (Α΄ </w:t>
      </w:r>
      <w:r w:rsidRPr="00DF2AEA">
        <w:rPr>
          <w:szCs w:val="18"/>
        </w:rPr>
        <w:t>κύκλος)», πραγματοποιήθηκε υπέρβαση του διατιθέμενου από την Πρόκληση προϋπολογισμού για την κατηγορία των περισσότερο ανεπτυγμένων Περιφερειών, εντάσσοντας έργα σημαντικά μεγαλύτερου προϋπολογισμού (</w:t>
      </w:r>
      <w:r w:rsidR="005416EE" w:rsidRPr="005416EE">
        <w:rPr>
          <w:szCs w:val="18"/>
        </w:rPr>
        <w:t xml:space="preserve">61.875.845,82 </w:t>
      </w:r>
      <w:r w:rsidR="005416EE">
        <w:rPr>
          <w:szCs w:val="18"/>
        </w:rPr>
        <w:t xml:space="preserve">€ </w:t>
      </w:r>
      <w:r w:rsidRPr="00DF2AEA">
        <w:rPr>
          <w:szCs w:val="18"/>
        </w:rPr>
        <w:t>έναντι 43</w:t>
      </w:r>
      <w:r w:rsidR="005416EE">
        <w:rPr>
          <w:szCs w:val="18"/>
        </w:rPr>
        <w:t>.</w:t>
      </w:r>
      <w:r w:rsidRPr="00DF2AEA">
        <w:rPr>
          <w:szCs w:val="18"/>
        </w:rPr>
        <w:t>580</w:t>
      </w:r>
      <w:r w:rsidR="005416EE">
        <w:rPr>
          <w:szCs w:val="18"/>
        </w:rPr>
        <w:t>.</w:t>
      </w:r>
      <w:r w:rsidRPr="00DF2AEA">
        <w:rPr>
          <w:szCs w:val="18"/>
        </w:rPr>
        <w:t>000 €).</w:t>
      </w:r>
    </w:p>
    <w:p w14:paraId="0979B901" w14:textId="11B16AA4" w:rsidR="00696052" w:rsidRDefault="00766A04" w:rsidP="00766A04">
      <w:pPr>
        <w:rPr>
          <w:szCs w:val="18"/>
        </w:rPr>
      </w:pPr>
      <w:r w:rsidRPr="00D56CA9">
        <w:rPr>
          <w:szCs w:val="18"/>
        </w:rPr>
        <w:t xml:space="preserve">Όσον αφορά </w:t>
      </w:r>
      <w:r w:rsidR="00D56CA9">
        <w:rPr>
          <w:szCs w:val="18"/>
        </w:rPr>
        <w:t xml:space="preserve">στο ποσοστό απορρόφησης </w:t>
      </w:r>
      <w:r w:rsidRPr="00D56CA9">
        <w:rPr>
          <w:szCs w:val="18"/>
        </w:rPr>
        <w:t xml:space="preserve"> </w:t>
      </w:r>
      <w:r w:rsidR="00D56CA9">
        <w:rPr>
          <w:szCs w:val="18"/>
        </w:rPr>
        <w:t>των δαπανών ΕΛΚΕ έναντι του προϋπολογισμού δημόσιας δαπάνης του συνόλου των έργων/δράσεων της Επενδυτικής Προτεραιότητας 1</w:t>
      </w:r>
      <w:r w:rsidR="00D56CA9">
        <w:rPr>
          <w:szCs w:val="18"/>
          <w:lang w:val="en-US"/>
        </w:rPr>
        <w:t>a</w:t>
      </w:r>
      <w:r w:rsidR="00D56CA9" w:rsidRPr="00D56CA9">
        <w:rPr>
          <w:szCs w:val="18"/>
        </w:rPr>
        <w:t xml:space="preserve">, </w:t>
      </w:r>
      <w:r w:rsidR="00D56CA9">
        <w:rPr>
          <w:szCs w:val="18"/>
        </w:rPr>
        <w:t xml:space="preserve">αυτή ανέρχεται στο 28,3% (21,4% για τη Δράση της Ενίσχυσης Υποδομών Α&amp;Β Κύκλος και 48,1% για τη δράση του ΚΡΗΠΙΣ). </w:t>
      </w:r>
      <w:r w:rsidRPr="00D56CA9">
        <w:rPr>
          <w:szCs w:val="18"/>
        </w:rPr>
        <w:t xml:space="preserve"> </w:t>
      </w:r>
      <w:r w:rsidR="00D56CA9">
        <w:rPr>
          <w:szCs w:val="18"/>
        </w:rPr>
        <w:t xml:space="preserve">Σε επίπεδο </w:t>
      </w:r>
      <w:r w:rsidR="00D56CA9">
        <w:rPr>
          <w:szCs w:val="18"/>
        </w:rPr>
        <w:lastRenderedPageBreak/>
        <w:t xml:space="preserve">Περιφέρειας, οι Περιφέρειες Κρήτης, </w:t>
      </w:r>
      <w:r w:rsidR="00696052">
        <w:rPr>
          <w:szCs w:val="18"/>
        </w:rPr>
        <w:t xml:space="preserve">Αττικής και Θεσσαλίας παρουσιάζουν τη μεγαλύτερη απορρόφηση (31,4%, 29,6% και 28,3% αντίστοιχα). Οι </w:t>
      </w:r>
      <w:r w:rsidR="005416EE">
        <w:rPr>
          <w:szCs w:val="18"/>
        </w:rPr>
        <w:t>Π</w:t>
      </w:r>
      <w:r w:rsidR="00696052">
        <w:rPr>
          <w:szCs w:val="18"/>
        </w:rPr>
        <w:t xml:space="preserve">εριφέρειες Αττικής, Δ. Ελλάδας και Κρήτης παρουσιάζουν ποσοστό απορρόφησης 50% στο πλαίσιο της δράσης ΚΡΗΠΙΣ. </w:t>
      </w:r>
    </w:p>
    <w:p w14:paraId="1DBB0061" w14:textId="1A7B76AC" w:rsidR="00696052" w:rsidRDefault="00696052" w:rsidP="00766A04">
      <w:pPr>
        <w:rPr>
          <w:szCs w:val="18"/>
        </w:rPr>
      </w:pPr>
      <w:r>
        <w:rPr>
          <w:szCs w:val="18"/>
        </w:rPr>
        <w:t>Το ποσοστό των καταχωρημένων δαπανών στο ΟΠΣ έναντι του προϋπολογισμού του συνόλου των ενταγμένων έργων της Προτεραιότητας 1α, ανέρχεται μόλις στο 6,9% (2,3% για τη δράση της Ανάπτυξης Υποδομών Α’ και Β Κύκλος και 20,3% για το ΚΡΗΠΙΣ). Καμία από τις Περιφέρειες δεν ξεπερνά το</w:t>
      </w:r>
      <w:r w:rsidR="005416EE">
        <w:rPr>
          <w:szCs w:val="18"/>
        </w:rPr>
        <w:t xml:space="preserve"> </w:t>
      </w:r>
      <w:r>
        <w:rPr>
          <w:szCs w:val="18"/>
        </w:rPr>
        <w:t xml:space="preserve">7,5%, ως αντίστοιχο ποσοστό απορρόφησης για την </w:t>
      </w:r>
      <w:r w:rsidR="005416EE">
        <w:rPr>
          <w:szCs w:val="18"/>
        </w:rPr>
        <w:t>Επενδυτική Προτεραιότητα</w:t>
      </w:r>
      <w:r w:rsidR="00FD06D6">
        <w:rPr>
          <w:szCs w:val="18"/>
        </w:rPr>
        <w:t>1a</w:t>
      </w:r>
      <w:r>
        <w:rPr>
          <w:szCs w:val="18"/>
        </w:rPr>
        <w:t xml:space="preserve">. </w:t>
      </w:r>
    </w:p>
    <w:p w14:paraId="2A0A58BD" w14:textId="2B517178" w:rsidR="00766A04" w:rsidRDefault="00696052" w:rsidP="00766A04">
      <w:r>
        <w:rPr>
          <w:szCs w:val="18"/>
        </w:rPr>
        <w:t>Ας σημειωθεί ότι, έως τις 31/12/2018 δεν υπάρχουν ενταγμένα έργα, στο πλαίσιο της Επενδυτικής Προτεραιότητας 1</w:t>
      </w:r>
      <w:r w:rsidR="005416EE">
        <w:rPr>
          <w:szCs w:val="18"/>
        </w:rPr>
        <w:t>α</w:t>
      </w:r>
      <w:r>
        <w:rPr>
          <w:szCs w:val="18"/>
        </w:rPr>
        <w:t>, στις Περιφέρειες Ν. Αιγαίου και Σ. Ελλάδας.</w:t>
      </w:r>
    </w:p>
    <w:p w14:paraId="69FB19C8" w14:textId="77777777" w:rsidR="00696052" w:rsidRDefault="00696052" w:rsidP="00766A04">
      <w:pPr>
        <w:pStyle w:val="Caption"/>
      </w:pPr>
    </w:p>
    <w:p w14:paraId="611906AA" w14:textId="77777777" w:rsidR="00766A04" w:rsidRPr="0061319E" w:rsidRDefault="00766A04" w:rsidP="00766A04">
      <w:pPr>
        <w:pStyle w:val="Caption"/>
      </w:pPr>
      <w:r>
        <w:t xml:space="preserve">Πίνακας </w:t>
      </w:r>
      <w:r>
        <w:rPr>
          <w:noProof/>
        </w:rPr>
        <w:fldChar w:fldCharType="begin"/>
      </w:r>
      <w:r>
        <w:rPr>
          <w:noProof/>
        </w:rPr>
        <w:instrText xml:space="preserve"> STYLEREF 1 \s </w:instrText>
      </w:r>
      <w:r>
        <w:rPr>
          <w:noProof/>
        </w:rPr>
        <w:fldChar w:fldCharType="separate"/>
      </w:r>
      <w:r w:rsidR="00D56CA9">
        <w:rPr>
          <w:noProof/>
        </w:rPr>
        <w:t>3</w:t>
      </w:r>
      <w:r>
        <w:rPr>
          <w:noProof/>
        </w:rPr>
        <w:fldChar w:fldCharType="end"/>
      </w:r>
      <w:r>
        <w:noBreakHyphen/>
      </w:r>
      <w:r>
        <w:rPr>
          <w:noProof/>
        </w:rPr>
        <w:fldChar w:fldCharType="begin"/>
      </w:r>
      <w:r>
        <w:rPr>
          <w:noProof/>
        </w:rPr>
        <w:instrText xml:space="preserve"> SEQ Πίνακας \* ARABIC \s 1 </w:instrText>
      </w:r>
      <w:r>
        <w:rPr>
          <w:noProof/>
        </w:rPr>
        <w:fldChar w:fldCharType="separate"/>
      </w:r>
      <w:r w:rsidR="00D56CA9">
        <w:rPr>
          <w:noProof/>
        </w:rPr>
        <w:t>1</w:t>
      </w:r>
      <w:r>
        <w:rPr>
          <w:noProof/>
        </w:rPr>
        <w:fldChar w:fldCharType="end"/>
      </w:r>
      <w:r>
        <w:t xml:space="preserve">: </w:t>
      </w:r>
      <w:r w:rsidRPr="0061319E">
        <w:t>Στοιχεία εντάξεων και πληρωμών (έως 31.12.2018) δράσεων που υποβλήθηκαν στο πλαίσιο προσκλήσεων στην Επενδυτική Προτεραιότητα 1</w:t>
      </w:r>
      <w:r w:rsidRPr="0061319E">
        <w:rPr>
          <w:lang w:val="en-US"/>
        </w:rPr>
        <w:t>a</w:t>
      </w:r>
    </w:p>
    <w:tbl>
      <w:tblPr>
        <w:tblStyle w:val="TableGrid1"/>
        <w:tblW w:w="9352"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163"/>
        <w:gridCol w:w="1622"/>
        <w:gridCol w:w="1529"/>
        <w:gridCol w:w="1529"/>
        <w:gridCol w:w="1509"/>
      </w:tblGrid>
      <w:tr w:rsidR="00766A04" w:rsidRPr="009A205D" w14:paraId="5E0C13E7" w14:textId="77777777" w:rsidTr="00E7325D">
        <w:trPr>
          <w:trHeight w:val="825"/>
          <w:jc w:val="center"/>
        </w:trPr>
        <w:tc>
          <w:tcPr>
            <w:tcW w:w="3163" w:type="dxa"/>
            <w:shd w:val="clear" w:color="auto" w:fill="800000"/>
            <w:vAlign w:val="center"/>
            <w:hideMark/>
          </w:tcPr>
          <w:p w14:paraId="18218F03" w14:textId="77777777" w:rsidR="00766A04" w:rsidRPr="00F53B40" w:rsidRDefault="00766A04" w:rsidP="00975CDE">
            <w:pPr>
              <w:jc w:val="center"/>
              <w:rPr>
                <w:rFonts w:cs="Calibri"/>
                <w:b/>
                <w:bCs/>
                <w:color w:val="FFFFFF" w:themeColor="background1"/>
                <w:sz w:val="16"/>
                <w:szCs w:val="16"/>
              </w:rPr>
            </w:pPr>
            <w:r w:rsidRPr="00F53B40">
              <w:rPr>
                <w:b/>
                <w:color w:val="FFFFFF" w:themeColor="background1"/>
                <w:sz w:val="16"/>
                <w:szCs w:val="16"/>
              </w:rPr>
              <w:t>Επενδυτική Προτεραιότητα 1a</w:t>
            </w:r>
          </w:p>
        </w:tc>
        <w:tc>
          <w:tcPr>
            <w:tcW w:w="1622" w:type="dxa"/>
            <w:shd w:val="clear" w:color="auto" w:fill="800000"/>
            <w:vAlign w:val="center"/>
            <w:hideMark/>
          </w:tcPr>
          <w:p w14:paraId="5A78251A"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Σύνολο</w:t>
            </w:r>
          </w:p>
        </w:tc>
        <w:tc>
          <w:tcPr>
            <w:tcW w:w="1529" w:type="dxa"/>
            <w:shd w:val="clear" w:color="auto" w:fill="800000"/>
            <w:vAlign w:val="center"/>
            <w:hideMark/>
          </w:tcPr>
          <w:p w14:paraId="4E344D6E"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Περισσότερο Ανεπτυγμένες Περιφέρειες</w:t>
            </w:r>
          </w:p>
        </w:tc>
        <w:tc>
          <w:tcPr>
            <w:tcW w:w="1529" w:type="dxa"/>
            <w:shd w:val="clear" w:color="auto" w:fill="800000"/>
            <w:vAlign w:val="center"/>
            <w:hideMark/>
          </w:tcPr>
          <w:p w14:paraId="478B5FE2"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Περιφέρειες σε Μετάβαση</w:t>
            </w:r>
          </w:p>
        </w:tc>
        <w:tc>
          <w:tcPr>
            <w:tcW w:w="1509" w:type="dxa"/>
            <w:shd w:val="clear" w:color="auto" w:fill="800000"/>
            <w:vAlign w:val="center"/>
            <w:hideMark/>
          </w:tcPr>
          <w:p w14:paraId="48EA42A8"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Λιγότερο Ανεπτυγμένες Περιφέρειες</w:t>
            </w:r>
          </w:p>
        </w:tc>
      </w:tr>
      <w:tr w:rsidR="00766A04" w:rsidRPr="009A205D" w14:paraId="3EB5A8E8" w14:textId="77777777" w:rsidTr="00E7325D">
        <w:trPr>
          <w:trHeight w:val="285"/>
          <w:jc w:val="center"/>
        </w:trPr>
        <w:tc>
          <w:tcPr>
            <w:tcW w:w="3163" w:type="dxa"/>
            <w:hideMark/>
          </w:tcPr>
          <w:p w14:paraId="10645BD7" w14:textId="77777777" w:rsidR="00766A04" w:rsidRPr="00DF2AEA" w:rsidRDefault="00766A04" w:rsidP="00975CDE">
            <w:pPr>
              <w:rPr>
                <w:rFonts w:cs="Calibri"/>
                <w:sz w:val="16"/>
                <w:szCs w:val="16"/>
              </w:rPr>
            </w:pPr>
            <w:r w:rsidRPr="00DF2AEA">
              <w:rPr>
                <w:sz w:val="16"/>
                <w:szCs w:val="16"/>
              </w:rPr>
              <w:t>Προϋπ/σμός προσκλήσεων</w:t>
            </w:r>
          </w:p>
        </w:tc>
        <w:tc>
          <w:tcPr>
            <w:tcW w:w="1622" w:type="dxa"/>
            <w:hideMark/>
          </w:tcPr>
          <w:p w14:paraId="7523EF30" w14:textId="77777777" w:rsidR="00766A04" w:rsidRPr="00DF2AEA" w:rsidRDefault="00626FE3" w:rsidP="00975CDE">
            <w:pPr>
              <w:jc w:val="center"/>
              <w:rPr>
                <w:rFonts w:cs="Calibri"/>
                <w:b/>
                <w:bCs/>
                <w:sz w:val="16"/>
                <w:szCs w:val="16"/>
              </w:rPr>
            </w:pPr>
            <w:r>
              <w:rPr>
                <w:b/>
                <w:sz w:val="16"/>
                <w:szCs w:val="16"/>
              </w:rPr>
              <w:t>124.860.000,</w:t>
            </w:r>
            <w:r w:rsidR="00766A04" w:rsidRPr="00DF2AEA">
              <w:rPr>
                <w:b/>
                <w:sz w:val="16"/>
                <w:szCs w:val="16"/>
              </w:rPr>
              <w:t>00 €</w:t>
            </w:r>
          </w:p>
        </w:tc>
        <w:tc>
          <w:tcPr>
            <w:tcW w:w="1529" w:type="dxa"/>
            <w:hideMark/>
          </w:tcPr>
          <w:p w14:paraId="7E9C0B74" w14:textId="77777777" w:rsidR="00766A04" w:rsidRPr="00DF2AEA" w:rsidRDefault="00626FE3" w:rsidP="00975CDE">
            <w:pPr>
              <w:jc w:val="center"/>
              <w:rPr>
                <w:rFonts w:cs="Calibri"/>
                <w:sz w:val="16"/>
                <w:szCs w:val="16"/>
              </w:rPr>
            </w:pPr>
            <w:r>
              <w:rPr>
                <w:sz w:val="16"/>
                <w:szCs w:val="16"/>
              </w:rPr>
              <w:t>43.580.000,</w:t>
            </w:r>
            <w:r w:rsidR="00766A04" w:rsidRPr="00DF2AEA">
              <w:rPr>
                <w:sz w:val="16"/>
                <w:szCs w:val="16"/>
              </w:rPr>
              <w:t>00 €</w:t>
            </w:r>
          </w:p>
        </w:tc>
        <w:tc>
          <w:tcPr>
            <w:tcW w:w="1529" w:type="dxa"/>
            <w:hideMark/>
          </w:tcPr>
          <w:p w14:paraId="43706DA2" w14:textId="77777777" w:rsidR="00766A04" w:rsidRPr="00DF2AEA" w:rsidRDefault="00766A04" w:rsidP="00626FE3">
            <w:pPr>
              <w:jc w:val="center"/>
              <w:rPr>
                <w:rFonts w:cs="Calibri"/>
                <w:sz w:val="16"/>
                <w:szCs w:val="16"/>
              </w:rPr>
            </w:pPr>
            <w:r w:rsidRPr="00DF2AEA">
              <w:rPr>
                <w:sz w:val="16"/>
                <w:szCs w:val="16"/>
              </w:rPr>
              <w:t>25</w:t>
            </w:r>
            <w:r w:rsidR="00626FE3">
              <w:rPr>
                <w:sz w:val="16"/>
                <w:szCs w:val="16"/>
              </w:rPr>
              <w:t>.219.630,</w:t>
            </w:r>
            <w:r w:rsidRPr="00DF2AEA">
              <w:rPr>
                <w:sz w:val="16"/>
                <w:szCs w:val="16"/>
              </w:rPr>
              <w:t>00 €</w:t>
            </w:r>
          </w:p>
        </w:tc>
        <w:tc>
          <w:tcPr>
            <w:tcW w:w="1509" w:type="dxa"/>
            <w:hideMark/>
          </w:tcPr>
          <w:p w14:paraId="4B2AA981" w14:textId="77777777" w:rsidR="00766A04" w:rsidRPr="00DF2AEA" w:rsidRDefault="00626FE3" w:rsidP="00975CDE">
            <w:pPr>
              <w:jc w:val="center"/>
              <w:rPr>
                <w:rFonts w:cs="Calibri"/>
                <w:sz w:val="16"/>
                <w:szCs w:val="16"/>
              </w:rPr>
            </w:pPr>
            <w:r>
              <w:rPr>
                <w:sz w:val="16"/>
                <w:szCs w:val="16"/>
              </w:rPr>
              <w:t>56.060.370,</w:t>
            </w:r>
            <w:r w:rsidR="00766A04" w:rsidRPr="00DF2AEA">
              <w:rPr>
                <w:sz w:val="16"/>
                <w:szCs w:val="16"/>
              </w:rPr>
              <w:t>00 €</w:t>
            </w:r>
          </w:p>
        </w:tc>
      </w:tr>
      <w:tr w:rsidR="00766A04" w:rsidRPr="009A205D" w14:paraId="1005208A" w14:textId="77777777" w:rsidTr="00E7325D">
        <w:trPr>
          <w:trHeight w:val="255"/>
          <w:jc w:val="center"/>
        </w:trPr>
        <w:tc>
          <w:tcPr>
            <w:tcW w:w="3163" w:type="dxa"/>
            <w:hideMark/>
          </w:tcPr>
          <w:p w14:paraId="5A1DAD76" w14:textId="77777777" w:rsidR="00766A04" w:rsidRPr="00DF2AEA" w:rsidRDefault="00766A04" w:rsidP="00975CDE">
            <w:pPr>
              <w:rPr>
                <w:rFonts w:cs="Calibri"/>
                <w:sz w:val="16"/>
                <w:szCs w:val="16"/>
              </w:rPr>
            </w:pPr>
            <w:r w:rsidRPr="00DF2AEA">
              <w:rPr>
                <w:sz w:val="16"/>
                <w:szCs w:val="16"/>
              </w:rPr>
              <w:t xml:space="preserve">Προϋπ/σμός ενταγμένων έργων (ΔΔ): </w:t>
            </w:r>
          </w:p>
        </w:tc>
        <w:tc>
          <w:tcPr>
            <w:tcW w:w="1622" w:type="dxa"/>
            <w:hideMark/>
          </w:tcPr>
          <w:p w14:paraId="3F947843" w14:textId="77777777" w:rsidR="00766A04" w:rsidRPr="00DF2AEA" w:rsidRDefault="00626FE3" w:rsidP="00975CDE">
            <w:pPr>
              <w:jc w:val="center"/>
              <w:rPr>
                <w:rFonts w:cs="Calibri"/>
                <w:b/>
                <w:bCs/>
                <w:sz w:val="16"/>
                <w:szCs w:val="16"/>
              </w:rPr>
            </w:pPr>
            <w:r>
              <w:rPr>
                <w:b/>
                <w:sz w:val="16"/>
                <w:szCs w:val="16"/>
              </w:rPr>
              <w:t>117.699.317,28</w:t>
            </w:r>
            <w:r w:rsidR="00766A04" w:rsidRPr="00DF2AEA">
              <w:rPr>
                <w:b/>
                <w:sz w:val="16"/>
                <w:szCs w:val="16"/>
              </w:rPr>
              <w:t xml:space="preserve">€ </w:t>
            </w:r>
          </w:p>
        </w:tc>
        <w:tc>
          <w:tcPr>
            <w:tcW w:w="1529" w:type="dxa"/>
            <w:hideMark/>
          </w:tcPr>
          <w:p w14:paraId="3DD66780" w14:textId="77777777" w:rsidR="00766A04" w:rsidRPr="00DF2AEA" w:rsidRDefault="00626FE3" w:rsidP="00975CDE">
            <w:pPr>
              <w:jc w:val="center"/>
              <w:rPr>
                <w:rFonts w:cs="Calibri"/>
                <w:sz w:val="16"/>
                <w:szCs w:val="16"/>
              </w:rPr>
            </w:pPr>
            <w:r>
              <w:rPr>
                <w:sz w:val="16"/>
                <w:szCs w:val="16"/>
              </w:rPr>
              <w:t>61.875.845,82</w:t>
            </w:r>
            <w:r w:rsidR="00766A04" w:rsidRPr="00DF2AEA">
              <w:rPr>
                <w:sz w:val="16"/>
                <w:szCs w:val="16"/>
              </w:rPr>
              <w:t xml:space="preserve"> €</w:t>
            </w:r>
          </w:p>
        </w:tc>
        <w:tc>
          <w:tcPr>
            <w:tcW w:w="1529" w:type="dxa"/>
            <w:hideMark/>
          </w:tcPr>
          <w:p w14:paraId="654D6613" w14:textId="77777777" w:rsidR="00766A04" w:rsidRPr="00DF2AEA" w:rsidRDefault="00626FE3" w:rsidP="00975CDE">
            <w:pPr>
              <w:jc w:val="center"/>
              <w:rPr>
                <w:rFonts w:cs="Calibri"/>
                <w:sz w:val="16"/>
                <w:szCs w:val="16"/>
              </w:rPr>
            </w:pPr>
            <w:r>
              <w:rPr>
                <w:sz w:val="16"/>
                <w:szCs w:val="16"/>
              </w:rPr>
              <w:t>18.926.277,</w:t>
            </w:r>
            <w:r w:rsidR="00766A04" w:rsidRPr="00DF2AEA">
              <w:rPr>
                <w:sz w:val="16"/>
                <w:szCs w:val="16"/>
              </w:rPr>
              <w:t>60 €</w:t>
            </w:r>
          </w:p>
        </w:tc>
        <w:tc>
          <w:tcPr>
            <w:tcW w:w="1509" w:type="dxa"/>
            <w:hideMark/>
          </w:tcPr>
          <w:p w14:paraId="6551D92B" w14:textId="77777777" w:rsidR="00766A04" w:rsidRPr="00DF2AEA" w:rsidRDefault="00626FE3" w:rsidP="00975CDE">
            <w:pPr>
              <w:jc w:val="center"/>
              <w:rPr>
                <w:rFonts w:cs="Calibri"/>
                <w:sz w:val="16"/>
                <w:szCs w:val="16"/>
              </w:rPr>
            </w:pPr>
            <w:r>
              <w:rPr>
                <w:sz w:val="16"/>
                <w:szCs w:val="16"/>
              </w:rPr>
              <w:t>36.897.193,</w:t>
            </w:r>
            <w:r w:rsidR="00766A04" w:rsidRPr="00DF2AEA">
              <w:rPr>
                <w:sz w:val="16"/>
                <w:szCs w:val="16"/>
              </w:rPr>
              <w:t>86 €</w:t>
            </w:r>
          </w:p>
        </w:tc>
      </w:tr>
      <w:tr w:rsidR="00E7325D" w:rsidRPr="009A205D" w14:paraId="4715D3EC" w14:textId="77777777" w:rsidTr="00D6760E">
        <w:trPr>
          <w:trHeight w:val="255"/>
          <w:jc w:val="center"/>
        </w:trPr>
        <w:tc>
          <w:tcPr>
            <w:tcW w:w="3163" w:type="dxa"/>
            <w:hideMark/>
          </w:tcPr>
          <w:p w14:paraId="2FBE0069" w14:textId="77777777" w:rsidR="00E7325D" w:rsidRPr="00DF2AEA" w:rsidRDefault="0001119B" w:rsidP="00D6760E">
            <w:pPr>
              <w:rPr>
                <w:rFonts w:cs="Calibri"/>
                <w:sz w:val="16"/>
                <w:szCs w:val="16"/>
              </w:rPr>
            </w:pPr>
            <w:r>
              <w:rPr>
                <w:sz w:val="16"/>
                <w:szCs w:val="16"/>
              </w:rPr>
              <w:t>Πληρωμές</w:t>
            </w:r>
            <w:r w:rsidR="00E7325D" w:rsidRPr="00DF2AEA">
              <w:rPr>
                <w:sz w:val="16"/>
                <w:szCs w:val="16"/>
              </w:rPr>
              <w:t xml:space="preserve"> έργων (</w:t>
            </w:r>
            <w:r w:rsidR="00D6760E">
              <w:rPr>
                <w:sz w:val="16"/>
                <w:szCs w:val="16"/>
              </w:rPr>
              <w:t>ΕΛΚΕ</w:t>
            </w:r>
            <w:r w:rsidR="00E7325D" w:rsidRPr="00DF2AEA">
              <w:rPr>
                <w:sz w:val="16"/>
                <w:szCs w:val="16"/>
              </w:rPr>
              <w:t xml:space="preserve">): </w:t>
            </w:r>
          </w:p>
        </w:tc>
        <w:tc>
          <w:tcPr>
            <w:tcW w:w="1622" w:type="dxa"/>
            <w:hideMark/>
          </w:tcPr>
          <w:p w14:paraId="2722916A" w14:textId="77777777" w:rsidR="00E7325D" w:rsidRPr="00F04E26" w:rsidRDefault="00E7325D" w:rsidP="00E7325D">
            <w:r w:rsidRPr="00F04E26">
              <w:t xml:space="preserve"> </w:t>
            </w:r>
            <w:r w:rsidR="00D6760E" w:rsidRPr="00D6760E">
              <w:rPr>
                <w:b/>
                <w:sz w:val="16"/>
                <w:szCs w:val="16"/>
              </w:rPr>
              <w:t>33.301.297,58 €</w:t>
            </w:r>
          </w:p>
        </w:tc>
        <w:tc>
          <w:tcPr>
            <w:tcW w:w="1529" w:type="dxa"/>
            <w:hideMark/>
          </w:tcPr>
          <w:p w14:paraId="74315E1B" w14:textId="77777777" w:rsidR="00E7325D" w:rsidRPr="00E7325D" w:rsidRDefault="00D6760E" w:rsidP="00E7325D">
            <w:pPr>
              <w:jc w:val="center"/>
              <w:rPr>
                <w:sz w:val="16"/>
                <w:szCs w:val="16"/>
              </w:rPr>
            </w:pPr>
            <w:r w:rsidRPr="00D6760E">
              <w:rPr>
                <w:sz w:val="16"/>
                <w:szCs w:val="16"/>
              </w:rPr>
              <w:t>18.560.629,09 €</w:t>
            </w:r>
          </w:p>
        </w:tc>
        <w:tc>
          <w:tcPr>
            <w:tcW w:w="1529" w:type="dxa"/>
          </w:tcPr>
          <w:p w14:paraId="24F42068" w14:textId="77777777" w:rsidR="00E7325D" w:rsidRPr="00E7325D" w:rsidRDefault="00D6760E" w:rsidP="00E7325D">
            <w:pPr>
              <w:jc w:val="center"/>
              <w:rPr>
                <w:sz w:val="16"/>
                <w:szCs w:val="16"/>
              </w:rPr>
            </w:pPr>
            <w:r w:rsidRPr="00D6760E">
              <w:rPr>
                <w:sz w:val="16"/>
                <w:szCs w:val="16"/>
              </w:rPr>
              <w:t>6.716.089,53 €</w:t>
            </w:r>
          </w:p>
        </w:tc>
        <w:tc>
          <w:tcPr>
            <w:tcW w:w="1509" w:type="dxa"/>
          </w:tcPr>
          <w:p w14:paraId="448BED27" w14:textId="77777777" w:rsidR="00E7325D" w:rsidRPr="00E7325D" w:rsidRDefault="00D6760E" w:rsidP="00E7325D">
            <w:pPr>
              <w:jc w:val="center"/>
              <w:rPr>
                <w:sz w:val="16"/>
                <w:szCs w:val="16"/>
              </w:rPr>
            </w:pPr>
            <w:r w:rsidRPr="00D6760E">
              <w:rPr>
                <w:sz w:val="16"/>
                <w:szCs w:val="16"/>
              </w:rPr>
              <w:t>8.024.578,96 €</w:t>
            </w:r>
          </w:p>
        </w:tc>
      </w:tr>
      <w:tr w:rsidR="00D6760E" w:rsidRPr="009A205D" w14:paraId="1A9FF649" w14:textId="77777777" w:rsidTr="00E7325D">
        <w:trPr>
          <w:trHeight w:val="255"/>
          <w:jc w:val="center"/>
        </w:trPr>
        <w:tc>
          <w:tcPr>
            <w:tcW w:w="3163" w:type="dxa"/>
          </w:tcPr>
          <w:p w14:paraId="2B6FEE03" w14:textId="77777777" w:rsidR="00D6760E" w:rsidRPr="00DF2AEA" w:rsidRDefault="0001119B" w:rsidP="00975CDE">
            <w:pPr>
              <w:rPr>
                <w:sz w:val="16"/>
                <w:szCs w:val="16"/>
              </w:rPr>
            </w:pPr>
            <w:r>
              <w:rPr>
                <w:sz w:val="16"/>
                <w:szCs w:val="16"/>
              </w:rPr>
              <w:t>Πληρωμές</w:t>
            </w:r>
            <w:r w:rsidR="00D6760E" w:rsidRPr="00DF2AEA">
              <w:rPr>
                <w:sz w:val="16"/>
                <w:szCs w:val="16"/>
              </w:rPr>
              <w:t xml:space="preserve"> έργων (</w:t>
            </w:r>
            <w:r w:rsidR="00D6760E">
              <w:rPr>
                <w:sz w:val="16"/>
                <w:szCs w:val="16"/>
              </w:rPr>
              <w:t>ΟΠΣ</w:t>
            </w:r>
            <w:r w:rsidR="00D6760E" w:rsidRPr="00DF2AEA">
              <w:rPr>
                <w:sz w:val="16"/>
                <w:szCs w:val="16"/>
              </w:rPr>
              <w:t>):</w:t>
            </w:r>
          </w:p>
        </w:tc>
        <w:tc>
          <w:tcPr>
            <w:tcW w:w="1622" w:type="dxa"/>
          </w:tcPr>
          <w:p w14:paraId="000AA470" w14:textId="77777777" w:rsidR="00D6760E" w:rsidRPr="00DF2AEA" w:rsidRDefault="00D6760E" w:rsidP="00975CDE">
            <w:pPr>
              <w:jc w:val="center"/>
              <w:rPr>
                <w:b/>
                <w:sz w:val="16"/>
                <w:szCs w:val="16"/>
              </w:rPr>
            </w:pPr>
            <w:r w:rsidRPr="00D6760E">
              <w:rPr>
                <w:b/>
                <w:sz w:val="16"/>
                <w:szCs w:val="16"/>
              </w:rPr>
              <w:t>8.179.911,00 €</w:t>
            </w:r>
          </w:p>
        </w:tc>
        <w:tc>
          <w:tcPr>
            <w:tcW w:w="1529" w:type="dxa"/>
          </w:tcPr>
          <w:p w14:paraId="33530AC5" w14:textId="77777777" w:rsidR="00D6760E" w:rsidRPr="00DF2AEA" w:rsidRDefault="00D6760E" w:rsidP="00975CDE">
            <w:pPr>
              <w:jc w:val="center"/>
              <w:rPr>
                <w:sz w:val="16"/>
                <w:szCs w:val="16"/>
              </w:rPr>
            </w:pPr>
            <w:r w:rsidRPr="00D6760E">
              <w:rPr>
                <w:sz w:val="16"/>
                <w:szCs w:val="16"/>
              </w:rPr>
              <w:t>4.578.270,63 €</w:t>
            </w:r>
          </w:p>
        </w:tc>
        <w:tc>
          <w:tcPr>
            <w:tcW w:w="1529" w:type="dxa"/>
          </w:tcPr>
          <w:p w14:paraId="13D0F63F" w14:textId="77777777" w:rsidR="00D6760E" w:rsidRPr="00DF2AEA" w:rsidRDefault="00D6760E" w:rsidP="00975CDE">
            <w:pPr>
              <w:jc w:val="center"/>
              <w:rPr>
                <w:sz w:val="16"/>
                <w:szCs w:val="16"/>
              </w:rPr>
            </w:pPr>
            <w:r w:rsidRPr="00D6760E">
              <w:rPr>
                <w:sz w:val="16"/>
                <w:szCs w:val="16"/>
              </w:rPr>
              <w:t>1.480.367,22 €</w:t>
            </w:r>
          </w:p>
        </w:tc>
        <w:tc>
          <w:tcPr>
            <w:tcW w:w="1509" w:type="dxa"/>
          </w:tcPr>
          <w:p w14:paraId="5283855C" w14:textId="77777777" w:rsidR="00D6760E" w:rsidRPr="00DF2AEA" w:rsidRDefault="00D6760E" w:rsidP="00975CDE">
            <w:pPr>
              <w:jc w:val="center"/>
              <w:rPr>
                <w:sz w:val="16"/>
                <w:szCs w:val="16"/>
              </w:rPr>
            </w:pPr>
            <w:r w:rsidRPr="00D6760E">
              <w:rPr>
                <w:sz w:val="16"/>
                <w:szCs w:val="16"/>
              </w:rPr>
              <w:t>2.121.273,15 €</w:t>
            </w:r>
          </w:p>
        </w:tc>
      </w:tr>
      <w:tr w:rsidR="00766A04" w:rsidRPr="009A205D" w14:paraId="055A0F42" w14:textId="77777777" w:rsidTr="00E7325D">
        <w:trPr>
          <w:trHeight w:val="255"/>
          <w:jc w:val="center"/>
        </w:trPr>
        <w:tc>
          <w:tcPr>
            <w:tcW w:w="3163" w:type="dxa"/>
            <w:hideMark/>
          </w:tcPr>
          <w:p w14:paraId="05B81C86" w14:textId="77777777" w:rsidR="00766A04" w:rsidRPr="00DF2AEA" w:rsidRDefault="00766A04" w:rsidP="00975CDE">
            <w:pPr>
              <w:rPr>
                <w:rFonts w:cs="Calibri"/>
                <w:sz w:val="16"/>
                <w:szCs w:val="16"/>
              </w:rPr>
            </w:pPr>
            <w:r w:rsidRPr="00DF2AEA">
              <w:rPr>
                <w:sz w:val="16"/>
                <w:szCs w:val="16"/>
              </w:rPr>
              <w:t>Αριθμ. ενταγμένων πράξεων:</w:t>
            </w:r>
          </w:p>
        </w:tc>
        <w:tc>
          <w:tcPr>
            <w:tcW w:w="1622" w:type="dxa"/>
            <w:hideMark/>
          </w:tcPr>
          <w:p w14:paraId="032AF788" w14:textId="77777777" w:rsidR="00766A04" w:rsidRPr="00DF2AEA" w:rsidRDefault="00766A04" w:rsidP="00975CDE">
            <w:pPr>
              <w:jc w:val="center"/>
              <w:rPr>
                <w:rFonts w:cs="Calibri"/>
                <w:b/>
                <w:bCs/>
                <w:sz w:val="16"/>
                <w:szCs w:val="16"/>
              </w:rPr>
            </w:pPr>
            <w:r w:rsidRPr="00DF2AEA">
              <w:rPr>
                <w:b/>
                <w:sz w:val="16"/>
                <w:szCs w:val="16"/>
              </w:rPr>
              <w:t>58</w:t>
            </w:r>
          </w:p>
        </w:tc>
        <w:tc>
          <w:tcPr>
            <w:tcW w:w="1529" w:type="dxa"/>
            <w:hideMark/>
          </w:tcPr>
          <w:p w14:paraId="2266CE63" w14:textId="77777777" w:rsidR="00766A04" w:rsidRPr="00DF2AEA" w:rsidRDefault="00766A04" w:rsidP="00975CDE">
            <w:pPr>
              <w:jc w:val="center"/>
              <w:rPr>
                <w:rFonts w:cs="Calibri"/>
                <w:sz w:val="16"/>
                <w:szCs w:val="16"/>
              </w:rPr>
            </w:pPr>
            <w:r w:rsidRPr="00DF2AEA">
              <w:rPr>
                <w:sz w:val="16"/>
                <w:szCs w:val="16"/>
              </w:rPr>
              <w:t>48</w:t>
            </w:r>
          </w:p>
        </w:tc>
        <w:tc>
          <w:tcPr>
            <w:tcW w:w="1529" w:type="dxa"/>
            <w:hideMark/>
          </w:tcPr>
          <w:p w14:paraId="5D08655C" w14:textId="77777777" w:rsidR="00766A04" w:rsidRPr="00DF2AEA" w:rsidRDefault="00766A04" w:rsidP="00975CDE">
            <w:pPr>
              <w:jc w:val="center"/>
              <w:rPr>
                <w:rFonts w:cs="Calibri"/>
                <w:sz w:val="16"/>
                <w:szCs w:val="16"/>
              </w:rPr>
            </w:pPr>
            <w:r w:rsidRPr="00DF2AEA">
              <w:rPr>
                <w:sz w:val="16"/>
                <w:szCs w:val="16"/>
              </w:rPr>
              <w:t>27</w:t>
            </w:r>
          </w:p>
        </w:tc>
        <w:tc>
          <w:tcPr>
            <w:tcW w:w="1509" w:type="dxa"/>
            <w:hideMark/>
          </w:tcPr>
          <w:p w14:paraId="26257083" w14:textId="77777777" w:rsidR="00766A04" w:rsidRPr="00DF2AEA" w:rsidRDefault="00766A04" w:rsidP="00975CDE">
            <w:pPr>
              <w:jc w:val="center"/>
              <w:rPr>
                <w:rFonts w:cs="Calibri"/>
                <w:sz w:val="16"/>
                <w:szCs w:val="16"/>
              </w:rPr>
            </w:pPr>
            <w:r w:rsidRPr="00DF2AEA">
              <w:rPr>
                <w:sz w:val="16"/>
                <w:szCs w:val="16"/>
              </w:rPr>
              <w:t>34</w:t>
            </w:r>
          </w:p>
        </w:tc>
      </w:tr>
      <w:tr w:rsidR="00766A04" w:rsidRPr="009A205D" w14:paraId="69E2BC30" w14:textId="77777777" w:rsidTr="00E7325D">
        <w:trPr>
          <w:trHeight w:val="255"/>
          <w:jc w:val="center"/>
        </w:trPr>
        <w:tc>
          <w:tcPr>
            <w:tcW w:w="3163" w:type="dxa"/>
            <w:hideMark/>
          </w:tcPr>
          <w:p w14:paraId="6B081D42" w14:textId="77777777" w:rsidR="00766A04" w:rsidRPr="00DF2AEA" w:rsidRDefault="00766A04" w:rsidP="00975CDE">
            <w:pPr>
              <w:rPr>
                <w:rFonts w:cs="Calibri"/>
                <w:sz w:val="16"/>
                <w:szCs w:val="16"/>
              </w:rPr>
            </w:pPr>
            <w:r w:rsidRPr="00DF2AEA">
              <w:rPr>
                <w:sz w:val="16"/>
                <w:szCs w:val="16"/>
              </w:rPr>
              <w:t>Αριθμ. υποέργων:</w:t>
            </w:r>
          </w:p>
        </w:tc>
        <w:tc>
          <w:tcPr>
            <w:tcW w:w="1622" w:type="dxa"/>
            <w:hideMark/>
          </w:tcPr>
          <w:p w14:paraId="3157555A" w14:textId="77777777" w:rsidR="00766A04" w:rsidRPr="00DF2AEA" w:rsidRDefault="00766A04" w:rsidP="00975CDE">
            <w:pPr>
              <w:jc w:val="center"/>
              <w:rPr>
                <w:rFonts w:cs="Calibri"/>
                <w:b/>
                <w:bCs/>
                <w:sz w:val="16"/>
                <w:szCs w:val="16"/>
              </w:rPr>
            </w:pPr>
            <w:r w:rsidRPr="00DF2AEA">
              <w:rPr>
                <w:b/>
                <w:sz w:val="16"/>
                <w:szCs w:val="16"/>
              </w:rPr>
              <w:t>379</w:t>
            </w:r>
          </w:p>
        </w:tc>
        <w:tc>
          <w:tcPr>
            <w:tcW w:w="1529" w:type="dxa"/>
            <w:hideMark/>
          </w:tcPr>
          <w:p w14:paraId="7E723894" w14:textId="77777777" w:rsidR="00766A04" w:rsidRPr="00DF2AEA" w:rsidRDefault="00766A04" w:rsidP="00975CDE">
            <w:pPr>
              <w:jc w:val="center"/>
              <w:rPr>
                <w:rFonts w:cs="Calibri"/>
                <w:sz w:val="16"/>
                <w:szCs w:val="16"/>
              </w:rPr>
            </w:pPr>
            <w:r w:rsidRPr="00DF2AEA">
              <w:rPr>
                <w:sz w:val="16"/>
                <w:szCs w:val="16"/>
              </w:rPr>
              <w:t>190</w:t>
            </w:r>
          </w:p>
        </w:tc>
        <w:tc>
          <w:tcPr>
            <w:tcW w:w="1529" w:type="dxa"/>
            <w:hideMark/>
          </w:tcPr>
          <w:p w14:paraId="7EF192A1" w14:textId="77777777" w:rsidR="00766A04" w:rsidRPr="00DF2AEA" w:rsidRDefault="00766A04" w:rsidP="00975CDE">
            <w:pPr>
              <w:jc w:val="center"/>
              <w:rPr>
                <w:rFonts w:cs="Calibri"/>
                <w:sz w:val="16"/>
                <w:szCs w:val="16"/>
              </w:rPr>
            </w:pPr>
            <w:r w:rsidRPr="00DF2AEA">
              <w:rPr>
                <w:sz w:val="16"/>
                <w:szCs w:val="16"/>
              </w:rPr>
              <w:t>64</w:t>
            </w:r>
          </w:p>
        </w:tc>
        <w:tc>
          <w:tcPr>
            <w:tcW w:w="1509" w:type="dxa"/>
            <w:hideMark/>
          </w:tcPr>
          <w:p w14:paraId="149316EA" w14:textId="77777777" w:rsidR="00766A04" w:rsidRPr="00DF2AEA" w:rsidRDefault="00766A04" w:rsidP="00975CDE">
            <w:pPr>
              <w:jc w:val="center"/>
              <w:rPr>
                <w:rFonts w:cs="Calibri"/>
                <w:sz w:val="16"/>
                <w:szCs w:val="16"/>
              </w:rPr>
            </w:pPr>
            <w:r w:rsidRPr="00DF2AEA">
              <w:rPr>
                <w:sz w:val="16"/>
                <w:szCs w:val="16"/>
              </w:rPr>
              <w:t>125</w:t>
            </w:r>
          </w:p>
        </w:tc>
      </w:tr>
    </w:tbl>
    <w:p w14:paraId="3A5A6B95" w14:textId="77777777" w:rsidR="00766A04" w:rsidRDefault="00766A04" w:rsidP="00766A04">
      <w:pPr>
        <w:ind w:left="1440" w:hanging="1440"/>
        <w:rPr>
          <w:b/>
          <w:sz w:val="16"/>
          <w:szCs w:val="16"/>
        </w:rPr>
      </w:pPr>
    </w:p>
    <w:p w14:paraId="39DE0D6B" w14:textId="77777777" w:rsidR="00766A04" w:rsidRPr="0061319E" w:rsidRDefault="00766A04" w:rsidP="00766A04">
      <w:pPr>
        <w:pStyle w:val="Caption"/>
      </w:pPr>
      <w:r>
        <w:t xml:space="preserve">Πίνακας </w:t>
      </w:r>
      <w:r>
        <w:rPr>
          <w:noProof/>
        </w:rPr>
        <w:fldChar w:fldCharType="begin"/>
      </w:r>
      <w:r>
        <w:rPr>
          <w:noProof/>
        </w:rPr>
        <w:instrText xml:space="preserve"> STYLEREF 1 \s </w:instrText>
      </w:r>
      <w:r>
        <w:rPr>
          <w:noProof/>
        </w:rPr>
        <w:fldChar w:fldCharType="separate"/>
      </w:r>
      <w:r w:rsidR="00D56CA9">
        <w:rPr>
          <w:noProof/>
        </w:rPr>
        <w:t>3</w:t>
      </w:r>
      <w:r>
        <w:rPr>
          <w:noProof/>
        </w:rPr>
        <w:fldChar w:fldCharType="end"/>
      </w:r>
      <w:r>
        <w:noBreakHyphen/>
      </w:r>
      <w:r>
        <w:rPr>
          <w:noProof/>
        </w:rPr>
        <w:fldChar w:fldCharType="begin"/>
      </w:r>
      <w:r>
        <w:rPr>
          <w:noProof/>
        </w:rPr>
        <w:instrText xml:space="preserve"> SEQ Πίνακας \* ARABIC \s 1 </w:instrText>
      </w:r>
      <w:r>
        <w:rPr>
          <w:noProof/>
        </w:rPr>
        <w:fldChar w:fldCharType="separate"/>
      </w:r>
      <w:r w:rsidR="00D56CA9">
        <w:rPr>
          <w:noProof/>
        </w:rPr>
        <w:t>2</w:t>
      </w:r>
      <w:r>
        <w:rPr>
          <w:noProof/>
        </w:rPr>
        <w:fldChar w:fldCharType="end"/>
      </w:r>
      <w:r>
        <w:t xml:space="preserve">: </w:t>
      </w:r>
      <w:r w:rsidRPr="0061319E">
        <w:t>Ποσοστιαία κατανομή εντάξεων και πληρωμών (έως 31.12.2018) δράσεων που υποβλήθηκαν στο πλαίσιο προσκλήσεων στην Επενδυτική Προτεραιότητα 1</w:t>
      </w:r>
      <w:r w:rsidRPr="0061319E">
        <w:rPr>
          <w:lang w:val="en-US"/>
        </w:rPr>
        <w:t>a</w:t>
      </w:r>
    </w:p>
    <w:tbl>
      <w:tblPr>
        <w:tblStyle w:val="TableGrid1"/>
        <w:tblW w:w="9268"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809"/>
        <w:gridCol w:w="1569"/>
        <w:gridCol w:w="1342"/>
        <w:gridCol w:w="1548"/>
      </w:tblGrid>
      <w:tr w:rsidR="00766A04" w:rsidRPr="00FC178C" w14:paraId="7C69A809" w14:textId="77777777" w:rsidTr="00E7325D">
        <w:trPr>
          <w:trHeight w:val="825"/>
          <w:jc w:val="center"/>
        </w:trPr>
        <w:tc>
          <w:tcPr>
            <w:tcW w:w="4809" w:type="dxa"/>
            <w:shd w:val="clear" w:color="auto" w:fill="800000"/>
            <w:hideMark/>
          </w:tcPr>
          <w:p w14:paraId="16B596FE" w14:textId="77777777" w:rsidR="00766A04" w:rsidRPr="00F53B40" w:rsidRDefault="00766A04" w:rsidP="00975CDE">
            <w:pPr>
              <w:jc w:val="center"/>
              <w:rPr>
                <w:rFonts w:cs="Calibri"/>
                <w:b/>
                <w:bCs/>
                <w:color w:val="FFFFFF" w:themeColor="background1"/>
                <w:sz w:val="16"/>
                <w:szCs w:val="16"/>
              </w:rPr>
            </w:pPr>
            <w:r w:rsidRPr="00F53B40">
              <w:rPr>
                <w:b/>
                <w:color w:val="FFFFFF" w:themeColor="background1"/>
                <w:sz w:val="16"/>
                <w:szCs w:val="16"/>
              </w:rPr>
              <w:t>Επενδυτική Προτεραιότητα 1a</w:t>
            </w:r>
          </w:p>
        </w:tc>
        <w:tc>
          <w:tcPr>
            <w:tcW w:w="1569" w:type="dxa"/>
            <w:shd w:val="clear" w:color="auto" w:fill="800000"/>
            <w:hideMark/>
          </w:tcPr>
          <w:p w14:paraId="4F6E4EF0"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Περισσότερο Ανεπτυγμένες Περιφέρειες</w:t>
            </w:r>
          </w:p>
        </w:tc>
        <w:tc>
          <w:tcPr>
            <w:tcW w:w="1342" w:type="dxa"/>
            <w:shd w:val="clear" w:color="auto" w:fill="800000"/>
            <w:hideMark/>
          </w:tcPr>
          <w:p w14:paraId="55D71DA9"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Περιφέρειες σε Μετάβαση</w:t>
            </w:r>
          </w:p>
        </w:tc>
        <w:tc>
          <w:tcPr>
            <w:tcW w:w="1548" w:type="dxa"/>
            <w:shd w:val="clear" w:color="auto" w:fill="800000"/>
            <w:hideMark/>
          </w:tcPr>
          <w:p w14:paraId="3899B962" w14:textId="77777777" w:rsidR="00766A04" w:rsidRPr="00F53B40" w:rsidRDefault="00766A04" w:rsidP="00975CDE">
            <w:pPr>
              <w:jc w:val="center"/>
              <w:rPr>
                <w:rFonts w:cs="Calibri"/>
                <w:b/>
                <w:bCs/>
                <w:color w:val="FFFFFF" w:themeColor="background1"/>
                <w:sz w:val="16"/>
                <w:szCs w:val="16"/>
              </w:rPr>
            </w:pPr>
            <w:r w:rsidRPr="00F53B40">
              <w:rPr>
                <w:rFonts w:cs="Calibri"/>
                <w:b/>
                <w:bCs/>
                <w:color w:val="FFFFFF" w:themeColor="background1"/>
                <w:sz w:val="16"/>
                <w:szCs w:val="16"/>
              </w:rPr>
              <w:t>Λιγότερο Ανεπτυγμένες Περιφέρειες</w:t>
            </w:r>
          </w:p>
        </w:tc>
      </w:tr>
      <w:tr w:rsidR="00766A04" w:rsidRPr="00FC178C" w14:paraId="370CD4B0" w14:textId="77777777" w:rsidTr="00E7325D">
        <w:trPr>
          <w:trHeight w:val="285"/>
          <w:jc w:val="center"/>
        </w:trPr>
        <w:tc>
          <w:tcPr>
            <w:tcW w:w="4809" w:type="dxa"/>
            <w:hideMark/>
          </w:tcPr>
          <w:p w14:paraId="7C604D63" w14:textId="77777777" w:rsidR="00766A04" w:rsidRPr="006A206C" w:rsidRDefault="00766A04" w:rsidP="00975CDE">
            <w:pPr>
              <w:rPr>
                <w:rFonts w:cs="Calibri"/>
                <w:sz w:val="16"/>
                <w:szCs w:val="16"/>
              </w:rPr>
            </w:pPr>
            <w:r w:rsidRPr="006A206C">
              <w:rPr>
                <w:sz w:val="16"/>
                <w:szCs w:val="16"/>
              </w:rPr>
              <w:t>Ποσοστό προϋπ/σμού της Πρόσκλησης που αφορά στην κατηγορία Περιφέρειας</w:t>
            </w:r>
          </w:p>
        </w:tc>
        <w:tc>
          <w:tcPr>
            <w:tcW w:w="1569" w:type="dxa"/>
            <w:hideMark/>
          </w:tcPr>
          <w:p w14:paraId="1585D35E" w14:textId="77777777" w:rsidR="00766A04" w:rsidRPr="000772CE" w:rsidRDefault="00766A04" w:rsidP="00975CDE">
            <w:pPr>
              <w:jc w:val="center"/>
              <w:rPr>
                <w:rFonts w:cs="Calibri"/>
                <w:sz w:val="16"/>
                <w:szCs w:val="16"/>
              </w:rPr>
            </w:pPr>
            <w:r w:rsidRPr="000772CE">
              <w:rPr>
                <w:sz w:val="16"/>
                <w:szCs w:val="16"/>
              </w:rPr>
              <w:t>34,90%</w:t>
            </w:r>
          </w:p>
        </w:tc>
        <w:tc>
          <w:tcPr>
            <w:tcW w:w="1342" w:type="dxa"/>
            <w:hideMark/>
          </w:tcPr>
          <w:p w14:paraId="4A0A6F20" w14:textId="77777777" w:rsidR="00766A04" w:rsidRPr="000772CE" w:rsidRDefault="00766A04" w:rsidP="00975CDE">
            <w:pPr>
              <w:jc w:val="center"/>
              <w:rPr>
                <w:rFonts w:cs="Calibri"/>
                <w:sz w:val="16"/>
                <w:szCs w:val="16"/>
              </w:rPr>
            </w:pPr>
            <w:r w:rsidRPr="000772CE">
              <w:rPr>
                <w:sz w:val="16"/>
                <w:szCs w:val="16"/>
              </w:rPr>
              <w:t>20,20%</w:t>
            </w:r>
          </w:p>
        </w:tc>
        <w:tc>
          <w:tcPr>
            <w:tcW w:w="1548" w:type="dxa"/>
            <w:hideMark/>
          </w:tcPr>
          <w:p w14:paraId="0D55FE63" w14:textId="77777777" w:rsidR="00766A04" w:rsidRPr="000772CE" w:rsidRDefault="00766A04" w:rsidP="00975CDE">
            <w:pPr>
              <w:jc w:val="center"/>
              <w:rPr>
                <w:rFonts w:cs="Calibri"/>
                <w:sz w:val="16"/>
                <w:szCs w:val="16"/>
              </w:rPr>
            </w:pPr>
            <w:r w:rsidRPr="000772CE">
              <w:rPr>
                <w:sz w:val="16"/>
                <w:szCs w:val="16"/>
              </w:rPr>
              <w:t>44,90%</w:t>
            </w:r>
          </w:p>
        </w:tc>
      </w:tr>
      <w:tr w:rsidR="00766A04" w:rsidRPr="00FC178C" w14:paraId="3BC5C05E" w14:textId="77777777" w:rsidTr="00E7325D">
        <w:trPr>
          <w:trHeight w:val="255"/>
          <w:jc w:val="center"/>
        </w:trPr>
        <w:tc>
          <w:tcPr>
            <w:tcW w:w="4809" w:type="dxa"/>
            <w:hideMark/>
          </w:tcPr>
          <w:p w14:paraId="02482AAD" w14:textId="77777777" w:rsidR="00766A04" w:rsidRPr="006A206C" w:rsidRDefault="00766A04" w:rsidP="00975CDE">
            <w:pPr>
              <w:rPr>
                <w:rFonts w:cs="Calibri"/>
                <w:sz w:val="16"/>
                <w:szCs w:val="16"/>
              </w:rPr>
            </w:pPr>
            <w:r w:rsidRPr="006A206C">
              <w:rPr>
                <w:sz w:val="16"/>
                <w:szCs w:val="16"/>
              </w:rPr>
              <w:t>Ποσοστό προϋπ/σμού ενταγμένων έργων ανά κατηγορία Περιφερειών</w:t>
            </w:r>
          </w:p>
        </w:tc>
        <w:tc>
          <w:tcPr>
            <w:tcW w:w="1569" w:type="dxa"/>
            <w:hideMark/>
          </w:tcPr>
          <w:p w14:paraId="2599CDF2" w14:textId="77777777" w:rsidR="00766A04" w:rsidRPr="000772CE" w:rsidRDefault="00766A04" w:rsidP="00975CDE">
            <w:pPr>
              <w:jc w:val="center"/>
              <w:rPr>
                <w:rFonts w:cs="Calibri"/>
                <w:sz w:val="16"/>
                <w:szCs w:val="16"/>
              </w:rPr>
            </w:pPr>
            <w:r w:rsidRPr="000772CE">
              <w:rPr>
                <w:sz w:val="16"/>
                <w:szCs w:val="16"/>
              </w:rPr>
              <w:t>151,25%</w:t>
            </w:r>
          </w:p>
        </w:tc>
        <w:tc>
          <w:tcPr>
            <w:tcW w:w="1342" w:type="dxa"/>
            <w:hideMark/>
          </w:tcPr>
          <w:p w14:paraId="187E7F02" w14:textId="77777777" w:rsidR="00766A04" w:rsidRPr="000772CE" w:rsidRDefault="00766A04" w:rsidP="00975CDE">
            <w:pPr>
              <w:jc w:val="center"/>
              <w:rPr>
                <w:rFonts w:cs="Calibri"/>
                <w:sz w:val="16"/>
                <w:szCs w:val="16"/>
              </w:rPr>
            </w:pPr>
            <w:r w:rsidRPr="000772CE">
              <w:rPr>
                <w:sz w:val="16"/>
                <w:szCs w:val="16"/>
              </w:rPr>
              <w:t>75,05%</w:t>
            </w:r>
          </w:p>
        </w:tc>
        <w:tc>
          <w:tcPr>
            <w:tcW w:w="1548" w:type="dxa"/>
            <w:hideMark/>
          </w:tcPr>
          <w:p w14:paraId="47DB1BC9" w14:textId="77777777" w:rsidR="00766A04" w:rsidRPr="000772CE" w:rsidRDefault="00766A04" w:rsidP="00975CDE">
            <w:pPr>
              <w:jc w:val="center"/>
              <w:rPr>
                <w:rFonts w:cs="Calibri"/>
                <w:sz w:val="16"/>
                <w:szCs w:val="16"/>
              </w:rPr>
            </w:pPr>
            <w:r w:rsidRPr="000772CE">
              <w:rPr>
                <w:sz w:val="16"/>
                <w:szCs w:val="16"/>
              </w:rPr>
              <w:t>65,82%</w:t>
            </w:r>
          </w:p>
        </w:tc>
      </w:tr>
      <w:tr w:rsidR="00766A04" w:rsidRPr="00FC178C" w14:paraId="5DD16908" w14:textId="77777777" w:rsidTr="00E7325D">
        <w:trPr>
          <w:trHeight w:val="255"/>
          <w:jc w:val="center"/>
        </w:trPr>
        <w:tc>
          <w:tcPr>
            <w:tcW w:w="4809" w:type="dxa"/>
            <w:hideMark/>
          </w:tcPr>
          <w:p w14:paraId="2C71A187" w14:textId="77777777" w:rsidR="00766A04" w:rsidRPr="006A206C" w:rsidRDefault="00766A04" w:rsidP="00975CDE">
            <w:pPr>
              <w:rPr>
                <w:rFonts w:cs="Calibri"/>
                <w:sz w:val="16"/>
                <w:szCs w:val="16"/>
              </w:rPr>
            </w:pPr>
            <w:r w:rsidRPr="006A206C">
              <w:rPr>
                <w:sz w:val="16"/>
                <w:szCs w:val="16"/>
              </w:rPr>
              <w:t>Κατανομή του προϋπ/σμού (ΔΔ) των ενταγμένων έργων ανά κατηγορία Περιφερειών</w:t>
            </w:r>
          </w:p>
        </w:tc>
        <w:tc>
          <w:tcPr>
            <w:tcW w:w="1569" w:type="dxa"/>
            <w:hideMark/>
          </w:tcPr>
          <w:p w14:paraId="1E4E878B" w14:textId="77777777" w:rsidR="00766A04" w:rsidRPr="000772CE" w:rsidRDefault="00766A04" w:rsidP="00975CDE">
            <w:pPr>
              <w:jc w:val="center"/>
              <w:rPr>
                <w:rFonts w:cs="Calibri"/>
                <w:sz w:val="16"/>
                <w:szCs w:val="16"/>
              </w:rPr>
            </w:pPr>
            <w:r w:rsidRPr="000772CE">
              <w:rPr>
                <w:sz w:val="16"/>
                <w:szCs w:val="16"/>
              </w:rPr>
              <w:t>54,14%</w:t>
            </w:r>
          </w:p>
        </w:tc>
        <w:tc>
          <w:tcPr>
            <w:tcW w:w="1342" w:type="dxa"/>
            <w:hideMark/>
          </w:tcPr>
          <w:p w14:paraId="45B2AE9F" w14:textId="77777777" w:rsidR="00766A04" w:rsidRPr="000772CE" w:rsidRDefault="00766A04" w:rsidP="00975CDE">
            <w:pPr>
              <w:jc w:val="center"/>
              <w:rPr>
                <w:rFonts w:cs="Calibri"/>
                <w:sz w:val="16"/>
                <w:szCs w:val="16"/>
              </w:rPr>
            </w:pPr>
            <w:r w:rsidRPr="000772CE">
              <w:rPr>
                <w:sz w:val="16"/>
                <w:szCs w:val="16"/>
              </w:rPr>
              <w:t>15,55%</w:t>
            </w:r>
          </w:p>
        </w:tc>
        <w:tc>
          <w:tcPr>
            <w:tcW w:w="1548" w:type="dxa"/>
            <w:hideMark/>
          </w:tcPr>
          <w:p w14:paraId="72E1DC68" w14:textId="77777777" w:rsidR="00766A04" w:rsidRPr="000772CE" w:rsidRDefault="00766A04" w:rsidP="00975CDE">
            <w:pPr>
              <w:jc w:val="center"/>
              <w:rPr>
                <w:rFonts w:cs="Calibri"/>
                <w:sz w:val="16"/>
                <w:szCs w:val="16"/>
              </w:rPr>
            </w:pPr>
            <w:r w:rsidRPr="000772CE">
              <w:rPr>
                <w:sz w:val="16"/>
                <w:szCs w:val="16"/>
              </w:rPr>
              <w:t>30,31%</w:t>
            </w:r>
          </w:p>
        </w:tc>
      </w:tr>
      <w:tr w:rsidR="00E7325D" w:rsidRPr="00FC178C" w14:paraId="494B0232" w14:textId="77777777" w:rsidTr="00E7325D">
        <w:trPr>
          <w:trHeight w:val="255"/>
          <w:jc w:val="center"/>
        </w:trPr>
        <w:tc>
          <w:tcPr>
            <w:tcW w:w="4809" w:type="dxa"/>
            <w:hideMark/>
          </w:tcPr>
          <w:p w14:paraId="45B73D6F" w14:textId="77777777" w:rsidR="00E7325D" w:rsidRPr="006A206C" w:rsidRDefault="00E7325D" w:rsidP="005B099C">
            <w:pPr>
              <w:rPr>
                <w:rFonts w:cs="Calibri"/>
                <w:sz w:val="16"/>
                <w:szCs w:val="16"/>
              </w:rPr>
            </w:pPr>
            <w:r w:rsidRPr="006A206C">
              <w:rPr>
                <w:sz w:val="16"/>
                <w:szCs w:val="16"/>
              </w:rPr>
              <w:t xml:space="preserve">Κατανομή των </w:t>
            </w:r>
            <w:r w:rsidR="005B099C">
              <w:rPr>
                <w:sz w:val="16"/>
                <w:szCs w:val="16"/>
              </w:rPr>
              <w:t xml:space="preserve">πληρωμών  </w:t>
            </w:r>
            <w:r w:rsidRPr="006A206C">
              <w:rPr>
                <w:sz w:val="16"/>
                <w:szCs w:val="16"/>
              </w:rPr>
              <w:t>στις κατηγορίες Περιφερειών</w:t>
            </w:r>
          </w:p>
        </w:tc>
        <w:tc>
          <w:tcPr>
            <w:tcW w:w="1569" w:type="dxa"/>
            <w:hideMark/>
          </w:tcPr>
          <w:p w14:paraId="21BCA9E3" w14:textId="77777777" w:rsidR="00E7325D" w:rsidRPr="00946BC2" w:rsidRDefault="00E7325D" w:rsidP="00E7325D">
            <w:pPr>
              <w:jc w:val="center"/>
            </w:pPr>
            <w:r w:rsidRPr="00946BC2">
              <w:t>56,02%</w:t>
            </w:r>
          </w:p>
        </w:tc>
        <w:tc>
          <w:tcPr>
            <w:tcW w:w="1342" w:type="dxa"/>
            <w:hideMark/>
          </w:tcPr>
          <w:p w14:paraId="5DCE25C8" w14:textId="77777777" w:rsidR="00E7325D" w:rsidRPr="00946BC2" w:rsidRDefault="00E7325D" w:rsidP="00E7325D">
            <w:pPr>
              <w:jc w:val="center"/>
            </w:pPr>
            <w:r w:rsidRPr="00946BC2">
              <w:t>16,25%</w:t>
            </w:r>
          </w:p>
        </w:tc>
        <w:tc>
          <w:tcPr>
            <w:tcW w:w="1548" w:type="dxa"/>
            <w:hideMark/>
          </w:tcPr>
          <w:p w14:paraId="488C4BF6" w14:textId="77777777" w:rsidR="00E7325D" w:rsidRDefault="00E7325D" w:rsidP="00E7325D">
            <w:pPr>
              <w:jc w:val="center"/>
            </w:pPr>
            <w:r w:rsidRPr="00946BC2">
              <w:t>27,72%</w:t>
            </w:r>
          </w:p>
        </w:tc>
      </w:tr>
    </w:tbl>
    <w:p w14:paraId="5DA00C3B" w14:textId="77777777" w:rsidR="008F0183" w:rsidRDefault="008F0183" w:rsidP="00766A04">
      <w:pPr>
        <w:spacing w:after="160" w:line="259" w:lineRule="auto"/>
        <w:sectPr w:rsidR="008F0183" w:rsidSect="005476F0">
          <w:headerReference w:type="default" r:id="rId15"/>
          <w:footerReference w:type="default" r:id="rId16"/>
          <w:pgSz w:w="11907" w:h="16840" w:code="9"/>
          <w:pgMar w:top="1440" w:right="1247" w:bottom="1440" w:left="1247" w:header="720" w:footer="720" w:gutter="0"/>
          <w:cols w:space="720"/>
          <w:titlePg/>
          <w:docGrid w:linePitch="360"/>
        </w:sectPr>
      </w:pPr>
    </w:p>
    <w:p w14:paraId="0DD472CF" w14:textId="670AC2B0" w:rsidR="0044305E" w:rsidRDefault="0044305E" w:rsidP="00766A04">
      <w:pPr>
        <w:spacing w:after="160" w:line="259" w:lineRule="auto"/>
      </w:pPr>
      <w:r w:rsidRPr="0044305E">
        <w:rPr>
          <w:noProof/>
          <w:lang w:eastAsia="el-GR"/>
        </w:rPr>
        <w:lastRenderedPageBreak/>
        <w:drawing>
          <wp:inline distT="0" distB="0" distL="0" distR="0" wp14:anchorId="60E8F7BB" wp14:editId="3D63A661">
            <wp:extent cx="8864600" cy="3020982"/>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64600" cy="3020982"/>
                    </a:xfrm>
                    <a:prstGeom prst="rect">
                      <a:avLst/>
                    </a:prstGeom>
                    <a:noFill/>
                    <a:ln>
                      <a:noFill/>
                    </a:ln>
                  </pic:spPr>
                </pic:pic>
              </a:graphicData>
            </a:graphic>
          </wp:inline>
        </w:drawing>
      </w:r>
    </w:p>
    <w:p w14:paraId="2A451DCE" w14:textId="77777777" w:rsidR="0044305E" w:rsidRDefault="0044305E" w:rsidP="00766A04">
      <w:pPr>
        <w:spacing w:after="160" w:line="259" w:lineRule="auto"/>
      </w:pPr>
    </w:p>
    <w:p w14:paraId="5180A11A" w14:textId="77777777" w:rsidR="008F0183" w:rsidRDefault="008F0183" w:rsidP="00766A04">
      <w:pPr>
        <w:spacing w:after="160" w:line="259" w:lineRule="auto"/>
      </w:pPr>
    </w:p>
    <w:p w14:paraId="4EB13C22" w14:textId="77777777" w:rsidR="008F0183" w:rsidRDefault="008F0183" w:rsidP="00766A04">
      <w:pPr>
        <w:spacing w:after="160" w:line="259" w:lineRule="auto"/>
        <w:sectPr w:rsidR="008F0183" w:rsidSect="008F0183">
          <w:pgSz w:w="16840" w:h="11907" w:orient="landscape" w:code="9"/>
          <w:pgMar w:top="1247" w:right="1440" w:bottom="1247" w:left="1440" w:header="720" w:footer="720" w:gutter="0"/>
          <w:cols w:space="720"/>
          <w:titlePg/>
          <w:docGrid w:linePitch="360"/>
        </w:sectPr>
      </w:pPr>
    </w:p>
    <w:p w14:paraId="005CCE74" w14:textId="77777777" w:rsidR="00766A04" w:rsidRDefault="00766A04" w:rsidP="00766A04">
      <w:pPr>
        <w:spacing w:after="160" w:line="259" w:lineRule="auto"/>
      </w:pPr>
    </w:p>
    <w:p w14:paraId="0368F36A" w14:textId="77777777" w:rsidR="003770DC" w:rsidRPr="00C33E1A" w:rsidRDefault="003770DC" w:rsidP="003770DC">
      <w:pPr>
        <w:pStyle w:val="Heading3"/>
        <w:rPr>
          <w:rFonts w:eastAsia="Calibri"/>
        </w:rPr>
      </w:pPr>
      <w:bookmarkStart w:id="10" w:name="_Toc22645400"/>
      <w:r>
        <w:rPr>
          <w:rFonts w:eastAsia="Calibri"/>
        </w:rPr>
        <w:t>Δράσεις ΕΠΑνΕΚ στο πλαίσιο της Επενδυτικής Προτεραιότητας 1</w:t>
      </w:r>
      <w:r>
        <w:rPr>
          <w:rFonts w:eastAsia="Calibri"/>
          <w:lang w:val="en-US"/>
        </w:rPr>
        <w:t>b</w:t>
      </w:r>
      <w:bookmarkEnd w:id="10"/>
    </w:p>
    <w:p w14:paraId="6C4ED09F" w14:textId="603546F2" w:rsidR="003770DC" w:rsidRPr="001D2933" w:rsidRDefault="003770DC" w:rsidP="003770DC">
      <w:r w:rsidRPr="000D5F33">
        <w:t xml:space="preserve">Η Επενδυτική Προτεραιότητα </w:t>
      </w:r>
      <w:r w:rsidRPr="001D2933">
        <w:rPr>
          <w:b/>
        </w:rPr>
        <w:t>1b</w:t>
      </w:r>
      <w:r w:rsidRPr="000D5F33">
        <w:t xml:space="preserve">  </w:t>
      </w:r>
      <w:r w:rsidRPr="001D2933">
        <w:rPr>
          <w:i/>
        </w:rPr>
        <w:t>«Προαγωγή επιχειρηματικών επενδύσεων στην έρευνα και καινοτομία, ανάπτυξη δεσμών και συνεργειών μεταξύ επιχειρήσεων, κέντρων έρευνας και ανάπτυξης και του τομέα της τριτοβάθμιας εκπαίδευσης, ιδίως μέσω της προαγωγής επενδύσεων στην ανάπτυξη προϊόντων και υπηρεσιών, στη μεταφορά τεχνολογίας, στην κοινωνική καινοτομία, στην οικολογική καινοτομία, στις εφαρμογές παροχής δημόσιων υπηρεσιών, στην ενθάρρυνση της ζήτησης, στη δικτύωση, στα συμπλέγματα φορέων και στην ανοιχτή καινοτομία μέσω ευφυούς εξειδίκευσης, καθώς και στήριξη της τεχνολογικής και εφαρμοσμένης έρευνας, δοκιμαστικών δράσεων, ενεργειών έγκαιρης επικύρωσης προϊόντων, προηγμένων ικανοτήτων παραγωγής και πρώτης παραγωγής, ειδικά σε βασικές τεχνολογίες, και διάδοση των τεχνολογιών γενικής εφαρμογής</w:t>
      </w:r>
      <w:r w:rsidRPr="001D2933">
        <w:t xml:space="preserve">» </w:t>
      </w:r>
      <w:r w:rsidRPr="006219E3">
        <w:rPr>
          <w:b/>
        </w:rPr>
        <w:t>υποστηρίζει τη</w:t>
      </w:r>
      <w:r w:rsidR="00041CF6">
        <w:rPr>
          <w:b/>
        </w:rPr>
        <w:t xml:space="preserve">ν εθνική </w:t>
      </w:r>
      <w:r w:rsidRPr="006219E3">
        <w:rPr>
          <w:b/>
        </w:rPr>
        <w:t xml:space="preserve"> στρατηγική της Έξυπνης Εξειδίκευσης,</w:t>
      </w:r>
      <w:r w:rsidRPr="001D2933">
        <w:t xml:space="preserve"> για το λόγο αυτό εξετάζεται η πρόοδος υλοποίησης των έργων εκείνων που εντάσσονται στον Άξονα Προτεραιότητας 1 «Ανάπτυξη επιχειρηματικότητας με τομεακές προτεραιότητες» και στον Άξονα Προτεραιότητας 1Σ «Ανάπτυξη επιχειρηματικότητας με τομεακές προτεραιότητες (Στερεά Ελλάδα, Νότιο Αιγαίο)» του ΕΠΑνΕΚ, καθώς αποτελεί τους Άξονες εκείνους που περιλαμβάνουν τη συγκεκριμένη Επενδυτική Προτεραιότητα.</w:t>
      </w:r>
    </w:p>
    <w:p w14:paraId="26A644EE" w14:textId="77777777" w:rsidR="003770DC" w:rsidRPr="001D2933" w:rsidRDefault="003770DC" w:rsidP="003770DC">
      <w:r w:rsidRPr="001D2933">
        <w:t>Ο Ειδικός Στόχος 1.1 «Αύξηση επιχειρηματικών πρωτοβουλιών και συνεργασιών για την ανάπτυξη καινοτόμου επιχειρηματικότητας σύμφωνα με την εθνική στρατηγική έρευνας και καινοτομίας για έξυπνη εξειδίκευση» εξυπηρετεί την εθνική πολιτική του τομέα Έρευνας και Καινοτομίας για το 2020 και επικεντρώνεται στην αξιοποίηση έρευνας, τεχνολογίας και καινοτομίας από τις επιχειρήσεις ώστε να αποτελέσουν το βασικό</w:t>
      </w:r>
      <w:r w:rsidRPr="00CE163E">
        <w:t xml:space="preserve"> </w:t>
      </w:r>
      <w:r w:rsidRPr="001D2933">
        <w:t>πυλώνα για τη βελτίωση της ανταγωνιστικότητας και την αναβάθμιση της επιχειρηματικότητας και της παραγωγικότητας μέσω της παραγωγής, διάδοσης και ενσωμάτωσης της νέας γνώσης και της καινοτομίας στα υπάρχοντα αλλά και σε νέα προϊόντα, υπηρεσίες παραγωγικά συστήματα και αλυσίδες αξίας. Εκτιμώμενα αποτελέσματα του συγκεκριμένου Ειδικού Στόχου, είναι τα εξής:</w:t>
      </w:r>
    </w:p>
    <w:p w14:paraId="53AF3800" w14:textId="77777777" w:rsidR="003770DC" w:rsidRPr="001D2933" w:rsidRDefault="003770DC" w:rsidP="00D22350">
      <w:pPr>
        <w:pStyle w:val="ListParagraph"/>
        <w:numPr>
          <w:ilvl w:val="0"/>
          <w:numId w:val="16"/>
        </w:numPr>
      </w:pPr>
      <w:r w:rsidRPr="001D2933">
        <w:t>Η στροφή στην οικονομική ανάπτυξη βασισμένη στη γνώση και τη βιώσιμη εξειδίκευση.</w:t>
      </w:r>
    </w:p>
    <w:p w14:paraId="0404342A" w14:textId="77777777" w:rsidR="003770DC" w:rsidRPr="001D2933" w:rsidRDefault="003770DC" w:rsidP="00D22350">
      <w:pPr>
        <w:pStyle w:val="ListParagraph"/>
        <w:numPr>
          <w:ilvl w:val="0"/>
          <w:numId w:val="16"/>
        </w:numPr>
      </w:pPr>
      <w:r w:rsidRPr="001D2933">
        <w:t>Η βελτίωση της ανταγωνιστικότητας και της παραγωγικότητας των ελληνικών επιχειρήσεων μέσω της παραγωγής, διάδοσης και ενσωμάτωσης της νέας γνώσης και της καινοτομίας και της σύνδεσης της ακαδημαϊκής έρευνας με την οικονομία.</w:t>
      </w:r>
    </w:p>
    <w:p w14:paraId="3051F2C5" w14:textId="77777777" w:rsidR="003770DC" w:rsidRPr="001D2933" w:rsidRDefault="003770DC" w:rsidP="00D22350">
      <w:pPr>
        <w:pStyle w:val="ListParagraph"/>
        <w:numPr>
          <w:ilvl w:val="0"/>
          <w:numId w:val="16"/>
        </w:numPr>
      </w:pPr>
      <w:r w:rsidRPr="001D2933">
        <w:t>Η ανάπτυξη της αριστείας στην έρευνα και η ευθυγράμμιση της προσφοράς της Έρευνας και της Καινοτομίας κυρίως με την επιχειρηματική ζήτηση.</w:t>
      </w:r>
    </w:p>
    <w:p w14:paraId="52DB3C4B" w14:textId="77777777" w:rsidR="003770DC" w:rsidRPr="00433D86" w:rsidRDefault="003770DC" w:rsidP="003770DC">
      <w:pPr>
        <w:rPr>
          <w:szCs w:val="18"/>
        </w:rPr>
      </w:pPr>
      <w:r w:rsidRPr="001D2933">
        <w:rPr>
          <w:szCs w:val="18"/>
        </w:rPr>
        <w:t xml:space="preserve">Όλες οι επενδύσεις θα πρέπει να είναι πλήρως ευθυγραμμισμένες με την RIS3, προκειμένου να δημιουργηθεί ανταγωνιστικό πλεονέκτημα μέσω της ανάπτυξης και αντιστοίχισης των ισχυρών σημείων της έρευνας και της καινοτομίας με τις ανάγκες των επιχειρήσεων, για την αξιοποίηση αναδυόμενων ευκαιριών και των </w:t>
      </w:r>
      <w:r w:rsidRPr="00433D86">
        <w:rPr>
          <w:szCs w:val="18"/>
        </w:rPr>
        <w:t>εξελίξεων στην αγορά με συνεκτικό τρόπο.</w:t>
      </w:r>
    </w:p>
    <w:p w14:paraId="3FA4E316" w14:textId="77777777" w:rsidR="003770DC" w:rsidRPr="00433D86" w:rsidRDefault="003770DC" w:rsidP="003770DC">
      <w:pPr>
        <w:rPr>
          <w:szCs w:val="18"/>
        </w:rPr>
      </w:pPr>
      <w:r w:rsidRPr="00433D86">
        <w:rPr>
          <w:szCs w:val="18"/>
        </w:rPr>
        <w:t>Σε συνέχεια των ανωτέρω και στο πλαίσιο της παρούσας έκθεσης, εξετάζεται η πορεία υλοποίησης των προαναφερθέντων Αξόνων Προτεραιότητας του ΕΠΑΝΕΚ έως και τις 31.12.2018.</w:t>
      </w:r>
    </w:p>
    <w:p w14:paraId="33A894AA" w14:textId="0A6058FE" w:rsidR="003770DC" w:rsidRPr="00043F84" w:rsidRDefault="003770DC" w:rsidP="003770DC">
      <w:pPr>
        <w:rPr>
          <w:szCs w:val="18"/>
        </w:rPr>
      </w:pPr>
      <w:r w:rsidRPr="00043F84">
        <w:rPr>
          <w:szCs w:val="18"/>
        </w:rPr>
        <w:t>Έως το τέλος του 2018, είχαν εκδοθεί</w:t>
      </w:r>
      <w:r w:rsidR="00041CF6">
        <w:rPr>
          <w:szCs w:val="18"/>
        </w:rPr>
        <w:t xml:space="preserve"> </w:t>
      </w:r>
      <w:r w:rsidR="00975CDE">
        <w:rPr>
          <w:b/>
          <w:szCs w:val="18"/>
        </w:rPr>
        <w:t>7</w:t>
      </w:r>
      <w:r w:rsidRPr="00043F84">
        <w:rPr>
          <w:b/>
          <w:szCs w:val="18"/>
        </w:rPr>
        <w:t xml:space="preserve"> Προσκλήσεις</w:t>
      </w:r>
      <w:r w:rsidRPr="00043F84">
        <w:rPr>
          <w:szCs w:val="18"/>
        </w:rPr>
        <w:t>:</w:t>
      </w:r>
    </w:p>
    <w:p w14:paraId="655C1725" w14:textId="77777777" w:rsidR="003770DC" w:rsidRDefault="003770DC" w:rsidP="00D22350">
      <w:pPr>
        <w:pStyle w:val="ListParagraph"/>
        <w:numPr>
          <w:ilvl w:val="0"/>
          <w:numId w:val="17"/>
        </w:numPr>
      </w:pPr>
      <w:r w:rsidRPr="00043F84">
        <w:t>Ενιαία Δράση Κρατικών Ενισχύσεων Έρευνας, Τεχνολογικής Ανάπτυξης &amp; Καινοτομίας «ΕΡΕΥΝΩ – ΔΗΜΙΟΥΡΓΩ – ΚΑΙΝΟΤΟΜΩ»</w:t>
      </w:r>
      <w:r>
        <w:t xml:space="preserve"> (Α΄ κύκλος</w:t>
      </w:r>
      <w:r w:rsidR="00975CDE">
        <w:t>-2017</w:t>
      </w:r>
      <w:r>
        <w:t>)</w:t>
      </w:r>
    </w:p>
    <w:p w14:paraId="18F0DB08" w14:textId="77777777" w:rsidR="003770DC" w:rsidRDefault="003770DC" w:rsidP="00D22350">
      <w:pPr>
        <w:pStyle w:val="ListParagraph"/>
        <w:numPr>
          <w:ilvl w:val="0"/>
          <w:numId w:val="17"/>
        </w:numPr>
      </w:pPr>
      <w:r w:rsidRPr="00EC0F38">
        <w:t>Δράση Εθνικής Εμβέλειας «Ευρωπαϊκή Ε&amp;Τ Συνεργασία - Πράξη Επιχορήγησης Ελληνικών φορέων που συμμετείχαν επιτυχώς σε Κοινές Προκηρύξεις Υποβολής Προτάσεων των Ευρωπαϊκών Δικτύων ERA NETS»</w:t>
      </w:r>
      <w:r>
        <w:t xml:space="preserve"> (2016)</w:t>
      </w:r>
    </w:p>
    <w:p w14:paraId="6B0F8DA8" w14:textId="77777777" w:rsidR="003770DC" w:rsidRDefault="003770DC" w:rsidP="00D22350">
      <w:pPr>
        <w:pStyle w:val="ListParagraph"/>
        <w:numPr>
          <w:ilvl w:val="0"/>
          <w:numId w:val="17"/>
        </w:numPr>
      </w:pPr>
      <w:r w:rsidRPr="00EC0F38">
        <w:t>Δράση Εθνικής Εμβέλειας «Ευρωπαϊκή Ε&amp;Τ Συνεργασία - Πράξη Επιχορήγησης Ελληνικών φορέων που συμμετείχαν επιτυχώς σε Κοινές Προκηρύξεις Υποβολής Προτάσεων των Ευρωπαϊκών Δικτύων ERA NETS»</w:t>
      </w:r>
      <w:r>
        <w:t xml:space="preserve"> (2018)</w:t>
      </w:r>
    </w:p>
    <w:p w14:paraId="4EBA585F" w14:textId="77777777" w:rsidR="003770DC" w:rsidRPr="00EC0F38" w:rsidRDefault="003770DC" w:rsidP="00D22350">
      <w:pPr>
        <w:pStyle w:val="ListParagraph"/>
        <w:numPr>
          <w:ilvl w:val="0"/>
          <w:numId w:val="17"/>
        </w:numPr>
      </w:pPr>
      <w:r w:rsidRPr="00EC0F38">
        <w:t>«Διμερής Ελλάδας – Γερμανίας»</w:t>
      </w:r>
      <w:r w:rsidR="00975CDE">
        <w:t xml:space="preserve"> (2016)</w:t>
      </w:r>
    </w:p>
    <w:p w14:paraId="5DDD158B" w14:textId="77777777" w:rsidR="003770DC" w:rsidRPr="00EC0F38" w:rsidRDefault="003770DC" w:rsidP="00D22350">
      <w:pPr>
        <w:pStyle w:val="ListParagraph"/>
        <w:numPr>
          <w:ilvl w:val="0"/>
          <w:numId w:val="17"/>
        </w:numPr>
      </w:pPr>
      <w:r w:rsidRPr="00EC0F38">
        <w:t>«Διμερής Ελλάδας – Ρωσίας»</w:t>
      </w:r>
      <w:r w:rsidR="00975CDE">
        <w:t xml:space="preserve"> (2016)</w:t>
      </w:r>
    </w:p>
    <w:p w14:paraId="059057F5" w14:textId="77777777" w:rsidR="003770DC" w:rsidRDefault="003770DC" w:rsidP="00D22350">
      <w:pPr>
        <w:pStyle w:val="ListParagraph"/>
        <w:numPr>
          <w:ilvl w:val="0"/>
          <w:numId w:val="17"/>
        </w:numPr>
      </w:pPr>
      <w:r w:rsidRPr="007C5576">
        <w:t>«Διμερής Ε&amp;Τ Συνεργασία Ελλάδας – Ισραήλ»</w:t>
      </w:r>
      <w:r w:rsidR="00975CDE">
        <w:t xml:space="preserve"> (2017)</w:t>
      </w:r>
    </w:p>
    <w:p w14:paraId="0D8AF90C" w14:textId="77777777" w:rsidR="00975CDE" w:rsidRPr="007C5576" w:rsidRDefault="00975CDE" w:rsidP="00D22350">
      <w:pPr>
        <w:pStyle w:val="ListParagraph"/>
        <w:numPr>
          <w:ilvl w:val="0"/>
          <w:numId w:val="17"/>
        </w:numPr>
      </w:pPr>
      <w:r w:rsidRPr="007C5576">
        <w:t xml:space="preserve">Διμερής Ε&amp;Τ Συνεργασία Ελλάδας – </w:t>
      </w:r>
      <w:r>
        <w:t>Κίνα</w:t>
      </w:r>
      <w:r w:rsidRPr="007C5576">
        <w:t>»</w:t>
      </w:r>
      <w:r>
        <w:t xml:space="preserve"> (2018)</w:t>
      </w:r>
    </w:p>
    <w:p w14:paraId="2780E6D3" w14:textId="77777777" w:rsidR="003770DC" w:rsidRPr="000D5F33" w:rsidRDefault="003770DC" w:rsidP="003770DC">
      <w:pPr>
        <w:rPr>
          <w:szCs w:val="18"/>
        </w:rPr>
      </w:pPr>
      <w:r w:rsidRPr="000D5F33">
        <w:rPr>
          <w:szCs w:val="18"/>
        </w:rPr>
        <w:t>Τα συνολικά στοιχεία για την εξέλιξη της υλοποίησης των δράσεων της εν λόγω Επενδυτικής Προτεραιότητας, παρουσιάζονται στους κάτωθι πίνακες.</w:t>
      </w:r>
    </w:p>
    <w:p w14:paraId="1723FF9A" w14:textId="77777777" w:rsidR="003770DC" w:rsidRPr="00895602" w:rsidRDefault="003770DC" w:rsidP="003770DC">
      <w:pPr>
        <w:rPr>
          <w:szCs w:val="18"/>
        </w:rPr>
      </w:pPr>
      <w:r w:rsidRPr="00895602">
        <w:rPr>
          <w:szCs w:val="18"/>
        </w:rPr>
        <w:lastRenderedPageBreak/>
        <w:t>Αναλυτικότερα, από την επεξεργασία των στοιχείων προκύπτει ότι ο προϋπολογισμός των προσκλήσεων που εκδόθηκαν ανέρχονταν σε 4</w:t>
      </w:r>
      <w:r w:rsidR="00C535D7">
        <w:rPr>
          <w:szCs w:val="18"/>
        </w:rPr>
        <w:t>42.600.000</w:t>
      </w:r>
      <w:r w:rsidRPr="00895602">
        <w:rPr>
          <w:szCs w:val="18"/>
        </w:rPr>
        <w:t xml:space="preserve"> € με το ήμισυ – περίπου – αυτού να αφορά στις λιγότε</w:t>
      </w:r>
      <w:r w:rsidR="00C535D7">
        <w:rPr>
          <w:szCs w:val="18"/>
        </w:rPr>
        <w:t>ρο ανεπτυγμένες Περιφέρειες (47,8</w:t>
      </w:r>
      <w:r w:rsidRPr="00895602">
        <w:rPr>
          <w:szCs w:val="18"/>
        </w:rPr>
        <w:t>%).</w:t>
      </w:r>
    </w:p>
    <w:p w14:paraId="5B116D58" w14:textId="2E5626E4" w:rsidR="003770DC" w:rsidRPr="00895602" w:rsidRDefault="003770DC" w:rsidP="003770DC">
      <w:pPr>
        <w:rPr>
          <w:szCs w:val="18"/>
        </w:rPr>
      </w:pPr>
      <w:r w:rsidRPr="00895602">
        <w:rPr>
          <w:szCs w:val="18"/>
        </w:rPr>
        <w:t xml:space="preserve">Ως προς τις εντάξεις έργων, το ποσοστό του προϋπολογισμού αυτών ανέρχεται σε </w:t>
      </w:r>
      <w:r w:rsidR="00C535D7">
        <w:rPr>
          <w:szCs w:val="18"/>
        </w:rPr>
        <w:t xml:space="preserve">73,32 </w:t>
      </w:r>
      <w:r w:rsidRPr="00895602">
        <w:rPr>
          <w:szCs w:val="18"/>
        </w:rPr>
        <w:t xml:space="preserve">% του διατιθέμενου προϋπολογισμού </w:t>
      </w:r>
      <w:r w:rsidR="00C535D7">
        <w:rPr>
          <w:szCs w:val="18"/>
        </w:rPr>
        <w:t>του συνόλου των Προσκλήσεων</w:t>
      </w:r>
      <w:r w:rsidRPr="00895602">
        <w:rPr>
          <w:szCs w:val="18"/>
        </w:rPr>
        <w:t xml:space="preserve">. </w:t>
      </w:r>
      <w:r w:rsidR="00E117D1">
        <w:rPr>
          <w:szCs w:val="18"/>
        </w:rPr>
        <w:t>Στο επίπεδο αυτό, οι Λιγότερο Ανεπτυγμ</w:t>
      </w:r>
      <w:r w:rsidR="005416EE">
        <w:rPr>
          <w:szCs w:val="18"/>
        </w:rPr>
        <w:t>έ</w:t>
      </w:r>
      <w:r w:rsidR="00E117D1">
        <w:rPr>
          <w:szCs w:val="18"/>
        </w:rPr>
        <w:t>νες Περιφέρειες συγκεντρώνει το μεγαλύτερο ποσοστό π/υ δημόσιας δαπάνης εντάξεων έναντι του αντίστοιχου π/υ των Προσκλήσεων</w:t>
      </w:r>
      <w:r w:rsidR="005416EE">
        <w:rPr>
          <w:szCs w:val="18"/>
        </w:rPr>
        <w:t>.</w:t>
      </w:r>
    </w:p>
    <w:p w14:paraId="469C9DDD" w14:textId="0323E8AF" w:rsidR="003770DC" w:rsidRDefault="003770DC" w:rsidP="003770DC">
      <w:r w:rsidRPr="00895602">
        <w:rPr>
          <w:szCs w:val="18"/>
        </w:rPr>
        <w:t xml:space="preserve">Η απορρόφηση του προϋπολογισμού των ενταγμένων έργων είναι </w:t>
      </w:r>
      <w:r w:rsidR="008863F3">
        <w:rPr>
          <w:szCs w:val="18"/>
        </w:rPr>
        <w:t>σε ικανοποιητικό επίπεδο</w:t>
      </w:r>
      <w:r w:rsidRPr="00895602">
        <w:rPr>
          <w:szCs w:val="18"/>
        </w:rPr>
        <w:t xml:space="preserve">, αφού </w:t>
      </w:r>
      <w:r w:rsidR="008863F3">
        <w:rPr>
          <w:szCs w:val="18"/>
        </w:rPr>
        <w:t>οι πληρωμές του ΕΛΚΕ-ΓΓΕΤ έως 31.12.201</w:t>
      </w:r>
      <w:r w:rsidR="005416EE">
        <w:rPr>
          <w:szCs w:val="18"/>
        </w:rPr>
        <w:t>8</w:t>
      </w:r>
      <w:r w:rsidR="008863F3">
        <w:rPr>
          <w:szCs w:val="18"/>
        </w:rPr>
        <w:t xml:space="preserve"> σε σχέση με τις εντάξεις σε επίπεδο Επενδυτικής Προτεραιότητας </w:t>
      </w:r>
      <w:r w:rsidRPr="00895602">
        <w:rPr>
          <w:szCs w:val="18"/>
        </w:rPr>
        <w:t xml:space="preserve">ανέρχεται </w:t>
      </w:r>
      <w:r w:rsidR="008863F3">
        <w:rPr>
          <w:szCs w:val="18"/>
        </w:rPr>
        <w:t>στο 23,83</w:t>
      </w:r>
      <w:r w:rsidRPr="00895602">
        <w:rPr>
          <w:szCs w:val="18"/>
        </w:rPr>
        <w:t xml:space="preserve">%, </w:t>
      </w:r>
      <w:r w:rsidR="008863F3">
        <w:rPr>
          <w:szCs w:val="18"/>
        </w:rPr>
        <w:t xml:space="preserve">με τις </w:t>
      </w:r>
      <w:r w:rsidR="005416EE">
        <w:rPr>
          <w:szCs w:val="18"/>
        </w:rPr>
        <w:t>λ</w:t>
      </w:r>
      <w:r w:rsidR="008863F3">
        <w:rPr>
          <w:szCs w:val="18"/>
        </w:rPr>
        <w:t xml:space="preserve">ιγότερο </w:t>
      </w:r>
      <w:r w:rsidR="005416EE">
        <w:rPr>
          <w:szCs w:val="18"/>
        </w:rPr>
        <w:t>α</w:t>
      </w:r>
      <w:r w:rsidR="008863F3">
        <w:rPr>
          <w:szCs w:val="18"/>
        </w:rPr>
        <w:t>νεπτυγμένες Περιφέρεις να έχουν τη μεγαλύτερη συμμετοχή στις πληρωμές του είδους (</w:t>
      </w:r>
      <w:r w:rsidR="0001063E">
        <w:rPr>
          <w:szCs w:val="18"/>
        </w:rPr>
        <w:t>51,99</w:t>
      </w:r>
      <w:r w:rsidR="008863F3">
        <w:rPr>
          <w:szCs w:val="18"/>
        </w:rPr>
        <w:t xml:space="preserve">%). Σαφές μικρότερο ποσοστό απορρόφησης παρουσιάζουν τα ενταγμένα έργα, όταν συγκρίνονται με τις αντίστοιχες πληρωμές </w:t>
      </w:r>
      <w:r w:rsidR="0001063E">
        <w:rPr>
          <w:szCs w:val="18"/>
        </w:rPr>
        <w:t>ΟΠΣ (23,83%). Ομοίως, οι λιγότερο ανεπτυγμένες Περιφέρειες έχουν τη μεγαλύτερη συμμετοχή στη συγκεκριμένη κατηγορία πληρωμών (55,72</w:t>
      </w:r>
      <w:r w:rsidR="005416EE">
        <w:rPr>
          <w:szCs w:val="18"/>
        </w:rPr>
        <w:t>%</w:t>
      </w:r>
      <w:r w:rsidR="0001063E">
        <w:rPr>
          <w:szCs w:val="18"/>
        </w:rPr>
        <w:t>)</w:t>
      </w:r>
      <w:r w:rsidR="005416EE">
        <w:rPr>
          <w:szCs w:val="18"/>
        </w:rPr>
        <w:t>.</w:t>
      </w:r>
    </w:p>
    <w:p w14:paraId="0160F969" w14:textId="13A22086" w:rsidR="003770DC" w:rsidRDefault="003770DC" w:rsidP="003770DC">
      <w:r>
        <w:t xml:space="preserve">Είναι σημαντικό να σημειωθεί ότι η πρόοδος υλοποίησης των έργων της Επενδυτικής Προτεραιότητας </w:t>
      </w:r>
      <w:r w:rsidR="0001063E">
        <w:t xml:space="preserve">εξαρτάται σε υψηλό βαθμό </w:t>
      </w:r>
      <w:r>
        <w:t xml:space="preserve">από </w:t>
      </w:r>
      <w:r w:rsidR="0001063E">
        <w:t>τη Δράση</w:t>
      </w:r>
      <w:r>
        <w:t xml:space="preserve"> «</w:t>
      </w:r>
      <w:r w:rsidRPr="00EE67C9">
        <w:t>Ερευνώ-Δημιουργώ-Καινοτομώ</w:t>
      </w:r>
      <w:r>
        <w:t xml:space="preserve">», καθώς ο προϋπολογισμός </w:t>
      </w:r>
      <w:r w:rsidR="0001063E">
        <w:t xml:space="preserve">των εντάξεων της Δράσης αποτελεί το 95,12% των εντάξεων σε επίπεδο Επενδυτικής Προτεραιότητας, ενώ τα αντίστοιχα ποσοστά όσον αφορά </w:t>
      </w:r>
      <w:r w:rsidR="005416EE">
        <w:t>σ</w:t>
      </w:r>
      <w:r w:rsidR="0001063E">
        <w:t>τις πληρωμές ΕΛΚΕ και τις πληρωμές ΟΠΣ</w:t>
      </w:r>
      <w:r w:rsidR="007063C8">
        <w:t xml:space="preserve"> (έως 31.12.2018)</w:t>
      </w:r>
      <w:r w:rsidR="0001063E">
        <w:t xml:space="preserve"> ανέρχονται στο 93,8</w:t>
      </w:r>
      <w:r w:rsidR="007063C8">
        <w:t>%</w:t>
      </w:r>
      <w:r w:rsidR="0001063E">
        <w:t xml:space="preserve"> και στο 98,55%</w:t>
      </w:r>
      <w:r w:rsidR="007063C8">
        <w:t>.</w:t>
      </w:r>
      <w:r>
        <w:t xml:space="preserve"> </w:t>
      </w:r>
    </w:p>
    <w:p w14:paraId="004CE79F" w14:textId="77777777" w:rsidR="00BB003C" w:rsidRDefault="00BB003C" w:rsidP="003770DC">
      <w:r>
        <w:t>Λεπτομερείς στοιχεία προόδου σε επίπεδο Επενδυτικής Προτεραιότητας δίνεται στον πίνακα που ακολουθεί:</w:t>
      </w:r>
    </w:p>
    <w:p w14:paraId="215E7444" w14:textId="77777777" w:rsidR="00C10F81" w:rsidRPr="00895602" w:rsidRDefault="00C10F81" w:rsidP="003770DC"/>
    <w:p w14:paraId="3F9F07D7" w14:textId="77777777" w:rsidR="003770DC" w:rsidRPr="002E0366" w:rsidRDefault="00C10F81" w:rsidP="00C10F81">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3</w:t>
      </w:r>
      <w:r w:rsidR="00833098">
        <w:rPr>
          <w:noProof/>
        </w:rPr>
        <w:fldChar w:fldCharType="end"/>
      </w:r>
      <w:r w:rsidR="002E0366">
        <w:rPr>
          <w:noProof/>
        </w:rPr>
        <w:t xml:space="preserve"> </w:t>
      </w:r>
      <w:r w:rsidR="003770DC" w:rsidRPr="0061319E">
        <w:t xml:space="preserve">Στοιχεία </w:t>
      </w:r>
      <w:r w:rsidR="002E0366">
        <w:t xml:space="preserve">Προσκλήσεων, </w:t>
      </w:r>
      <w:r w:rsidR="003770DC" w:rsidRPr="0061319E">
        <w:t xml:space="preserve">εντάξεων και πληρωμών (έως 31.12.2018) δράσεων </w:t>
      </w:r>
      <w:r w:rsidR="002E0366">
        <w:t>που υλοποιούνται</w:t>
      </w:r>
      <w:r w:rsidR="003770DC" w:rsidRPr="0061319E">
        <w:t xml:space="preserve"> στο πλαίσιο προσκλήσεων στην Επενδυτική Προτεραιότητα 1</w:t>
      </w:r>
      <w:r w:rsidR="003770DC" w:rsidRPr="0061319E">
        <w:rPr>
          <w:lang w:val="en-US"/>
        </w:rPr>
        <w:t>b</w:t>
      </w:r>
      <w:r w:rsidR="002E0366">
        <w:t xml:space="preserve"> </w:t>
      </w:r>
    </w:p>
    <w:tbl>
      <w:tblPr>
        <w:tblStyle w:val="TableGrid1"/>
        <w:tblW w:w="935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7"/>
        <w:gridCol w:w="1690"/>
        <w:gridCol w:w="1544"/>
        <w:gridCol w:w="1540"/>
        <w:gridCol w:w="1601"/>
      </w:tblGrid>
      <w:tr w:rsidR="003770DC" w:rsidRPr="00786B15" w14:paraId="67C7A7A9" w14:textId="77777777" w:rsidTr="00BB003C">
        <w:trPr>
          <w:trHeight w:val="825"/>
        </w:trPr>
        <w:tc>
          <w:tcPr>
            <w:tcW w:w="2977" w:type="dxa"/>
            <w:shd w:val="clear" w:color="auto" w:fill="800000"/>
            <w:vAlign w:val="center"/>
            <w:hideMark/>
          </w:tcPr>
          <w:p w14:paraId="52FC9AD8"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Επενδυτική Προτεραιότητα 1</w:t>
            </w:r>
            <w:r w:rsidRPr="00786B15">
              <w:rPr>
                <w:rFonts w:cs="Calibri"/>
                <w:b/>
                <w:bCs/>
                <w:color w:val="FFFFFF" w:themeColor="background1"/>
                <w:sz w:val="16"/>
                <w:szCs w:val="16"/>
                <w:lang w:val="en-US"/>
              </w:rPr>
              <w:t>b</w:t>
            </w:r>
          </w:p>
        </w:tc>
        <w:tc>
          <w:tcPr>
            <w:tcW w:w="1690" w:type="dxa"/>
            <w:shd w:val="clear" w:color="auto" w:fill="800000"/>
            <w:vAlign w:val="center"/>
            <w:hideMark/>
          </w:tcPr>
          <w:p w14:paraId="3FCD4535"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Σύνολο</w:t>
            </w:r>
          </w:p>
        </w:tc>
        <w:tc>
          <w:tcPr>
            <w:tcW w:w="1544" w:type="dxa"/>
            <w:shd w:val="clear" w:color="auto" w:fill="800000"/>
            <w:vAlign w:val="center"/>
            <w:hideMark/>
          </w:tcPr>
          <w:p w14:paraId="40E4DBF1"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Περισσότερο Ανεπτυγμένες Περιφέρειες</w:t>
            </w:r>
          </w:p>
        </w:tc>
        <w:tc>
          <w:tcPr>
            <w:tcW w:w="1540" w:type="dxa"/>
            <w:shd w:val="clear" w:color="auto" w:fill="800000"/>
            <w:vAlign w:val="center"/>
            <w:hideMark/>
          </w:tcPr>
          <w:p w14:paraId="26D696A7"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Περιφέρειες σε Μετάβαση</w:t>
            </w:r>
          </w:p>
        </w:tc>
        <w:tc>
          <w:tcPr>
            <w:tcW w:w="1601" w:type="dxa"/>
            <w:shd w:val="clear" w:color="auto" w:fill="800000"/>
            <w:vAlign w:val="center"/>
            <w:hideMark/>
          </w:tcPr>
          <w:p w14:paraId="115E3FF0"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Λιγότερο Ανεπτυγμένες Περιφέρειες</w:t>
            </w:r>
          </w:p>
        </w:tc>
      </w:tr>
      <w:tr w:rsidR="00BB003C" w:rsidRPr="008B45A0" w14:paraId="57E2332F" w14:textId="77777777" w:rsidTr="00BB003C">
        <w:trPr>
          <w:trHeight w:val="285"/>
        </w:trPr>
        <w:tc>
          <w:tcPr>
            <w:tcW w:w="2977" w:type="dxa"/>
            <w:hideMark/>
          </w:tcPr>
          <w:p w14:paraId="7177F78D" w14:textId="77777777" w:rsidR="00BB003C" w:rsidRPr="00F87480" w:rsidRDefault="00BB003C" w:rsidP="00BB003C">
            <w:r w:rsidRPr="00F87480">
              <w:t>Προϋπ/σμός πρόσκλησης (ΔΔ):</w:t>
            </w:r>
          </w:p>
        </w:tc>
        <w:tc>
          <w:tcPr>
            <w:tcW w:w="1690" w:type="dxa"/>
          </w:tcPr>
          <w:p w14:paraId="2260D16A" w14:textId="77777777" w:rsidR="00BB003C" w:rsidRPr="00AB23D1" w:rsidRDefault="00BB003C" w:rsidP="00BB003C">
            <w:r w:rsidRPr="00AB23D1">
              <w:t>442.600.000,00 €</w:t>
            </w:r>
          </w:p>
        </w:tc>
        <w:tc>
          <w:tcPr>
            <w:tcW w:w="1544" w:type="dxa"/>
          </w:tcPr>
          <w:p w14:paraId="774E8647" w14:textId="77777777" w:rsidR="00BB003C" w:rsidRPr="00BB003C" w:rsidRDefault="00BB003C" w:rsidP="00BB003C">
            <w:pPr>
              <w:rPr>
                <w:sz w:val="16"/>
                <w:szCs w:val="16"/>
              </w:rPr>
            </w:pPr>
            <w:r w:rsidRPr="00BB003C">
              <w:rPr>
                <w:sz w:val="16"/>
                <w:szCs w:val="16"/>
              </w:rPr>
              <w:t>159.760.000,00 €</w:t>
            </w:r>
          </w:p>
        </w:tc>
        <w:tc>
          <w:tcPr>
            <w:tcW w:w="1540" w:type="dxa"/>
          </w:tcPr>
          <w:p w14:paraId="1A824988" w14:textId="77777777" w:rsidR="00BB003C" w:rsidRPr="00AB23D1" w:rsidRDefault="00BB003C" w:rsidP="00BB003C">
            <w:r w:rsidRPr="00AB23D1">
              <w:t>71.245.000,00 €</w:t>
            </w:r>
          </w:p>
        </w:tc>
        <w:tc>
          <w:tcPr>
            <w:tcW w:w="1601" w:type="dxa"/>
          </w:tcPr>
          <w:p w14:paraId="134BA413" w14:textId="77777777" w:rsidR="00BB003C" w:rsidRPr="00AB23D1" w:rsidRDefault="00BB003C" w:rsidP="00BB003C">
            <w:r w:rsidRPr="00AB23D1">
              <w:t>211.595.000,00 €</w:t>
            </w:r>
          </w:p>
        </w:tc>
      </w:tr>
      <w:tr w:rsidR="00BB003C" w:rsidRPr="008B45A0" w14:paraId="353AD261" w14:textId="77777777" w:rsidTr="00BB003C">
        <w:trPr>
          <w:trHeight w:val="255"/>
        </w:trPr>
        <w:tc>
          <w:tcPr>
            <w:tcW w:w="2977" w:type="dxa"/>
            <w:hideMark/>
          </w:tcPr>
          <w:p w14:paraId="1BD27A74" w14:textId="77777777" w:rsidR="00BB003C" w:rsidRPr="00F87480" w:rsidRDefault="00BB003C" w:rsidP="00BB003C">
            <w:r w:rsidRPr="00F87480">
              <w:t xml:space="preserve">Προϋπ/σμός ενταγμένων έργων (ΔΔ): </w:t>
            </w:r>
          </w:p>
        </w:tc>
        <w:tc>
          <w:tcPr>
            <w:tcW w:w="1690" w:type="dxa"/>
          </w:tcPr>
          <w:p w14:paraId="74B06896" w14:textId="77777777" w:rsidR="00BB003C" w:rsidRPr="00AB23D1" w:rsidRDefault="00BB003C" w:rsidP="00BB003C">
            <w:r w:rsidRPr="00AB23D1">
              <w:t>324.504.156,98 €</w:t>
            </w:r>
          </w:p>
        </w:tc>
        <w:tc>
          <w:tcPr>
            <w:tcW w:w="1544" w:type="dxa"/>
          </w:tcPr>
          <w:p w14:paraId="2EA94864" w14:textId="77777777" w:rsidR="00BB003C" w:rsidRPr="00BB003C" w:rsidRDefault="00BB003C" w:rsidP="00BB003C">
            <w:pPr>
              <w:rPr>
                <w:sz w:val="16"/>
                <w:szCs w:val="16"/>
              </w:rPr>
            </w:pPr>
            <w:r w:rsidRPr="00BB003C">
              <w:rPr>
                <w:sz w:val="16"/>
                <w:szCs w:val="16"/>
              </w:rPr>
              <w:t>112.253.960,96 €</w:t>
            </w:r>
          </w:p>
        </w:tc>
        <w:tc>
          <w:tcPr>
            <w:tcW w:w="1540" w:type="dxa"/>
          </w:tcPr>
          <w:p w14:paraId="2F4AEE95" w14:textId="77777777" w:rsidR="00BB003C" w:rsidRPr="00AB23D1" w:rsidRDefault="00BB003C" w:rsidP="00BB003C">
            <w:r w:rsidRPr="00AB23D1">
              <w:t>50.066.835,49 €</w:t>
            </w:r>
          </w:p>
        </w:tc>
        <w:tc>
          <w:tcPr>
            <w:tcW w:w="1601" w:type="dxa"/>
          </w:tcPr>
          <w:p w14:paraId="68AFA431" w14:textId="77777777" w:rsidR="00BB003C" w:rsidRPr="00BB003C" w:rsidRDefault="00BB003C" w:rsidP="00BB003C">
            <w:pPr>
              <w:rPr>
                <w:sz w:val="16"/>
                <w:szCs w:val="16"/>
              </w:rPr>
            </w:pPr>
            <w:r w:rsidRPr="00BB003C">
              <w:rPr>
                <w:sz w:val="16"/>
                <w:szCs w:val="16"/>
              </w:rPr>
              <w:t>162.183.360,53 €</w:t>
            </w:r>
          </w:p>
        </w:tc>
      </w:tr>
      <w:tr w:rsidR="00BB003C" w:rsidRPr="008B45A0" w14:paraId="39212F85" w14:textId="77777777" w:rsidTr="00BB003C">
        <w:trPr>
          <w:trHeight w:val="255"/>
        </w:trPr>
        <w:tc>
          <w:tcPr>
            <w:tcW w:w="2977" w:type="dxa"/>
          </w:tcPr>
          <w:p w14:paraId="2CA5A044" w14:textId="77777777" w:rsidR="00BB003C" w:rsidRPr="00F87480" w:rsidRDefault="00BB003C" w:rsidP="00BB003C">
            <w:r w:rsidRPr="00F87480">
              <w:t xml:space="preserve">Πληρωμές έργων (ΕΛΚΕ): </w:t>
            </w:r>
          </w:p>
        </w:tc>
        <w:tc>
          <w:tcPr>
            <w:tcW w:w="1690" w:type="dxa"/>
          </w:tcPr>
          <w:p w14:paraId="6902200D" w14:textId="77777777" w:rsidR="00BB003C" w:rsidRPr="00AB23D1" w:rsidRDefault="00BB003C" w:rsidP="00BB003C">
            <w:r w:rsidRPr="00AB23D1">
              <w:t>77.329.309,40 €</w:t>
            </w:r>
          </w:p>
        </w:tc>
        <w:tc>
          <w:tcPr>
            <w:tcW w:w="1544" w:type="dxa"/>
          </w:tcPr>
          <w:p w14:paraId="11947A47" w14:textId="77777777" w:rsidR="00BB003C" w:rsidRPr="00AB23D1" w:rsidRDefault="00BB003C" w:rsidP="00BB003C">
            <w:r w:rsidRPr="00AB23D1">
              <w:t>25.087.016,84 €</w:t>
            </w:r>
          </w:p>
        </w:tc>
        <w:tc>
          <w:tcPr>
            <w:tcW w:w="1540" w:type="dxa"/>
          </w:tcPr>
          <w:p w14:paraId="0823AA52" w14:textId="77777777" w:rsidR="00BB003C" w:rsidRPr="00AB23D1" w:rsidRDefault="00BB003C" w:rsidP="00BB003C">
            <w:r w:rsidRPr="00AB23D1">
              <w:t>12.036.521,21 €</w:t>
            </w:r>
          </w:p>
        </w:tc>
        <w:tc>
          <w:tcPr>
            <w:tcW w:w="1601" w:type="dxa"/>
          </w:tcPr>
          <w:p w14:paraId="5B49CBED" w14:textId="77777777" w:rsidR="00BB003C" w:rsidRPr="00AB23D1" w:rsidRDefault="00BB003C" w:rsidP="00BB003C">
            <w:r w:rsidRPr="00AB23D1">
              <w:t>40.205.771,35 €</w:t>
            </w:r>
          </w:p>
        </w:tc>
      </w:tr>
      <w:tr w:rsidR="00BB003C" w:rsidRPr="008B45A0" w14:paraId="2C5C01FD" w14:textId="77777777" w:rsidTr="00BB003C">
        <w:trPr>
          <w:trHeight w:val="255"/>
        </w:trPr>
        <w:tc>
          <w:tcPr>
            <w:tcW w:w="2977" w:type="dxa"/>
            <w:hideMark/>
          </w:tcPr>
          <w:p w14:paraId="4928D4C9" w14:textId="77777777" w:rsidR="00BB003C" w:rsidRDefault="00BB003C" w:rsidP="00BB003C">
            <w:r w:rsidRPr="00F87480">
              <w:t xml:space="preserve">Πληρωμές έργων (ΟΠΣ): </w:t>
            </w:r>
          </w:p>
        </w:tc>
        <w:tc>
          <w:tcPr>
            <w:tcW w:w="1690" w:type="dxa"/>
          </w:tcPr>
          <w:p w14:paraId="3E780A32" w14:textId="77777777" w:rsidR="00BB003C" w:rsidRPr="00AB23D1" w:rsidRDefault="00BB003C" w:rsidP="00BB003C">
            <w:r w:rsidRPr="00AB23D1">
              <w:t>8.314.671,52 €</w:t>
            </w:r>
          </w:p>
        </w:tc>
        <w:tc>
          <w:tcPr>
            <w:tcW w:w="1544" w:type="dxa"/>
          </w:tcPr>
          <w:p w14:paraId="1E2BFE93" w14:textId="77777777" w:rsidR="00BB003C" w:rsidRPr="00AB23D1" w:rsidRDefault="00BB003C" w:rsidP="00BB003C">
            <w:r w:rsidRPr="00AB23D1">
              <w:t>2.289.481,56 €</w:t>
            </w:r>
          </w:p>
        </w:tc>
        <w:tc>
          <w:tcPr>
            <w:tcW w:w="1540" w:type="dxa"/>
          </w:tcPr>
          <w:p w14:paraId="18D22226" w14:textId="77777777" w:rsidR="00BB003C" w:rsidRPr="00AB23D1" w:rsidRDefault="00BB003C" w:rsidP="00BB003C">
            <w:r w:rsidRPr="00AB23D1">
              <w:t>1.392.028,59 €</w:t>
            </w:r>
          </w:p>
        </w:tc>
        <w:tc>
          <w:tcPr>
            <w:tcW w:w="1601" w:type="dxa"/>
          </w:tcPr>
          <w:p w14:paraId="5074CFFD" w14:textId="77777777" w:rsidR="00BB003C" w:rsidRDefault="00BB003C" w:rsidP="00BB003C">
            <w:r w:rsidRPr="00AB23D1">
              <w:t>4.633.161,37 €</w:t>
            </w:r>
          </w:p>
        </w:tc>
      </w:tr>
      <w:tr w:rsidR="003770DC" w:rsidRPr="008B45A0" w14:paraId="0932B82B" w14:textId="77777777" w:rsidTr="00BB003C">
        <w:trPr>
          <w:trHeight w:val="255"/>
        </w:trPr>
        <w:tc>
          <w:tcPr>
            <w:tcW w:w="2977" w:type="dxa"/>
            <w:hideMark/>
          </w:tcPr>
          <w:p w14:paraId="60C52205" w14:textId="77777777" w:rsidR="003770DC" w:rsidRPr="00DF43D2" w:rsidRDefault="003770DC" w:rsidP="005F5D19">
            <w:pPr>
              <w:rPr>
                <w:rFonts w:cs="Calibri"/>
                <w:sz w:val="16"/>
                <w:szCs w:val="16"/>
              </w:rPr>
            </w:pPr>
            <w:r w:rsidRPr="00DF43D2">
              <w:rPr>
                <w:rFonts w:cs="Calibri"/>
                <w:sz w:val="16"/>
                <w:szCs w:val="16"/>
              </w:rPr>
              <w:t>Αριθμ. ενταγμένων πράξεων:</w:t>
            </w:r>
          </w:p>
        </w:tc>
        <w:tc>
          <w:tcPr>
            <w:tcW w:w="1690" w:type="dxa"/>
          </w:tcPr>
          <w:p w14:paraId="05B7153A" w14:textId="77777777" w:rsidR="003770DC" w:rsidRPr="0065794A" w:rsidRDefault="003770DC" w:rsidP="005F5D19">
            <w:pPr>
              <w:jc w:val="center"/>
              <w:rPr>
                <w:rFonts w:cs="Calibri"/>
                <w:bCs/>
                <w:sz w:val="16"/>
                <w:szCs w:val="16"/>
              </w:rPr>
            </w:pPr>
            <w:r w:rsidRPr="0065794A">
              <w:rPr>
                <w:sz w:val="16"/>
                <w:szCs w:val="16"/>
              </w:rPr>
              <w:t xml:space="preserve">656 </w:t>
            </w:r>
          </w:p>
        </w:tc>
        <w:tc>
          <w:tcPr>
            <w:tcW w:w="1544" w:type="dxa"/>
          </w:tcPr>
          <w:p w14:paraId="5BB60BC4" w14:textId="77777777" w:rsidR="003770DC" w:rsidRPr="00705033" w:rsidRDefault="003770DC" w:rsidP="005F5D19">
            <w:pPr>
              <w:jc w:val="center"/>
              <w:rPr>
                <w:rFonts w:cs="Calibri"/>
                <w:sz w:val="16"/>
                <w:szCs w:val="16"/>
              </w:rPr>
            </w:pPr>
            <w:r w:rsidRPr="00705033">
              <w:rPr>
                <w:sz w:val="16"/>
                <w:szCs w:val="16"/>
              </w:rPr>
              <w:t>334</w:t>
            </w:r>
          </w:p>
        </w:tc>
        <w:tc>
          <w:tcPr>
            <w:tcW w:w="1540" w:type="dxa"/>
          </w:tcPr>
          <w:p w14:paraId="71EE32CB" w14:textId="77777777" w:rsidR="003770DC" w:rsidRPr="00705033" w:rsidRDefault="003770DC" w:rsidP="005F5D19">
            <w:pPr>
              <w:jc w:val="center"/>
              <w:rPr>
                <w:rFonts w:cs="Calibri"/>
                <w:sz w:val="16"/>
                <w:szCs w:val="16"/>
              </w:rPr>
            </w:pPr>
            <w:r w:rsidRPr="00705033">
              <w:rPr>
                <w:sz w:val="16"/>
                <w:szCs w:val="16"/>
              </w:rPr>
              <w:t>206</w:t>
            </w:r>
          </w:p>
        </w:tc>
        <w:tc>
          <w:tcPr>
            <w:tcW w:w="1601" w:type="dxa"/>
          </w:tcPr>
          <w:p w14:paraId="5A1F98B8" w14:textId="77777777" w:rsidR="003770DC" w:rsidRPr="00705033" w:rsidRDefault="003770DC" w:rsidP="005F5D19">
            <w:pPr>
              <w:jc w:val="center"/>
              <w:rPr>
                <w:rFonts w:cs="Calibri"/>
                <w:sz w:val="16"/>
                <w:szCs w:val="16"/>
              </w:rPr>
            </w:pPr>
            <w:r w:rsidRPr="00705033">
              <w:rPr>
                <w:sz w:val="16"/>
                <w:szCs w:val="16"/>
              </w:rPr>
              <w:t>431</w:t>
            </w:r>
          </w:p>
        </w:tc>
      </w:tr>
      <w:tr w:rsidR="003770DC" w:rsidRPr="008B45A0" w14:paraId="3EDDC5B3" w14:textId="77777777" w:rsidTr="00BB003C">
        <w:trPr>
          <w:trHeight w:val="255"/>
        </w:trPr>
        <w:tc>
          <w:tcPr>
            <w:tcW w:w="2977" w:type="dxa"/>
            <w:hideMark/>
          </w:tcPr>
          <w:p w14:paraId="79CFFD9E" w14:textId="77777777" w:rsidR="003770DC" w:rsidRPr="00DF43D2" w:rsidRDefault="003770DC" w:rsidP="005F5D19">
            <w:pPr>
              <w:rPr>
                <w:rFonts w:cs="Calibri"/>
                <w:sz w:val="16"/>
                <w:szCs w:val="16"/>
              </w:rPr>
            </w:pPr>
            <w:r w:rsidRPr="00DF43D2">
              <w:rPr>
                <w:rFonts w:cs="Calibri"/>
                <w:sz w:val="16"/>
                <w:szCs w:val="16"/>
              </w:rPr>
              <w:t>Αριθμ. συμμετοχών:</w:t>
            </w:r>
          </w:p>
        </w:tc>
        <w:tc>
          <w:tcPr>
            <w:tcW w:w="1690" w:type="dxa"/>
          </w:tcPr>
          <w:p w14:paraId="3B4198D9" w14:textId="77777777" w:rsidR="003770DC" w:rsidRPr="0065794A" w:rsidRDefault="003770DC" w:rsidP="005F5D19">
            <w:pPr>
              <w:jc w:val="center"/>
              <w:rPr>
                <w:rFonts w:cs="Calibri"/>
                <w:bCs/>
                <w:sz w:val="16"/>
                <w:szCs w:val="16"/>
              </w:rPr>
            </w:pPr>
            <w:r w:rsidRPr="0065794A">
              <w:rPr>
                <w:sz w:val="16"/>
                <w:szCs w:val="16"/>
              </w:rPr>
              <w:t xml:space="preserve">1,942 </w:t>
            </w:r>
          </w:p>
        </w:tc>
        <w:tc>
          <w:tcPr>
            <w:tcW w:w="1544" w:type="dxa"/>
          </w:tcPr>
          <w:p w14:paraId="5E919FD0" w14:textId="77777777" w:rsidR="003770DC" w:rsidRPr="00705033" w:rsidRDefault="003770DC" w:rsidP="005F5D19">
            <w:pPr>
              <w:jc w:val="center"/>
              <w:rPr>
                <w:rFonts w:cs="Calibri"/>
                <w:sz w:val="16"/>
                <w:szCs w:val="16"/>
              </w:rPr>
            </w:pPr>
            <w:r w:rsidRPr="00705033">
              <w:rPr>
                <w:sz w:val="16"/>
                <w:szCs w:val="16"/>
              </w:rPr>
              <w:t>49</w:t>
            </w:r>
          </w:p>
        </w:tc>
        <w:tc>
          <w:tcPr>
            <w:tcW w:w="1540" w:type="dxa"/>
          </w:tcPr>
          <w:p w14:paraId="13ACC662" w14:textId="77777777" w:rsidR="003770DC" w:rsidRPr="00705033" w:rsidRDefault="003770DC" w:rsidP="005F5D19">
            <w:pPr>
              <w:jc w:val="center"/>
              <w:rPr>
                <w:rFonts w:cs="Calibri"/>
                <w:sz w:val="16"/>
                <w:szCs w:val="16"/>
              </w:rPr>
            </w:pPr>
            <w:r w:rsidRPr="00705033">
              <w:rPr>
                <w:sz w:val="16"/>
                <w:szCs w:val="16"/>
              </w:rPr>
              <w:t>29</w:t>
            </w:r>
          </w:p>
        </w:tc>
        <w:tc>
          <w:tcPr>
            <w:tcW w:w="1601" w:type="dxa"/>
          </w:tcPr>
          <w:p w14:paraId="66434C94" w14:textId="77777777" w:rsidR="003770DC" w:rsidRPr="00705033" w:rsidRDefault="003770DC" w:rsidP="005F5D19">
            <w:pPr>
              <w:jc w:val="center"/>
              <w:rPr>
                <w:rFonts w:cs="Calibri"/>
                <w:sz w:val="16"/>
                <w:szCs w:val="16"/>
              </w:rPr>
            </w:pPr>
            <w:r w:rsidRPr="00705033">
              <w:rPr>
                <w:sz w:val="16"/>
                <w:szCs w:val="16"/>
              </w:rPr>
              <w:t>56</w:t>
            </w:r>
          </w:p>
        </w:tc>
      </w:tr>
    </w:tbl>
    <w:p w14:paraId="5CF62823" w14:textId="77777777" w:rsidR="00C10F81" w:rsidRPr="004B1B24" w:rsidRDefault="004B1B24" w:rsidP="004B1B24">
      <w:pPr>
        <w:pStyle w:val="Caption"/>
        <w:jc w:val="left"/>
        <w:rPr>
          <w:b w:val="0"/>
        </w:rPr>
      </w:pPr>
      <w:r w:rsidRPr="004B1B24">
        <w:rPr>
          <w:b w:val="0"/>
        </w:rPr>
        <w:t>(σημ. Η διμερής Ε&amp;Τ Συνεργασία Ελλάδας-Κίνας δεν είχε παρουσιάσει ενταμένα έργα έως το τέλος του 2018)</w:t>
      </w:r>
    </w:p>
    <w:p w14:paraId="6A6EA4D3" w14:textId="77777777" w:rsidR="001A593B" w:rsidRDefault="001A593B" w:rsidP="00C10F81">
      <w:pPr>
        <w:pStyle w:val="Caption"/>
      </w:pPr>
    </w:p>
    <w:p w14:paraId="31B611E3" w14:textId="77777777" w:rsidR="003770DC" w:rsidRPr="00786B15" w:rsidRDefault="00C10F81" w:rsidP="00C10F81">
      <w:pPr>
        <w:pStyle w:val="Caption"/>
      </w:pPr>
      <w:r w:rsidRPr="00C10F81">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4</w:t>
      </w:r>
      <w:r w:rsidR="00833098">
        <w:rPr>
          <w:noProof/>
        </w:rPr>
        <w:fldChar w:fldCharType="end"/>
      </w:r>
      <w:r>
        <w:t xml:space="preserve">: </w:t>
      </w:r>
      <w:r w:rsidR="003770DC" w:rsidRPr="00C10F81">
        <w:t xml:space="preserve">Ποσοστιαία κατανομή </w:t>
      </w:r>
      <w:r w:rsidR="002E0366" w:rsidRPr="002E0366">
        <w:t>Προσκλήσεων, εντάξεων και πληρωμών (έως 31.12.2018) δράσεων που υλοποιούνται στο πλαίσιο προσκλήσεων στην Επενδυτική Προτεραιότητα 1b</w:t>
      </w:r>
    </w:p>
    <w:tbl>
      <w:tblPr>
        <w:tblStyle w:val="TableGrid1"/>
        <w:tblW w:w="944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804"/>
        <w:gridCol w:w="1522"/>
        <w:gridCol w:w="1522"/>
        <w:gridCol w:w="1594"/>
      </w:tblGrid>
      <w:tr w:rsidR="003770DC" w:rsidRPr="008B45A0" w14:paraId="6C78DEEA" w14:textId="77777777" w:rsidTr="004C5799">
        <w:trPr>
          <w:trHeight w:val="510"/>
          <w:tblHeader/>
        </w:trPr>
        <w:tc>
          <w:tcPr>
            <w:tcW w:w="4804" w:type="dxa"/>
            <w:shd w:val="clear" w:color="auto" w:fill="800000"/>
            <w:vAlign w:val="center"/>
            <w:hideMark/>
          </w:tcPr>
          <w:p w14:paraId="30D90623"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Επενδυτική Προτεραιότητα 1</w:t>
            </w:r>
            <w:r w:rsidRPr="00786B15">
              <w:rPr>
                <w:rFonts w:cs="Calibri"/>
                <w:b/>
                <w:bCs/>
                <w:color w:val="FFFFFF" w:themeColor="background1"/>
                <w:sz w:val="16"/>
                <w:szCs w:val="16"/>
                <w:lang w:val="en-US"/>
              </w:rPr>
              <w:t>b</w:t>
            </w:r>
          </w:p>
        </w:tc>
        <w:tc>
          <w:tcPr>
            <w:tcW w:w="1522" w:type="dxa"/>
            <w:shd w:val="clear" w:color="auto" w:fill="800000"/>
            <w:vAlign w:val="center"/>
            <w:hideMark/>
          </w:tcPr>
          <w:p w14:paraId="10CD29EF"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Περισσότερο Ανεπτυγμένες Περιφέρειες</w:t>
            </w:r>
          </w:p>
        </w:tc>
        <w:tc>
          <w:tcPr>
            <w:tcW w:w="1522" w:type="dxa"/>
            <w:shd w:val="clear" w:color="auto" w:fill="800000"/>
            <w:vAlign w:val="center"/>
            <w:hideMark/>
          </w:tcPr>
          <w:p w14:paraId="29CE78A9"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Περιφέρειες σε Μετάβαση</w:t>
            </w:r>
          </w:p>
        </w:tc>
        <w:tc>
          <w:tcPr>
            <w:tcW w:w="1594" w:type="dxa"/>
            <w:shd w:val="clear" w:color="auto" w:fill="800000"/>
            <w:vAlign w:val="center"/>
            <w:hideMark/>
          </w:tcPr>
          <w:p w14:paraId="70F7C621" w14:textId="77777777" w:rsidR="003770DC" w:rsidRPr="00786B15" w:rsidRDefault="003770DC" w:rsidP="00494216">
            <w:pPr>
              <w:jc w:val="center"/>
              <w:rPr>
                <w:rFonts w:cs="Calibri"/>
                <w:b/>
                <w:bCs/>
                <w:color w:val="FFFFFF" w:themeColor="background1"/>
                <w:sz w:val="16"/>
                <w:szCs w:val="16"/>
              </w:rPr>
            </w:pPr>
            <w:r w:rsidRPr="00786B15">
              <w:rPr>
                <w:rFonts w:cs="Calibri"/>
                <w:b/>
                <w:bCs/>
                <w:color w:val="FFFFFF" w:themeColor="background1"/>
                <w:sz w:val="16"/>
                <w:szCs w:val="16"/>
              </w:rPr>
              <w:t>Λιγότερο Ανεπτυγμένες Περιφέρειες</w:t>
            </w:r>
          </w:p>
        </w:tc>
      </w:tr>
      <w:tr w:rsidR="004C5799" w:rsidRPr="008B45A0" w14:paraId="103F75CB" w14:textId="77777777" w:rsidTr="004C5799">
        <w:trPr>
          <w:trHeight w:val="645"/>
        </w:trPr>
        <w:tc>
          <w:tcPr>
            <w:tcW w:w="4804" w:type="dxa"/>
          </w:tcPr>
          <w:p w14:paraId="740CABD1" w14:textId="77777777" w:rsidR="004C5799" w:rsidRPr="0097346D" w:rsidRDefault="004C5799" w:rsidP="004C5799">
            <w:r w:rsidRPr="0097346D">
              <w:t>Ποσοστιαία κατανομή του προϋπ/σμού (ΔΔ) Πρόσκλησης ανά κατηγορία Περιφερειών</w:t>
            </w:r>
          </w:p>
        </w:tc>
        <w:tc>
          <w:tcPr>
            <w:tcW w:w="1522" w:type="dxa"/>
          </w:tcPr>
          <w:p w14:paraId="25287806" w14:textId="77777777" w:rsidR="004C5799" w:rsidRPr="00080D7A" w:rsidRDefault="004C5799" w:rsidP="004C5799">
            <w:r w:rsidRPr="00080D7A">
              <w:t>36,10%</w:t>
            </w:r>
          </w:p>
        </w:tc>
        <w:tc>
          <w:tcPr>
            <w:tcW w:w="1522" w:type="dxa"/>
          </w:tcPr>
          <w:p w14:paraId="1C9144D7" w14:textId="77777777" w:rsidR="004C5799" w:rsidRPr="00080D7A" w:rsidRDefault="004C5799" w:rsidP="004C5799">
            <w:r w:rsidRPr="00080D7A">
              <w:t>16,10%</w:t>
            </w:r>
          </w:p>
        </w:tc>
        <w:tc>
          <w:tcPr>
            <w:tcW w:w="1594" w:type="dxa"/>
          </w:tcPr>
          <w:p w14:paraId="0C0AAA99" w14:textId="77777777" w:rsidR="004C5799" w:rsidRPr="00080D7A" w:rsidRDefault="004C5799" w:rsidP="004C5799">
            <w:r w:rsidRPr="00080D7A">
              <w:t>47,81%</w:t>
            </w:r>
          </w:p>
        </w:tc>
      </w:tr>
      <w:tr w:rsidR="004C5799" w:rsidRPr="008B45A0" w14:paraId="3A1F6E65" w14:textId="77777777" w:rsidTr="004C5799">
        <w:trPr>
          <w:trHeight w:val="553"/>
        </w:trPr>
        <w:tc>
          <w:tcPr>
            <w:tcW w:w="4804" w:type="dxa"/>
          </w:tcPr>
          <w:p w14:paraId="6D96A7CA" w14:textId="77777777" w:rsidR="004C5799" w:rsidRPr="0097346D" w:rsidRDefault="004C5799" w:rsidP="004C5799">
            <w:r w:rsidRPr="0097346D">
              <w:t>Ποσοστιαία κατανομή του προϋπ/σμού (ΔΔ) ενταγμένων έργων ανά κατηγορία Περιφερειών</w:t>
            </w:r>
          </w:p>
        </w:tc>
        <w:tc>
          <w:tcPr>
            <w:tcW w:w="1522" w:type="dxa"/>
          </w:tcPr>
          <w:p w14:paraId="47AFCF51" w14:textId="77777777" w:rsidR="004C5799" w:rsidRPr="00080D7A" w:rsidRDefault="004C5799" w:rsidP="004C5799">
            <w:r w:rsidRPr="00080D7A">
              <w:t>34,59%</w:t>
            </w:r>
          </w:p>
        </w:tc>
        <w:tc>
          <w:tcPr>
            <w:tcW w:w="1522" w:type="dxa"/>
          </w:tcPr>
          <w:p w14:paraId="3EB135A9" w14:textId="77777777" w:rsidR="004C5799" w:rsidRPr="00080D7A" w:rsidRDefault="004C5799" w:rsidP="004C5799">
            <w:r w:rsidRPr="00080D7A">
              <w:t>15,43%</w:t>
            </w:r>
          </w:p>
        </w:tc>
        <w:tc>
          <w:tcPr>
            <w:tcW w:w="1594" w:type="dxa"/>
          </w:tcPr>
          <w:p w14:paraId="2F646911" w14:textId="77777777" w:rsidR="004C5799" w:rsidRPr="00080D7A" w:rsidRDefault="004C5799" w:rsidP="004C5799">
            <w:r w:rsidRPr="00080D7A">
              <w:t>49,98%</w:t>
            </w:r>
          </w:p>
        </w:tc>
      </w:tr>
      <w:tr w:rsidR="004C5799" w:rsidRPr="008B45A0" w14:paraId="4EC6CD10" w14:textId="77777777" w:rsidTr="004C5799">
        <w:trPr>
          <w:trHeight w:val="690"/>
        </w:trPr>
        <w:tc>
          <w:tcPr>
            <w:tcW w:w="4804" w:type="dxa"/>
          </w:tcPr>
          <w:p w14:paraId="62DADB87" w14:textId="77777777" w:rsidR="004C5799" w:rsidRPr="0097346D" w:rsidRDefault="004C5799" w:rsidP="004C5799">
            <w:r w:rsidRPr="0097346D">
              <w:t>Ποσοστιαία κατανομή πληρωμών ΕΛΚΕ ανά κατηγορία Περιφερειών</w:t>
            </w:r>
          </w:p>
        </w:tc>
        <w:tc>
          <w:tcPr>
            <w:tcW w:w="1522" w:type="dxa"/>
          </w:tcPr>
          <w:p w14:paraId="0124A4C9" w14:textId="77777777" w:rsidR="004C5799" w:rsidRPr="00080D7A" w:rsidRDefault="004C5799" w:rsidP="004C5799">
            <w:r w:rsidRPr="00080D7A">
              <w:t>32,44%</w:t>
            </w:r>
          </w:p>
        </w:tc>
        <w:tc>
          <w:tcPr>
            <w:tcW w:w="1522" w:type="dxa"/>
          </w:tcPr>
          <w:p w14:paraId="75D26538" w14:textId="77777777" w:rsidR="004C5799" w:rsidRPr="00080D7A" w:rsidRDefault="004C5799" w:rsidP="004C5799">
            <w:r w:rsidRPr="00080D7A">
              <w:t>15,57%</w:t>
            </w:r>
          </w:p>
        </w:tc>
        <w:tc>
          <w:tcPr>
            <w:tcW w:w="1594" w:type="dxa"/>
          </w:tcPr>
          <w:p w14:paraId="23820A03" w14:textId="77777777" w:rsidR="004C5799" w:rsidRPr="00080D7A" w:rsidRDefault="004C5799" w:rsidP="004C5799">
            <w:r w:rsidRPr="00080D7A">
              <w:t>51,99%</w:t>
            </w:r>
          </w:p>
        </w:tc>
      </w:tr>
      <w:tr w:rsidR="004C5799" w:rsidRPr="008B45A0" w14:paraId="6233CDA1" w14:textId="77777777" w:rsidTr="004C5799">
        <w:trPr>
          <w:trHeight w:val="510"/>
        </w:trPr>
        <w:tc>
          <w:tcPr>
            <w:tcW w:w="4804" w:type="dxa"/>
          </w:tcPr>
          <w:p w14:paraId="3BB5AC97" w14:textId="77777777" w:rsidR="004C5799" w:rsidRPr="0097346D" w:rsidRDefault="004C5799" w:rsidP="004C5799">
            <w:r w:rsidRPr="0097346D">
              <w:lastRenderedPageBreak/>
              <w:t>Ποσοστιαία κατανομή καταχωρημένων πληρωμών στο ΟΠΣ ανά κατηγορία Περιφερειών</w:t>
            </w:r>
          </w:p>
        </w:tc>
        <w:tc>
          <w:tcPr>
            <w:tcW w:w="1522" w:type="dxa"/>
          </w:tcPr>
          <w:p w14:paraId="43AAE529" w14:textId="77777777" w:rsidR="004C5799" w:rsidRPr="00080D7A" w:rsidRDefault="004C5799" w:rsidP="004C5799">
            <w:r w:rsidRPr="00080D7A">
              <w:t>27,54%</w:t>
            </w:r>
          </w:p>
        </w:tc>
        <w:tc>
          <w:tcPr>
            <w:tcW w:w="1522" w:type="dxa"/>
          </w:tcPr>
          <w:p w14:paraId="0E263A9A" w14:textId="77777777" w:rsidR="004C5799" w:rsidRPr="00080D7A" w:rsidRDefault="004C5799" w:rsidP="004C5799">
            <w:r w:rsidRPr="00080D7A">
              <w:t>16,74%</w:t>
            </w:r>
          </w:p>
        </w:tc>
        <w:tc>
          <w:tcPr>
            <w:tcW w:w="1594" w:type="dxa"/>
          </w:tcPr>
          <w:p w14:paraId="6BA2DE37" w14:textId="77777777" w:rsidR="004C5799" w:rsidRDefault="004C5799" w:rsidP="004C5799">
            <w:r w:rsidRPr="00080D7A">
              <w:t>55,72%</w:t>
            </w:r>
          </w:p>
        </w:tc>
      </w:tr>
    </w:tbl>
    <w:p w14:paraId="786477D2" w14:textId="77777777" w:rsidR="001A593B" w:rsidRDefault="001A593B" w:rsidP="003770DC"/>
    <w:p w14:paraId="4155A76E" w14:textId="77777777" w:rsidR="003770DC" w:rsidRDefault="003770DC" w:rsidP="003770DC">
      <w:r>
        <w:t xml:space="preserve">Ως προς τη Στρατηγική </w:t>
      </w:r>
      <w:r>
        <w:rPr>
          <w:lang w:val="en-US"/>
        </w:rPr>
        <w:t>RIS</w:t>
      </w:r>
      <w:r w:rsidRPr="005A73A7">
        <w:t>3</w:t>
      </w:r>
      <w:r>
        <w:t xml:space="preserve">, διαπιστώνεται ότι τηρούνται οι οριζόντιες συνιστώσες οι οποίες κατά προτεραιότητα αφορούν στην </w:t>
      </w:r>
      <w:r w:rsidRPr="005A73A7">
        <w:t xml:space="preserve">ανάπτυξη καινοτόμων προϊόντων και υπηρεσιών, </w:t>
      </w:r>
      <w:r>
        <w:t>στην</w:t>
      </w:r>
      <w:r w:rsidRPr="005A73A7">
        <w:t xml:space="preserve"> αξιοποίηση των ευκαιριών που προσφέρουν αναδυόμενοι τεχνολογικοί τομείς, στην παραγωγή νέας γνώσης, </w:t>
      </w:r>
      <w:r>
        <w:t>σ</w:t>
      </w:r>
      <w:r w:rsidRPr="005A73A7">
        <w:t>την αριστεία στην έρευνα</w:t>
      </w:r>
      <w:r>
        <w:t>.</w:t>
      </w:r>
    </w:p>
    <w:p w14:paraId="0E04EF6C" w14:textId="77777777" w:rsidR="003770DC" w:rsidRDefault="003770DC" w:rsidP="003770DC">
      <w:r>
        <w:t xml:space="preserve">Επίσης, οι προκηρυσσόμενες δράσεις εντάσσονται στη </w:t>
      </w:r>
      <w:r w:rsidRPr="00914FBC">
        <w:rPr>
          <w:b/>
        </w:rPr>
        <w:t>Στρατηγική Επιλογή 1</w:t>
      </w:r>
      <w:r>
        <w:t xml:space="preserve"> «Επένδυση στη δημιουργία και διάχυση τη Νέας Γνώσης» της </w:t>
      </w:r>
      <w:r>
        <w:rPr>
          <w:lang w:val="en-US"/>
        </w:rPr>
        <w:t>RIS</w:t>
      </w:r>
      <w:r w:rsidRPr="005A73A7">
        <w:t>3</w:t>
      </w:r>
      <w:r>
        <w:t xml:space="preserve">, στον </w:t>
      </w:r>
      <w:r w:rsidRPr="00914FBC">
        <w:rPr>
          <w:b/>
        </w:rPr>
        <w:t>Άξονα Παρέμβασης</w:t>
      </w:r>
      <w:r>
        <w:t xml:space="preserve"> «δ. Εξωστρέφεια και δικτύωση», στην </w:t>
      </w:r>
      <w:r w:rsidRPr="00914FBC">
        <w:rPr>
          <w:b/>
        </w:rPr>
        <w:t>κατηγορί</w:t>
      </w:r>
      <w:r>
        <w:rPr>
          <w:b/>
        </w:rPr>
        <w:t>α</w:t>
      </w:r>
      <w:r w:rsidRPr="00914FBC">
        <w:rPr>
          <w:b/>
        </w:rPr>
        <w:t xml:space="preserve"> παρέμβασης</w:t>
      </w:r>
      <w:r>
        <w:t xml:space="preserve"> «1.δ Διασύνδεση αι συνεργασία σε ΕΤΑΚ» (1.δ.1 Ενίσχυση συμμετοχής σε διακρατικά/διευρωπαϊκά δίκτυα, προγράμματα και πρωτοβουλίες – </w:t>
      </w:r>
      <w:r>
        <w:rPr>
          <w:lang w:val="en-US"/>
        </w:rPr>
        <w:t>ERANETS</w:t>
      </w:r>
      <w:r w:rsidRPr="00CD7930">
        <w:t>-</w:t>
      </w:r>
      <w:r>
        <w:rPr>
          <w:lang w:val="en-US"/>
        </w:rPr>
        <w:t>FTEs</w:t>
      </w:r>
      <w:r>
        <w:t xml:space="preserve"> και 1.δ.2 Δράσεις διμερών και διακρατικών συνεργασιών) και στη </w:t>
      </w:r>
      <w:r w:rsidRPr="00914FBC">
        <w:rPr>
          <w:b/>
        </w:rPr>
        <w:t>Στρατηγική Επιλογή 2</w:t>
      </w:r>
      <w:r>
        <w:rPr>
          <w:b/>
        </w:rPr>
        <w:t xml:space="preserve"> </w:t>
      </w:r>
      <w:r>
        <w:t xml:space="preserve">«Επένδυση στην έρευνα και στην καινοτομία», στον </w:t>
      </w:r>
      <w:r w:rsidRPr="00914FBC">
        <w:rPr>
          <w:b/>
        </w:rPr>
        <w:t>Άξονα Παρέμβασης</w:t>
      </w:r>
      <w:r>
        <w:t xml:space="preserve"> «β. Ενίσχυση δραστηριοτήτων ΕΤΑΚ» και στην </w:t>
      </w:r>
      <w:r w:rsidRPr="00914FBC">
        <w:rPr>
          <w:b/>
        </w:rPr>
        <w:t>κατηγορία παρέμβασης</w:t>
      </w:r>
      <w:r>
        <w:t xml:space="preserve"> «2.β Ενίσχυση της ενδογενούς έρευνας και καινοτομίας στις επιχειρήσεις» (2.β.1 Ενιαία δράση κρατικών ενισχύσεων ΕΤΑΚ: ΕΡΕΥΝΩ-ΔΗΜΙΟΥΡΓΩ-ΚΑΙΝΟΤΟΜΩ).</w:t>
      </w:r>
    </w:p>
    <w:p w14:paraId="6E61A825" w14:textId="77777777" w:rsidR="003770DC" w:rsidRPr="005A73A7" w:rsidRDefault="003770DC" w:rsidP="003770DC">
      <w:r w:rsidRPr="00A93AD4">
        <w:t>Η Στρατηγική δομείται στη βάση τριών στρατηγικών επιλογών και τεσσάρων αξόνων προτεραιότητας που «τέμνουν εγκάρσια» τις στρατηγικές επιλογές όπως φαίνεται στον ακόλουθο πίνακα, στον οποίο παρουσιάζονται και οι κατηγορίες παρέμβασης της Στρατηγικής.</w:t>
      </w:r>
    </w:p>
    <w:p w14:paraId="337C9033" w14:textId="77777777" w:rsidR="003770DC" w:rsidRDefault="003770DC" w:rsidP="003770DC">
      <w:r w:rsidRPr="00124612">
        <w:t xml:space="preserve">Ως προς τους Τομείς Προτεραιότητας της RIS3, </w:t>
      </w:r>
      <w:r>
        <w:t xml:space="preserve">βάσει των στοιχείων, προκύπτει ότι οι υποβαλλόμενες προτάσεις έργων διαπερνούν όλους τους τομείς προτεραιότητας της Στρατηγικής </w:t>
      </w:r>
      <w:r>
        <w:rPr>
          <w:lang w:val="en-US"/>
        </w:rPr>
        <w:t>RIS</w:t>
      </w:r>
      <w:r w:rsidRPr="005A73A7">
        <w:t>3</w:t>
      </w:r>
      <w:r>
        <w:t xml:space="preserve">. Αναλυτικά στοιχεία για το </w:t>
      </w:r>
      <w:r w:rsidRPr="00124612">
        <w:t>σύνολο των Προσκλήσεων</w:t>
      </w:r>
      <w:r>
        <w:t>, παρατίθενται στη συνέχεια.</w:t>
      </w:r>
    </w:p>
    <w:p w14:paraId="4CB4B8A3" w14:textId="77777777" w:rsidR="00AC494F" w:rsidRPr="001A593B" w:rsidRDefault="00AC494F" w:rsidP="00821221">
      <w:pPr>
        <w:spacing w:before="240"/>
        <w:rPr>
          <w:i/>
          <w:u w:val="single"/>
        </w:rPr>
      </w:pPr>
      <w:r w:rsidRPr="001A593B">
        <w:rPr>
          <w:i/>
          <w:u w:val="single"/>
        </w:rPr>
        <w:t xml:space="preserve">Σε επίπεδο υποβληθεισών προτάσεων (Πίνακας </w:t>
      </w:r>
      <w:r w:rsidR="006F3D7B" w:rsidRPr="001A593B">
        <w:rPr>
          <w:i/>
          <w:u w:val="single"/>
        </w:rPr>
        <w:t>3-8</w:t>
      </w:r>
      <w:r w:rsidRPr="001A593B">
        <w:rPr>
          <w:i/>
          <w:u w:val="single"/>
        </w:rPr>
        <w:t>):</w:t>
      </w:r>
    </w:p>
    <w:p w14:paraId="4C1C2353" w14:textId="09AECC5E" w:rsidR="00AC494F" w:rsidRPr="00FC7151" w:rsidRDefault="00FC7151" w:rsidP="003770DC">
      <w:r>
        <w:t>Ο Τομέας της Αγροδιατροφής παρουσιάζει τη μεγαλύτερη συμμετοχή σε επίπεδο δημόσιας δαπάνης των υποβληθεισών προτάσεων στο πλαίσιο της Επενδυτικής Προτεραιότητας 1</w:t>
      </w:r>
      <w:r w:rsidRPr="00EA1C4C">
        <w:t>b</w:t>
      </w:r>
      <w:r w:rsidRPr="00FC7151">
        <w:t xml:space="preserve"> (20%) </w:t>
      </w:r>
      <w:r>
        <w:t xml:space="preserve">με τους Τομείς Βιοεπιστήμες –Υγεία – Φάρμακα και ΤΠΕ να ακολουθούν (17,7%). Ο Τομέας της Αγροδιατροφής παρουσιάζει το μεγαλύτερο ποσοστό συμμετοχής στη δράση ΕΔΚ και Διμερής Ε&amp;Τ Συνεργασίες, ενώ ο Τομέας Βιοεπιστήμες-Υγεία Φάρμακα παρουσιάζει τη μεγαλύτερη συμμετοχή υποβληθεισών προτάσεων στη δράση </w:t>
      </w:r>
      <w:r w:rsidRPr="00EA1C4C">
        <w:t>ERANETs</w:t>
      </w:r>
      <w:r>
        <w:t xml:space="preserve"> (36,3%). Χαμηλότερη αντίστοιχη συμμετοχή παρουσιάζει, σε επίπεδο 1</w:t>
      </w:r>
      <w:r w:rsidRPr="00EA1C4C">
        <w:t>b</w:t>
      </w:r>
      <w:r w:rsidRPr="00FC7151">
        <w:t xml:space="preserve">, </w:t>
      </w:r>
      <w:r>
        <w:t>ο Τομέας Μεταφορές-Εφοδιαστική Αλυσίδα (4,6%) και Υλικά-Κατασκευές 6,9%).</w:t>
      </w:r>
      <w:r w:rsidR="00EA1C4C">
        <w:t xml:space="preserve"> Σε επίπεδο περιφερειών, η Αττική είναι αυτή που συγκεντρώνει το μεγαλύτερο ποσό δημόσιας δαπάνης υποβληθεισών προτάσεων (650,2 εκατ.</w:t>
      </w:r>
      <w:r w:rsidR="005416EE">
        <w:t xml:space="preserve"> ευρώ</w:t>
      </w:r>
      <w:r w:rsidR="00EA1C4C">
        <w:t xml:space="preserve">), ενώ ακολουθούν οι Περιφέρειες Κ. Μακεδονίας και Δ. Ελλάδας (338,7 εκατ. </w:t>
      </w:r>
      <w:r w:rsidR="005416EE">
        <w:t xml:space="preserve">ευρώ </w:t>
      </w:r>
      <w:r w:rsidR="00EA1C4C">
        <w:t xml:space="preserve">και </w:t>
      </w:r>
      <w:r w:rsidR="00EA1C4C" w:rsidRPr="00EA1C4C">
        <w:t xml:space="preserve">129,8 εκατ. </w:t>
      </w:r>
      <w:r w:rsidR="005416EE">
        <w:t xml:space="preserve">ευρώ </w:t>
      </w:r>
      <w:r w:rsidR="00EA1C4C" w:rsidRPr="00EA1C4C">
        <w:t xml:space="preserve">αντίστοιχα). </w:t>
      </w:r>
    </w:p>
    <w:p w14:paraId="6E840662" w14:textId="77777777" w:rsidR="00AC494F" w:rsidRPr="001A593B" w:rsidRDefault="00AC494F" w:rsidP="00821221">
      <w:pPr>
        <w:spacing w:before="240"/>
        <w:rPr>
          <w:i/>
          <w:u w:val="single"/>
        </w:rPr>
      </w:pPr>
      <w:r w:rsidRPr="001A593B">
        <w:rPr>
          <w:i/>
          <w:u w:val="single"/>
        </w:rPr>
        <w:t>Σε επίπεδο θετικά αξιολογημένων προτάσεων (Πίνακας 3-</w:t>
      </w:r>
      <w:r w:rsidR="006F3D7B" w:rsidRPr="001A593B">
        <w:rPr>
          <w:i/>
          <w:u w:val="single"/>
        </w:rPr>
        <w:t>9</w:t>
      </w:r>
      <w:r w:rsidRPr="001A593B">
        <w:rPr>
          <w:i/>
          <w:u w:val="single"/>
        </w:rPr>
        <w:t>):</w:t>
      </w:r>
    </w:p>
    <w:p w14:paraId="59F5D8A2" w14:textId="725F5D5B" w:rsidR="00883454" w:rsidRPr="00FC7151" w:rsidRDefault="00883454" w:rsidP="00883454">
      <w:r>
        <w:t>Ομοίως, ο Τομέας της Αγροδιατροφής παρουσιάζει τη μεγαλύτερη συμμετοχή σε επίπεδο δημόσιας δαπάνης θετικά αξιολογημένων προτάσεων στο πλαίσιο της Επενδυτικής Προτεραιότητας 1</w:t>
      </w:r>
      <w:r w:rsidRPr="00EA1C4C">
        <w:t>b</w:t>
      </w:r>
      <w:r w:rsidRPr="00FC7151">
        <w:t xml:space="preserve"> (</w:t>
      </w:r>
      <w:r>
        <w:t>18,6</w:t>
      </w:r>
      <w:r w:rsidRPr="00FC7151">
        <w:t xml:space="preserve">%) </w:t>
      </w:r>
      <w:r>
        <w:t>με τους Τομείς Βιοεπιστήμες –Υγεία – Φάρμακα (14,6%)</w:t>
      </w:r>
      <w:r w:rsidR="005416EE">
        <w:t xml:space="preserve"> </w:t>
      </w:r>
      <w:r>
        <w:t xml:space="preserve">και ΤΠΕ (15,2%) να ακολουθούν. Ο Τομέας της Αγροδιατροφής παρουσιάζει το μεγαλύτερο ποσοστό συμμετοχής στη δράση ΕΔΚ (18,4%) και Διμερής Ε&amp;Τ Συνεργασίες (20%), ενώ ο Τομέας Βιοεπιστήμες-Υγεία Φάρμακα παρουσιάζει τη μεγαλύτερη συμμετοχή υποβληθεισών προτάσεων στη δράση </w:t>
      </w:r>
      <w:r w:rsidRPr="00EA1C4C">
        <w:t>ERANETs</w:t>
      </w:r>
      <w:r>
        <w:t xml:space="preserve"> (36,3%). Χαμηλότερη αντίστοιχη συμμετοχή παρουσιάζει, σε επίπεδο 1</w:t>
      </w:r>
      <w:r w:rsidRPr="00EA1C4C">
        <w:t>b</w:t>
      </w:r>
      <w:r w:rsidRPr="00FC7151">
        <w:t xml:space="preserve">, </w:t>
      </w:r>
      <w:r>
        <w:t xml:space="preserve">ο Τομέας Μεταφορές-Εφοδιαστική Αλυσίδα (7,5%) και Υλικά-Κατασκευές </w:t>
      </w:r>
      <w:r w:rsidR="005416EE">
        <w:t>(</w:t>
      </w:r>
      <w:r>
        <w:t xml:space="preserve">8,8%). Σε επίπεδο </w:t>
      </w:r>
      <w:r w:rsidR="005416EE">
        <w:t>Π</w:t>
      </w:r>
      <w:r>
        <w:t>εριφερειών, η Αττική είναι αυτή που συγκεντρώνει το μεγαλύτερο ποσό δημόσιας δαπάνης των θετικά αξιολογημένων προτάσεων (364,7 εκατ.</w:t>
      </w:r>
      <w:r w:rsidR="005416EE">
        <w:t xml:space="preserve"> ευρώ</w:t>
      </w:r>
      <w:r>
        <w:t xml:space="preserve">), ενώ ακολουθούν οι Περιφέρειες Κ. Μακεδονίας και Κρήτης(197,3 εκατ. </w:t>
      </w:r>
      <w:r w:rsidR="005416EE">
        <w:t xml:space="preserve">ευρώ </w:t>
      </w:r>
      <w:r>
        <w:t>και 77,7</w:t>
      </w:r>
      <w:r w:rsidRPr="00EA1C4C">
        <w:t xml:space="preserve"> εκατ. </w:t>
      </w:r>
      <w:r w:rsidR="005416EE">
        <w:t xml:space="preserve">ευρώ </w:t>
      </w:r>
      <w:r w:rsidRPr="00EA1C4C">
        <w:t xml:space="preserve">αντίστοιχα). </w:t>
      </w:r>
    </w:p>
    <w:p w14:paraId="4784A295" w14:textId="77777777" w:rsidR="00AC494F" w:rsidRPr="001A593B" w:rsidRDefault="00AC494F" w:rsidP="009576A4">
      <w:pPr>
        <w:spacing w:before="240"/>
        <w:rPr>
          <w:i/>
          <w:u w:val="single"/>
        </w:rPr>
      </w:pPr>
      <w:r w:rsidRPr="001A593B">
        <w:rPr>
          <w:i/>
          <w:u w:val="single"/>
        </w:rPr>
        <w:t xml:space="preserve">Σε επίπεδο ενταγμένων </w:t>
      </w:r>
      <w:r w:rsidR="009576A4" w:rsidRPr="001A593B">
        <w:rPr>
          <w:i/>
          <w:u w:val="single"/>
        </w:rPr>
        <w:t>έργων</w:t>
      </w:r>
      <w:r w:rsidRPr="001A593B">
        <w:rPr>
          <w:i/>
          <w:u w:val="single"/>
        </w:rPr>
        <w:t xml:space="preserve">(Πίνακες 3-5 και </w:t>
      </w:r>
      <w:r w:rsidR="009576A4" w:rsidRPr="001A593B">
        <w:rPr>
          <w:i/>
          <w:u w:val="single"/>
        </w:rPr>
        <w:t>3.10)</w:t>
      </w:r>
      <w:r w:rsidR="00821221" w:rsidRPr="001A593B">
        <w:rPr>
          <w:i/>
          <w:u w:val="single"/>
        </w:rPr>
        <w:t>:</w:t>
      </w:r>
    </w:p>
    <w:p w14:paraId="465DFEE7" w14:textId="77777777" w:rsidR="003770DC" w:rsidRPr="000D5F33" w:rsidRDefault="003770DC" w:rsidP="003770DC">
      <w:r w:rsidRPr="000D5F33">
        <w:lastRenderedPageBreak/>
        <w:t>Ο μεγαλύτερος αριθμός των ενταγμένων έργων</w:t>
      </w:r>
      <w:r w:rsidRPr="00ED59A7">
        <w:t xml:space="preserve"> </w:t>
      </w:r>
      <w:r w:rsidRPr="000D5F33">
        <w:t>αφορά στον τομέα «</w:t>
      </w:r>
      <w:r>
        <w:t>Αγροδιατροφή</w:t>
      </w:r>
      <w:r w:rsidRPr="000D5F33">
        <w:t>» (</w:t>
      </w:r>
      <w:r>
        <w:t>139</w:t>
      </w:r>
      <w:r w:rsidRPr="000D5F33">
        <w:t xml:space="preserve"> πράξεις) και ο μικρότερος στον τομέα «Μεταφορές και Εφοδιαστική Αλυσί</w:t>
      </w:r>
      <w:r>
        <w:t>δ</w:t>
      </w:r>
      <w:r w:rsidRPr="000D5F33">
        <w:t xml:space="preserve">α (Logistics)» (33 πράξεις). </w:t>
      </w:r>
    </w:p>
    <w:p w14:paraId="1F08B66B" w14:textId="77777777" w:rsidR="003770DC" w:rsidRPr="000D5F33" w:rsidRDefault="003770DC" w:rsidP="003770DC">
      <w:r w:rsidRPr="000D5F33">
        <w:t xml:space="preserve">Στους </w:t>
      </w:r>
      <w:r>
        <w:t xml:space="preserve">τέσσερις </w:t>
      </w:r>
      <w:r w:rsidRPr="000D5F33">
        <w:t>από τους οχτώ τομείς προτεραιότητας της RIS3</w:t>
      </w:r>
      <w:r w:rsidRPr="00ED59A7">
        <w:t xml:space="preserve"> </w:t>
      </w:r>
      <w:r w:rsidRPr="000D5F33">
        <w:t>(Αγροδιατροφή, Βιοεπιστήμες / Υγεία &amp; Φάρμακα, Τεχνολογίες πληροφορικής και επικοινωνιών και Πολιτισμός - Τουρισμός -Πολιτιστικές και Δημιουργικές Βιομηχανίες), ο μέσος όρος των ενταμένων έργων ανέρχεται σε 100, ενώ αυτοί οι τομείς παρουσιάζουν το ίδιο περίπου ποσοστό συμμετοχής στο συνολικό προϋπολογισμό των ενταγμένων έργων</w:t>
      </w:r>
      <w:r>
        <w:t xml:space="preserve"> (μέσος όρος 17%)</w:t>
      </w:r>
      <w:r w:rsidRPr="000D5F33">
        <w:t>.</w:t>
      </w:r>
    </w:p>
    <w:p w14:paraId="2C4AD9D3" w14:textId="788A61C4" w:rsidR="003770DC" w:rsidRDefault="003770DC" w:rsidP="003770DC">
      <w:r>
        <w:t>Τα</w:t>
      </w:r>
      <w:r w:rsidRPr="000D5F33">
        <w:t xml:space="preserve"> μεγαλύτερ</w:t>
      </w:r>
      <w:r>
        <w:t>α</w:t>
      </w:r>
      <w:r w:rsidRPr="000D5F33">
        <w:t xml:space="preserve"> ποσοστ</w:t>
      </w:r>
      <w:r>
        <w:t>ά</w:t>
      </w:r>
      <w:r w:rsidRPr="000D5F33">
        <w:t xml:space="preserve"> του προϋπολογισμού των ενταγμένων έργων</w:t>
      </w:r>
      <w:r>
        <w:t xml:space="preserve"> για κάθε κατηγορία Περιφερειών αφορ</w:t>
      </w:r>
      <w:r w:rsidR="00D22350">
        <w:t xml:space="preserve">ούν </w:t>
      </w:r>
      <w:r>
        <w:t>στους προαναφερθέντες τομείς προτεραιότητας, οι οποίοι αθροιστικά καλύπτουν το 67% του συνολικού προϋπολογισμού των ενταγμένων έργων.</w:t>
      </w:r>
    </w:p>
    <w:p w14:paraId="4E933AE9" w14:textId="77777777" w:rsidR="003770DC" w:rsidRDefault="003770DC" w:rsidP="003770DC">
      <w:r w:rsidRPr="000D5F33">
        <w:t xml:space="preserve">Για την κατηγορία των περισσότερο ανεπτυγμένων Περιφερειών, το μεγαλύτερο ποσοστό του προϋπολογισμού των ενταγμένων έργων τους αφορά </w:t>
      </w:r>
      <w:r>
        <w:t>στον τομέα προτεραιότητας</w:t>
      </w:r>
      <w:r w:rsidRPr="000D5F33">
        <w:t xml:space="preserve"> «Βιοεπιστήμες / Υγεία &amp; Φάρμακα» (2</w:t>
      </w:r>
      <w:r>
        <w:t>6</w:t>
      </w:r>
      <w:r w:rsidRPr="000D5F33">
        <w:t>,</w:t>
      </w:r>
      <w:r>
        <w:t>86</w:t>
      </w:r>
      <w:r w:rsidRPr="000D5F33">
        <w:t xml:space="preserve">%), </w:t>
      </w:r>
      <w:r>
        <w:t>για τις Π</w:t>
      </w:r>
      <w:r w:rsidRPr="000D5F33">
        <w:t>εριφ</w:t>
      </w:r>
      <w:r>
        <w:t xml:space="preserve">έρειες </w:t>
      </w:r>
      <w:r w:rsidRPr="000D5F33">
        <w:t>σε μετάβαση</w:t>
      </w:r>
      <w:r>
        <w:t xml:space="preserve"> και τις λιγότερο </w:t>
      </w:r>
      <w:r w:rsidRPr="000D5F33">
        <w:t>ανεπτυγμέν</w:t>
      </w:r>
      <w:r>
        <w:t>ες</w:t>
      </w:r>
      <w:r w:rsidRPr="000D5F33">
        <w:t xml:space="preserve"> Περιφ</w:t>
      </w:r>
      <w:r>
        <w:t xml:space="preserve">έρειες στον τομέα της </w:t>
      </w:r>
      <w:r w:rsidRPr="000D5F33">
        <w:t>«Αγροδιατροφή</w:t>
      </w:r>
      <w:r>
        <w:t>ς</w:t>
      </w:r>
      <w:r w:rsidRPr="000D5F33">
        <w:t xml:space="preserve">» </w:t>
      </w:r>
      <w:r>
        <w:t>(19,36% και 20,68% αντίστοιχα).</w:t>
      </w:r>
    </w:p>
    <w:p w14:paraId="0147CC86" w14:textId="77777777" w:rsidR="006F3D7B" w:rsidRPr="001A593B" w:rsidRDefault="006F3D7B" w:rsidP="006F3D7B">
      <w:pPr>
        <w:spacing w:before="240"/>
        <w:rPr>
          <w:i/>
          <w:u w:val="single"/>
        </w:rPr>
      </w:pPr>
      <w:r w:rsidRPr="001A593B">
        <w:rPr>
          <w:i/>
          <w:u w:val="single"/>
        </w:rPr>
        <w:t>Σε επίπεδο πληρωμών Ειδικού Λογαριασμού ΓΓΕΤ (ΕΛΚΕ) και πληρωμών καταχωρημένων στο ΟΠΣ (Πίνακας 3-7)</w:t>
      </w:r>
      <w:r w:rsidR="00821221" w:rsidRPr="001A593B">
        <w:rPr>
          <w:i/>
          <w:u w:val="single"/>
        </w:rPr>
        <w:t>:</w:t>
      </w:r>
    </w:p>
    <w:p w14:paraId="3A7DD5EB" w14:textId="2D553B61" w:rsidR="006F3D7B" w:rsidRPr="00122B23" w:rsidRDefault="00821221" w:rsidP="003770DC">
      <w:r>
        <w:t>Έως το τέλος του 2018, τ</w:t>
      </w:r>
      <w:r w:rsidR="00122B23">
        <w:t>ο</w:t>
      </w:r>
      <w:r>
        <w:t xml:space="preserve"> σύνολο των πληρωμών του ΕΛΚΕ-ΓΓΕΤ, στο σύνολο της Προτεραιότητας </w:t>
      </w:r>
      <w:r w:rsidRPr="00821221">
        <w:t>1</w:t>
      </w:r>
      <w:r>
        <w:rPr>
          <w:lang w:val="en-US"/>
        </w:rPr>
        <w:t>b</w:t>
      </w:r>
      <w:r w:rsidRPr="00821221">
        <w:t xml:space="preserve"> </w:t>
      </w:r>
      <w:r>
        <w:t>ανέρχεται στα 77,3 εκατ.</w:t>
      </w:r>
      <w:r>
        <w:rPr>
          <w:rFonts w:ascii="Calibri" w:hAnsi="Calibri"/>
        </w:rPr>
        <w:t>€</w:t>
      </w:r>
      <w:r>
        <w:t xml:space="preserve">, ποσοστό 23,8% του προϋπολογισμού δημόσιας δαπάνης του συνόλου των έργων που εντάχθηκαν. Το ποσό των πληρωμών που καταχωρήθηκαν στο ΟΠΣ </w:t>
      </w:r>
      <w:r w:rsidR="00122B23">
        <w:t>ανέρχεται στα 8,3 εκατ.</w:t>
      </w:r>
      <w:r w:rsidR="00122B23">
        <w:rPr>
          <w:rFonts w:ascii="Calibri" w:hAnsi="Calibri"/>
        </w:rPr>
        <w:t>€</w:t>
      </w:r>
      <w:r w:rsidR="00122B23">
        <w:t xml:space="preserve">, που ανέρχεται μόλις στο 3% του προϋπολογισμού δημόσιας δαπάνης ενταγμένων έργων του </w:t>
      </w:r>
      <w:r w:rsidR="00122B23" w:rsidRPr="00122B23">
        <w:t>1</w:t>
      </w:r>
      <w:r w:rsidR="00122B23">
        <w:rPr>
          <w:lang w:val="en-US"/>
        </w:rPr>
        <w:t>b</w:t>
      </w:r>
      <w:r w:rsidR="00122B23">
        <w:t>. Η διαφορά ανάμεσα στις πληρωμές ΕΛΚΕ και πληρωμές ΟΠΣ οφείλεται στο γεγονός ότι, προκειμένου να καταχωρηθούν στο ΟΠΣ οι πληρωμές των συγχρηματοδοτούμενων έργων, θα πρέπει να αντιστοιχούν σε πιστοποιημένες δαπάνες</w:t>
      </w:r>
      <w:r w:rsidR="00AC4828">
        <w:t xml:space="preserve"> και ότι δεν περιλαμβάνονται οι προκαταβολές σε ερευνητικούς φορείς και ακαδημαϊκά ιδρύματα, παρά μόνο σε επιχειρήσεις (με εγγυητική επιστολή)</w:t>
      </w:r>
      <w:r w:rsidR="00122B23">
        <w:t>.</w:t>
      </w:r>
      <w:r w:rsidR="00D638CE">
        <w:t xml:space="preserve"> Η Περιφέρεια με το υψηλότερο ποσοστό απορρόφησης πόρων (32% για τις πληρωμές ΕΛΚΕ) είναι αυτή του Β. Αιγαίου, ενώ εκείνη με το μικρότερο αντίστοιχο ποσοστό, η Περιφέρεια Πελοποννήσου (6%).</w:t>
      </w:r>
    </w:p>
    <w:p w14:paraId="5DB3AC84" w14:textId="2BE20D98" w:rsidR="00B2394C" w:rsidRDefault="00B2394C" w:rsidP="003770DC">
      <w:r>
        <w:t>Στου</w:t>
      </w:r>
      <w:r w:rsidR="00926924">
        <w:t>ς</w:t>
      </w:r>
      <w:r>
        <w:t xml:space="preserve"> επόμενους πίνακες παρουσιάζεται, σε επίπεδο Επενδυτικής Προτεραιότητας, η κατάσταση των εντάξεων και πληρωμών (ΕΛΚΕ και ΟΠΣ) έως 31</w:t>
      </w:r>
      <w:r w:rsidR="00D22350">
        <w:t>.</w:t>
      </w:r>
      <w:r>
        <w:t>12</w:t>
      </w:r>
      <w:r w:rsidR="00D22350">
        <w:t>.</w:t>
      </w:r>
      <w:r>
        <w:t xml:space="preserve">2018 και η ποσοστιαία κατανομή τους, τόσο σε επίπεδο ομάδων περιφερειών και τομέων προτεραιότητας της </w:t>
      </w:r>
      <w:r>
        <w:rPr>
          <w:lang w:val="en-US"/>
        </w:rPr>
        <w:t>RIS</w:t>
      </w:r>
      <w:r w:rsidR="00D22350">
        <w:t xml:space="preserve">3 </w:t>
      </w:r>
      <w:r>
        <w:t xml:space="preserve">(πίνακες </w:t>
      </w:r>
      <w:r w:rsidR="006F3D7B">
        <w:t>3-5</w:t>
      </w:r>
      <w:r>
        <w:t xml:space="preserve"> και </w:t>
      </w:r>
      <w:r w:rsidR="006F3D7B">
        <w:t>3-6</w:t>
      </w:r>
      <w:r>
        <w:t>)</w:t>
      </w:r>
      <w:r w:rsidR="00D22350">
        <w:t>,</w:t>
      </w:r>
      <w:r>
        <w:t xml:space="preserve"> όσο και σε επίπεδο </w:t>
      </w:r>
      <w:r w:rsidR="00CF5E7B">
        <w:t xml:space="preserve">των 13 </w:t>
      </w:r>
      <w:r w:rsidR="00D22350">
        <w:t>Π</w:t>
      </w:r>
      <w:r>
        <w:t xml:space="preserve">εριφερειών </w:t>
      </w:r>
      <w:r w:rsidR="00CF5E7B">
        <w:t xml:space="preserve">της χώρας </w:t>
      </w:r>
      <w:r w:rsidR="006F3D7B">
        <w:t>(3-7</w:t>
      </w:r>
      <w:r>
        <w:t>)</w:t>
      </w:r>
      <w:r w:rsidR="006F3D7B">
        <w:t xml:space="preserve">. </w:t>
      </w:r>
    </w:p>
    <w:p w14:paraId="50EE3611" w14:textId="77777777" w:rsidR="006F3D7B" w:rsidRPr="00B2394C" w:rsidRDefault="006F3D7B" w:rsidP="003770DC">
      <w:r>
        <w:t>Αναλυτικά στοιχεία κατανομής υποβληθεισών προτάσεων, θετικά αξιολογημένων προτάσεων και ενταγμένων έργων ανά Περιφέρεια και Τομέας Προτεραιότητας παρουσιάζονται στους Πίνακες 3-8, 3-9 και 3-10.</w:t>
      </w:r>
    </w:p>
    <w:p w14:paraId="5D9D1C84" w14:textId="77777777" w:rsidR="003770DC" w:rsidRDefault="003770DC" w:rsidP="003770DC"/>
    <w:p w14:paraId="6F5BD4D5" w14:textId="77777777" w:rsidR="003770DC" w:rsidRDefault="003770DC" w:rsidP="003770DC">
      <w:pPr>
        <w:sectPr w:rsidR="003770DC" w:rsidSect="005476F0">
          <w:pgSz w:w="11907" w:h="16840" w:code="9"/>
          <w:pgMar w:top="1440" w:right="1247" w:bottom="1440" w:left="1247" w:header="720" w:footer="720" w:gutter="0"/>
          <w:cols w:space="720"/>
          <w:titlePg/>
          <w:docGrid w:linePitch="360"/>
        </w:sectPr>
      </w:pPr>
    </w:p>
    <w:p w14:paraId="3100EA43" w14:textId="77777777" w:rsidR="003770DC" w:rsidRPr="0061319E" w:rsidRDefault="00C10F81" w:rsidP="00ED6AB2">
      <w:pPr>
        <w:pStyle w:val="Caption"/>
      </w:pPr>
      <w:r w:rsidRPr="00ED6AB2">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5</w:t>
      </w:r>
      <w:r w:rsidR="00833098">
        <w:rPr>
          <w:noProof/>
        </w:rPr>
        <w:fldChar w:fldCharType="end"/>
      </w:r>
      <w:r w:rsidR="00C221BF">
        <w:t xml:space="preserve">: </w:t>
      </w:r>
      <w:r w:rsidR="003770DC" w:rsidRPr="00ED6AB2">
        <w:t xml:space="preserve">Στοιχεία εντάξεων και πληρωμών (έως 31.12.2018) δράσεων </w:t>
      </w:r>
      <w:r w:rsidR="00B2394C">
        <w:t>που υλοποιούνται στο πλαίσιο της επενδυτικής προτεραιότητας</w:t>
      </w:r>
      <w:r w:rsidR="003770DC" w:rsidRPr="00ED6AB2">
        <w:t xml:space="preserve"> 1</w:t>
      </w:r>
      <w:r w:rsidR="003770DC" w:rsidRPr="00ED6AB2">
        <w:rPr>
          <w:lang w:val="en-US"/>
        </w:rPr>
        <w:t>b</w:t>
      </w:r>
      <w:r w:rsidR="00B2394C">
        <w:t>,</w:t>
      </w:r>
      <w:r w:rsidR="003770DC" w:rsidRPr="00ED6AB2">
        <w:t xml:space="preserve"> ανά Τομέα Προτεραιότητας της RIS3</w:t>
      </w:r>
    </w:p>
    <w:p w14:paraId="14154BA1" w14:textId="6627DD12" w:rsidR="003770DC" w:rsidRDefault="00E44E6F" w:rsidP="003770DC">
      <w:pPr>
        <w:spacing w:after="160" w:line="259" w:lineRule="auto"/>
        <w:ind w:left="1440" w:hanging="1440"/>
        <w:rPr>
          <w:b/>
        </w:rPr>
      </w:pPr>
      <w:r w:rsidRPr="00E44E6F">
        <w:rPr>
          <w:noProof/>
          <w:lang w:eastAsia="el-GR"/>
        </w:rPr>
        <w:drawing>
          <wp:inline distT="0" distB="0" distL="0" distR="0" wp14:anchorId="7CD3B9FF" wp14:editId="4F141DF3">
            <wp:extent cx="8864600" cy="183238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64600" cy="1832381"/>
                    </a:xfrm>
                    <a:prstGeom prst="rect">
                      <a:avLst/>
                    </a:prstGeom>
                    <a:noFill/>
                    <a:ln>
                      <a:noFill/>
                    </a:ln>
                  </pic:spPr>
                </pic:pic>
              </a:graphicData>
            </a:graphic>
          </wp:inline>
        </w:drawing>
      </w:r>
    </w:p>
    <w:p w14:paraId="1003131E" w14:textId="77777777" w:rsidR="00B2394C" w:rsidRDefault="00ED6AB2" w:rsidP="00B2394C">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6</w:t>
      </w:r>
      <w:r w:rsidR="00833098">
        <w:rPr>
          <w:noProof/>
        </w:rPr>
        <w:fldChar w:fldCharType="end"/>
      </w:r>
      <w:r w:rsidR="003770DC" w:rsidRPr="00ED6AB2">
        <w:t>:</w:t>
      </w:r>
      <w:r>
        <w:t xml:space="preserve"> </w:t>
      </w:r>
      <w:r w:rsidR="003770DC" w:rsidRPr="00ED6AB2">
        <w:t>Ποσοστιαία κατανομή των εντάξεων και πλ</w:t>
      </w:r>
      <w:r w:rsidR="00B2394C">
        <w:t>ηρωμών (έως 31.12.2018) δράσεων</w:t>
      </w:r>
      <w:r w:rsidR="00B2394C" w:rsidRPr="00B2394C">
        <w:t xml:space="preserve"> που υλοποιούνται στο πλαίσιο της επενδυτικής προτεραιότητας 1b, ανά Τομέα Προτεραιότητας της RIS3</w:t>
      </w:r>
    </w:p>
    <w:p w14:paraId="61011F24" w14:textId="77777777" w:rsidR="00F6070F" w:rsidRDefault="0065794A" w:rsidP="00B2394C">
      <w:pPr>
        <w:pStyle w:val="Caption"/>
      </w:pPr>
      <w:r w:rsidRPr="0065794A">
        <w:rPr>
          <w:noProof/>
          <w:lang w:eastAsia="el-GR"/>
        </w:rPr>
        <w:drawing>
          <wp:inline distT="0" distB="0" distL="0" distR="0" wp14:anchorId="1D368B10" wp14:editId="5081B7D5">
            <wp:extent cx="8864600" cy="183238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64600" cy="1832381"/>
                    </a:xfrm>
                    <a:prstGeom prst="rect">
                      <a:avLst/>
                    </a:prstGeom>
                    <a:noFill/>
                    <a:ln>
                      <a:noFill/>
                    </a:ln>
                  </pic:spPr>
                </pic:pic>
              </a:graphicData>
            </a:graphic>
          </wp:inline>
        </w:drawing>
      </w:r>
    </w:p>
    <w:p w14:paraId="03149F98" w14:textId="77777777" w:rsidR="00B2394C" w:rsidRDefault="00B2394C" w:rsidP="00F6070F">
      <w:pPr>
        <w:sectPr w:rsidR="00B2394C" w:rsidSect="00E643A6">
          <w:footerReference w:type="default" r:id="rId20"/>
          <w:pgSz w:w="16840" w:h="11907" w:orient="landscape" w:code="9"/>
          <w:pgMar w:top="1440" w:right="1440" w:bottom="1440" w:left="1440" w:header="720" w:footer="720" w:gutter="0"/>
          <w:cols w:space="720"/>
          <w:docGrid w:linePitch="360"/>
        </w:sectPr>
      </w:pPr>
    </w:p>
    <w:p w14:paraId="493B32D4" w14:textId="77777777" w:rsidR="00B2394C" w:rsidRPr="00B2394C" w:rsidRDefault="00B2394C" w:rsidP="00B2394C">
      <w:pPr>
        <w:pStyle w:val="Caption"/>
      </w:pPr>
      <w:r w:rsidRPr="00ED6AB2">
        <w:lastRenderedPageBreak/>
        <w:t xml:space="preserve">Πίνακας </w:t>
      </w:r>
      <w:r>
        <w:rPr>
          <w:noProof/>
        </w:rPr>
        <w:fldChar w:fldCharType="begin"/>
      </w:r>
      <w:r>
        <w:rPr>
          <w:noProof/>
        </w:rPr>
        <w:instrText xml:space="preserve"> STYLEREF 1 \s </w:instrText>
      </w:r>
      <w:r>
        <w:rPr>
          <w:noProof/>
        </w:rPr>
        <w:fldChar w:fldCharType="separate"/>
      </w:r>
      <w:r w:rsidR="00D56CA9">
        <w:rPr>
          <w:noProof/>
        </w:rPr>
        <w:t>3</w:t>
      </w:r>
      <w:r>
        <w:rPr>
          <w:noProof/>
        </w:rPr>
        <w:fldChar w:fldCharType="end"/>
      </w:r>
      <w:r>
        <w:noBreakHyphen/>
      </w:r>
      <w:r w:rsidR="00AC494F">
        <w:rPr>
          <w:noProof/>
        </w:rPr>
        <w:t>7</w:t>
      </w:r>
      <w:r>
        <w:t xml:space="preserve">: </w:t>
      </w:r>
      <w:r w:rsidRPr="00ED6AB2">
        <w:t xml:space="preserve">Στοιχεία πληρωμών </w:t>
      </w:r>
      <w:r w:rsidR="009576A4">
        <w:t>ΕΛΚΕ-ΓΓΕΤ και ΟΠΣ έναντι των εντάξεων</w:t>
      </w:r>
      <w:r w:rsidRPr="00ED6AB2">
        <w:t xml:space="preserve">(έως 31.12.2018) δράσεων που </w:t>
      </w:r>
      <w:r>
        <w:t>υλοποιούνται</w:t>
      </w:r>
      <w:r w:rsidRPr="00ED6AB2">
        <w:t xml:space="preserve"> στην Επενδυτική Προτεραιότητα 1</w:t>
      </w:r>
      <w:r w:rsidRPr="00ED6AB2">
        <w:rPr>
          <w:lang w:val="en-US"/>
        </w:rPr>
        <w:t>b</w:t>
      </w:r>
      <w:r>
        <w:t xml:space="preserve">, ανά </w:t>
      </w:r>
      <w:r w:rsidR="00AD5C83">
        <w:t>Περιφέρεια</w:t>
      </w:r>
      <w:r w:rsidR="00A3403F">
        <w:t xml:space="preserve"> και Δράση</w:t>
      </w:r>
      <w:r w:rsidR="005E7641" w:rsidRPr="005E7641">
        <w:t xml:space="preserve"> </w:t>
      </w:r>
      <w:r w:rsidR="005E7641">
        <w:t xml:space="preserve">στο πλαίσιο της </w:t>
      </w:r>
      <w:r w:rsidR="005E7641" w:rsidRPr="00ED6AB2">
        <w:t xml:space="preserve"> Επενδυτική</w:t>
      </w:r>
      <w:r w:rsidR="005E7641">
        <w:t>ς</w:t>
      </w:r>
      <w:r w:rsidR="005E7641" w:rsidRPr="00ED6AB2">
        <w:t xml:space="preserve"> Προτεραιότητα</w:t>
      </w:r>
      <w:r w:rsidR="005E7641">
        <w:t>ς</w:t>
      </w:r>
      <w:r w:rsidR="005E7641" w:rsidRPr="00ED6AB2">
        <w:t xml:space="preserve"> 1</w:t>
      </w:r>
      <w:r w:rsidR="005E7641" w:rsidRPr="00ED6AB2">
        <w:rPr>
          <w:lang w:val="en-US"/>
        </w:rPr>
        <w:t>b</w:t>
      </w:r>
    </w:p>
    <w:p w14:paraId="7F19DA16" w14:textId="77777777" w:rsidR="00B2394C" w:rsidRDefault="00B2394C" w:rsidP="00F6070F">
      <w:r w:rsidRPr="00B2394C">
        <w:rPr>
          <w:noProof/>
          <w:lang w:eastAsia="el-GR"/>
        </w:rPr>
        <w:drawing>
          <wp:inline distT="0" distB="0" distL="0" distR="0" wp14:anchorId="1B764A1C" wp14:editId="2405E4F2">
            <wp:extent cx="13293020" cy="546735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298740" cy="5469703"/>
                    </a:xfrm>
                    <a:prstGeom prst="rect">
                      <a:avLst/>
                    </a:prstGeom>
                    <a:noFill/>
                    <a:ln>
                      <a:noFill/>
                    </a:ln>
                  </pic:spPr>
                </pic:pic>
              </a:graphicData>
            </a:graphic>
          </wp:inline>
        </w:drawing>
      </w:r>
    </w:p>
    <w:p w14:paraId="1DD0847E" w14:textId="77777777" w:rsidR="00B12FD1" w:rsidRDefault="00B12FD1" w:rsidP="00F6070F">
      <w:pPr>
        <w:sectPr w:rsidR="00B12FD1" w:rsidSect="00B2394C">
          <w:pgSz w:w="23814" w:h="16839" w:orient="landscape" w:code="8"/>
          <w:pgMar w:top="1440" w:right="1440" w:bottom="1440" w:left="1440" w:header="720" w:footer="720" w:gutter="0"/>
          <w:cols w:space="720"/>
          <w:docGrid w:linePitch="360"/>
        </w:sectPr>
      </w:pPr>
    </w:p>
    <w:p w14:paraId="63778B0C" w14:textId="77777777" w:rsidR="00B2394C" w:rsidRDefault="00D2223C" w:rsidP="00D2223C">
      <w:pPr>
        <w:pStyle w:val="Caption"/>
      </w:pPr>
      <w:r w:rsidRPr="00ED6AB2">
        <w:lastRenderedPageBreak/>
        <w:t xml:space="preserve">Πίνακας </w:t>
      </w:r>
      <w:r w:rsidR="008D772B">
        <w:rPr>
          <w:noProof/>
        </w:rPr>
        <w:fldChar w:fldCharType="begin"/>
      </w:r>
      <w:r w:rsidR="008D772B">
        <w:rPr>
          <w:noProof/>
        </w:rPr>
        <w:instrText xml:space="preserve"> STYLEREF 1 \s </w:instrText>
      </w:r>
      <w:r w:rsidR="008D772B">
        <w:rPr>
          <w:noProof/>
        </w:rPr>
        <w:fldChar w:fldCharType="separate"/>
      </w:r>
      <w:r w:rsidR="00D56CA9">
        <w:rPr>
          <w:noProof/>
        </w:rPr>
        <w:t>3</w:t>
      </w:r>
      <w:r w:rsidR="008D772B">
        <w:rPr>
          <w:noProof/>
        </w:rPr>
        <w:fldChar w:fldCharType="end"/>
      </w:r>
      <w:r>
        <w:noBreakHyphen/>
      </w:r>
      <w:r w:rsidR="00AC494F">
        <w:t>8</w:t>
      </w:r>
      <w:r>
        <w:t xml:space="preserve">: </w:t>
      </w:r>
      <w:r w:rsidRPr="00ED6AB2">
        <w:t xml:space="preserve">Στοιχεία </w:t>
      </w:r>
      <w:r>
        <w:t xml:space="preserve">προϋπολογισμού δημόσιας δαπάνης </w:t>
      </w:r>
      <w:r w:rsidR="005E7641">
        <w:t xml:space="preserve">των </w:t>
      </w:r>
      <w:r>
        <w:t>υποβληθεισών προτάσεων ανά Περιφέρεια και Τομέα Προτεραιότητας</w:t>
      </w:r>
      <w:r w:rsidR="009576A4">
        <w:t xml:space="preserve"> στο πλαίσιο της </w:t>
      </w:r>
      <w:r w:rsidR="009576A4" w:rsidRPr="00ED6AB2">
        <w:t xml:space="preserve"> Επενδυτική</w:t>
      </w:r>
      <w:r w:rsidR="009576A4">
        <w:t>ς</w:t>
      </w:r>
      <w:r w:rsidR="009576A4" w:rsidRPr="00ED6AB2">
        <w:t xml:space="preserve"> Προτεραιότητα</w:t>
      </w:r>
      <w:r w:rsidR="009576A4">
        <w:t>ς</w:t>
      </w:r>
      <w:r w:rsidR="009576A4" w:rsidRPr="00ED6AB2">
        <w:t xml:space="preserve"> 1</w:t>
      </w:r>
      <w:r w:rsidR="009576A4" w:rsidRPr="00ED6AB2">
        <w:rPr>
          <w:lang w:val="en-US"/>
        </w:rPr>
        <w:t>b</w:t>
      </w:r>
    </w:p>
    <w:p w14:paraId="7C1E2AD1" w14:textId="77777777" w:rsidR="00D2223C" w:rsidRPr="00D2223C" w:rsidRDefault="00D2223C" w:rsidP="00D2223C"/>
    <w:p w14:paraId="2C5D7D80" w14:textId="77777777" w:rsidR="00B12FD1" w:rsidRDefault="00D2223C" w:rsidP="00F6070F">
      <w:r w:rsidRPr="00D2223C">
        <w:rPr>
          <w:noProof/>
          <w:lang w:eastAsia="el-GR"/>
        </w:rPr>
        <w:drawing>
          <wp:inline distT="0" distB="0" distL="0" distR="0" wp14:anchorId="112CEA6A" wp14:editId="03299777">
            <wp:extent cx="13292454" cy="5591175"/>
            <wp:effectExtent l="0" t="0" r="508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00327" cy="5594487"/>
                    </a:xfrm>
                    <a:prstGeom prst="rect">
                      <a:avLst/>
                    </a:prstGeom>
                    <a:noFill/>
                    <a:ln>
                      <a:noFill/>
                    </a:ln>
                  </pic:spPr>
                </pic:pic>
              </a:graphicData>
            </a:graphic>
          </wp:inline>
        </w:drawing>
      </w:r>
    </w:p>
    <w:p w14:paraId="19A46ECB" w14:textId="19B0BF92" w:rsidR="00B12FD1" w:rsidRPr="00B44B51" w:rsidRDefault="00E44E6F" w:rsidP="00F6070F">
      <w:pPr>
        <w:rPr>
          <w:i/>
        </w:rPr>
      </w:pPr>
      <w:r w:rsidRPr="00B44B51">
        <w:rPr>
          <w:i/>
        </w:rPr>
        <w:t>(σημ. Περιλαμβάνεται η δράση διμερούς Ε&amp;Τ Συνεργασίας Ελλάδας – Κίνας</w:t>
      </w:r>
      <w:r>
        <w:rPr>
          <w:i/>
        </w:rPr>
        <w:t xml:space="preserve"> (2018)</w:t>
      </w:r>
      <w:r w:rsidRPr="00B44B51">
        <w:rPr>
          <w:i/>
        </w:rPr>
        <w:t>, η οποία δεν είχε παρουσιάσει ενταγμένα έργα κατά την περίοδο αναφοράς της παρούσας έκθεσης).</w:t>
      </w:r>
    </w:p>
    <w:p w14:paraId="543B2CAC" w14:textId="77777777" w:rsidR="00D2223C" w:rsidRDefault="00D2223C" w:rsidP="00F6070F"/>
    <w:p w14:paraId="51CDCB3E" w14:textId="77777777" w:rsidR="00E44E6F" w:rsidRDefault="00E44E6F" w:rsidP="00F6070F">
      <w:pPr>
        <w:sectPr w:rsidR="00E44E6F" w:rsidSect="00B2394C">
          <w:pgSz w:w="23814" w:h="16839" w:orient="landscape" w:code="8"/>
          <w:pgMar w:top="1440" w:right="1440" w:bottom="1440" w:left="1440" w:header="720" w:footer="720" w:gutter="0"/>
          <w:cols w:space="720"/>
          <w:docGrid w:linePitch="360"/>
        </w:sectPr>
      </w:pPr>
    </w:p>
    <w:p w14:paraId="0190E0B4" w14:textId="77777777" w:rsidR="00D22350" w:rsidRDefault="00D22350" w:rsidP="00D2223C">
      <w:pPr>
        <w:pStyle w:val="Caption"/>
      </w:pPr>
    </w:p>
    <w:p w14:paraId="7D2DB4E5" w14:textId="4047122B" w:rsidR="00D2223C" w:rsidRDefault="00D2223C" w:rsidP="00D2223C">
      <w:pPr>
        <w:pStyle w:val="Caption"/>
      </w:pPr>
      <w:r w:rsidRPr="00ED6AB2">
        <w:t xml:space="preserve">Πίνακας </w:t>
      </w:r>
      <w:r w:rsidR="008D772B">
        <w:rPr>
          <w:noProof/>
        </w:rPr>
        <w:fldChar w:fldCharType="begin"/>
      </w:r>
      <w:r w:rsidR="008D772B">
        <w:rPr>
          <w:noProof/>
        </w:rPr>
        <w:instrText xml:space="preserve"> STYLEREF 1 \s </w:instrText>
      </w:r>
      <w:r w:rsidR="008D772B">
        <w:rPr>
          <w:noProof/>
        </w:rPr>
        <w:fldChar w:fldCharType="separate"/>
      </w:r>
      <w:r w:rsidR="00D56CA9">
        <w:rPr>
          <w:noProof/>
        </w:rPr>
        <w:t>3</w:t>
      </w:r>
      <w:r w:rsidR="008D772B">
        <w:rPr>
          <w:noProof/>
        </w:rPr>
        <w:fldChar w:fldCharType="end"/>
      </w:r>
      <w:r>
        <w:noBreakHyphen/>
      </w:r>
      <w:r w:rsidR="00AC494F">
        <w:t>9</w:t>
      </w:r>
      <w:r>
        <w:t xml:space="preserve">: </w:t>
      </w:r>
      <w:r w:rsidRPr="00ED6AB2">
        <w:t xml:space="preserve">Στοιχεία </w:t>
      </w:r>
      <w:r>
        <w:t xml:space="preserve">προϋπολογισμού δημόσιας δαπάνης </w:t>
      </w:r>
      <w:r w:rsidR="005E7641">
        <w:t xml:space="preserve">των </w:t>
      </w:r>
      <w:r>
        <w:t>θετικά αξιολογημένων προτάσεων ανά Περιφέρεια και Τομέα Προτεραιότητας</w:t>
      </w:r>
      <w:r w:rsidR="009576A4">
        <w:t xml:space="preserve"> στο πλαίσιο της </w:t>
      </w:r>
      <w:r w:rsidR="009576A4" w:rsidRPr="00ED6AB2">
        <w:t xml:space="preserve"> Επενδυτική</w:t>
      </w:r>
      <w:r w:rsidR="009576A4">
        <w:t>ς</w:t>
      </w:r>
      <w:r w:rsidR="009576A4" w:rsidRPr="00ED6AB2">
        <w:t xml:space="preserve"> Προτεραιότητα</w:t>
      </w:r>
      <w:r w:rsidR="009576A4">
        <w:t>ς</w:t>
      </w:r>
      <w:r w:rsidR="009576A4" w:rsidRPr="00ED6AB2">
        <w:t xml:space="preserve"> 1</w:t>
      </w:r>
      <w:r w:rsidR="009576A4" w:rsidRPr="00ED6AB2">
        <w:rPr>
          <w:lang w:val="en-US"/>
        </w:rPr>
        <w:t>b</w:t>
      </w:r>
    </w:p>
    <w:p w14:paraId="56323D54" w14:textId="77777777" w:rsidR="00D2223C" w:rsidRDefault="00BF2E9B" w:rsidP="00F6070F">
      <w:r w:rsidRPr="00BF2E9B">
        <w:rPr>
          <w:noProof/>
          <w:lang w:eastAsia="el-GR"/>
        </w:rPr>
        <w:drawing>
          <wp:inline distT="0" distB="0" distL="0" distR="0" wp14:anchorId="6DA4511F" wp14:editId="53C90880">
            <wp:extent cx="13291185" cy="5676900"/>
            <wp:effectExtent l="0" t="0" r="571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294182" cy="5678180"/>
                    </a:xfrm>
                    <a:prstGeom prst="rect">
                      <a:avLst/>
                    </a:prstGeom>
                    <a:noFill/>
                    <a:ln>
                      <a:noFill/>
                    </a:ln>
                  </pic:spPr>
                </pic:pic>
              </a:graphicData>
            </a:graphic>
          </wp:inline>
        </w:drawing>
      </w:r>
    </w:p>
    <w:p w14:paraId="6067A378" w14:textId="623547E3" w:rsidR="00D2223C" w:rsidRPr="006C1583" w:rsidRDefault="00E44E6F" w:rsidP="00F6070F">
      <w:pPr>
        <w:rPr>
          <w:i/>
        </w:rPr>
      </w:pPr>
      <w:r w:rsidRPr="009074CB">
        <w:rPr>
          <w:i/>
        </w:rPr>
        <w:t>(σημ. Περιλαμβάνεται η δράση διμερούς Ε&amp;Τ Συνεργασίας Ελλάδας – Κίνας</w:t>
      </w:r>
      <w:r>
        <w:rPr>
          <w:i/>
        </w:rPr>
        <w:t xml:space="preserve"> (2018)</w:t>
      </w:r>
      <w:r w:rsidRPr="009074CB">
        <w:rPr>
          <w:i/>
        </w:rPr>
        <w:t>, η οποία δεν είχε παρουσιάσει ενταγμένα έργα κατά την περίοδο αναφοράς της παρούσας έκθεσης).</w:t>
      </w:r>
    </w:p>
    <w:p w14:paraId="02F71847" w14:textId="77777777" w:rsidR="00D2223C" w:rsidRDefault="00D2223C" w:rsidP="00F6070F"/>
    <w:p w14:paraId="43B34624" w14:textId="77777777" w:rsidR="00E44E6F" w:rsidRDefault="00E44E6F" w:rsidP="00F6070F">
      <w:pPr>
        <w:sectPr w:rsidR="00E44E6F" w:rsidSect="00B2394C">
          <w:pgSz w:w="23814" w:h="16839" w:orient="landscape" w:code="8"/>
          <w:pgMar w:top="1440" w:right="1440" w:bottom="1440" w:left="1440" w:header="720" w:footer="720" w:gutter="0"/>
          <w:cols w:space="720"/>
          <w:docGrid w:linePitch="360"/>
        </w:sectPr>
      </w:pPr>
    </w:p>
    <w:p w14:paraId="349B2E2C" w14:textId="77777777" w:rsidR="00D22350" w:rsidRDefault="00D22350" w:rsidP="00D22350">
      <w:pPr>
        <w:pStyle w:val="Caption"/>
      </w:pPr>
    </w:p>
    <w:p w14:paraId="0F419DC2" w14:textId="483BAE51" w:rsidR="00D2223C" w:rsidRDefault="00D2223C" w:rsidP="00D22350">
      <w:pPr>
        <w:pStyle w:val="Caption"/>
      </w:pPr>
      <w:r w:rsidRPr="00ED6AB2">
        <w:t xml:space="preserve">Πίνακας </w:t>
      </w:r>
      <w:r w:rsidR="008D772B">
        <w:rPr>
          <w:noProof/>
        </w:rPr>
        <w:fldChar w:fldCharType="begin"/>
      </w:r>
      <w:r w:rsidR="008D772B">
        <w:rPr>
          <w:noProof/>
        </w:rPr>
        <w:instrText xml:space="preserve"> STYLEREF 1 \s </w:instrText>
      </w:r>
      <w:r w:rsidR="008D772B">
        <w:rPr>
          <w:noProof/>
        </w:rPr>
        <w:fldChar w:fldCharType="separate"/>
      </w:r>
      <w:r w:rsidR="00D56CA9">
        <w:rPr>
          <w:noProof/>
        </w:rPr>
        <w:t>3</w:t>
      </w:r>
      <w:r w:rsidR="008D772B">
        <w:rPr>
          <w:noProof/>
        </w:rPr>
        <w:fldChar w:fldCharType="end"/>
      </w:r>
      <w:r>
        <w:noBreakHyphen/>
      </w:r>
      <w:r w:rsidR="00AC494F">
        <w:t>10</w:t>
      </w:r>
      <w:r>
        <w:t xml:space="preserve">: </w:t>
      </w:r>
      <w:r w:rsidRPr="00ED6AB2">
        <w:t xml:space="preserve">Στοιχεία </w:t>
      </w:r>
      <w:r>
        <w:t xml:space="preserve">προϋπολογισμού δημόσιας δαπάνης </w:t>
      </w:r>
      <w:r w:rsidR="005E7641">
        <w:t xml:space="preserve">των </w:t>
      </w:r>
      <w:r w:rsidR="00BF2E9B">
        <w:t xml:space="preserve">ενταγμένων έργων </w:t>
      </w:r>
      <w:r>
        <w:t>ανά Περιφέρεια και Τομέα Προτεραιότητας</w:t>
      </w:r>
      <w:r w:rsidR="009576A4">
        <w:t xml:space="preserve"> στο πλαίσιο της </w:t>
      </w:r>
      <w:r w:rsidR="009576A4" w:rsidRPr="00ED6AB2">
        <w:t xml:space="preserve"> Επενδυτική</w:t>
      </w:r>
      <w:r w:rsidR="009576A4">
        <w:t>ς</w:t>
      </w:r>
      <w:r w:rsidR="009576A4" w:rsidRPr="00ED6AB2">
        <w:t xml:space="preserve"> Προτεραιότητα</w:t>
      </w:r>
      <w:r w:rsidR="009576A4">
        <w:t>ς</w:t>
      </w:r>
      <w:r w:rsidR="009576A4" w:rsidRPr="00ED6AB2">
        <w:t xml:space="preserve"> 1</w:t>
      </w:r>
      <w:r w:rsidR="009576A4" w:rsidRPr="00ED6AB2">
        <w:rPr>
          <w:lang w:val="en-US"/>
        </w:rPr>
        <w:t>b</w:t>
      </w:r>
    </w:p>
    <w:p w14:paraId="634DC8CE" w14:textId="77777777" w:rsidR="00D2223C" w:rsidRDefault="00BF2E9B" w:rsidP="00F6070F">
      <w:r w:rsidRPr="00BF2E9B">
        <w:rPr>
          <w:noProof/>
          <w:lang w:eastAsia="el-GR"/>
        </w:rPr>
        <w:drawing>
          <wp:inline distT="0" distB="0" distL="0" distR="0" wp14:anchorId="6257F92E" wp14:editId="63FF3C04">
            <wp:extent cx="13291820" cy="5667375"/>
            <wp:effectExtent l="0" t="0" r="508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294817" cy="5668653"/>
                    </a:xfrm>
                    <a:prstGeom prst="rect">
                      <a:avLst/>
                    </a:prstGeom>
                    <a:noFill/>
                    <a:ln>
                      <a:noFill/>
                    </a:ln>
                  </pic:spPr>
                </pic:pic>
              </a:graphicData>
            </a:graphic>
          </wp:inline>
        </w:drawing>
      </w:r>
    </w:p>
    <w:p w14:paraId="3A1D82EB" w14:textId="77777777" w:rsidR="00B2394C" w:rsidRPr="00F6070F" w:rsidRDefault="00B2394C" w:rsidP="00F6070F"/>
    <w:p w14:paraId="1934436C" w14:textId="77777777" w:rsidR="003770DC" w:rsidRPr="00005738" w:rsidRDefault="003770DC" w:rsidP="003770DC">
      <w:pPr>
        <w:spacing w:after="160" w:line="259" w:lineRule="auto"/>
        <w:ind w:left="1440" w:hanging="1440"/>
        <w:sectPr w:rsidR="003770DC" w:rsidRPr="00005738" w:rsidSect="00B2394C">
          <w:pgSz w:w="23814" w:h="16839" w:orient="landscape" w:code="8"/>
          <w:pgMar w:top="1440" w:right="1440" w:bottom="1440" w:left="1440" w:header="720" w:footer="720" w:gutter="0"/>
          <w:cols w:space="720"/>
          <w:docGrid w:linePitch="360"/>
        </w:sectPr>
      </w:pPr>
    </w:p>
    <w:p w14:paraId="050B35BE" w14:textId="77777777" w:rsidR="00B12FD1" w:rsidRDefault="00B12FD1" w:rsidP="003770DC"/>
    <w:p w14:paraId="1A1973A5" w14:textId="77777777" w:rsidR="003770DC" w:rsidRPr="004671C2" w:rsidRDefault="003770DC" w:rsidP="003770DC">
      <w:r w:rsidRPr="004671C2">
        <w:t>Παρακάτω, παρατίθεται συνοπτική παρουσίαση των Προσκλήσεων, η πρόοδος υλοποίησης των έργων τα οποία εντάχθηκαν στο πλαίσιο των εν λόγω προκλήσεων, καθώς και η συνέπειά τους ως προς τους</w:t>
      </w:r>
      <w:r>
        <w:t xml:space="preserve"> στόχους και του τομείς προτεραιότητας της Στρατηγικής </w:t>
      </w:r>
      <w:r>
        <w:rPr>
          <w:lang w:val="en-US"/>
        </w:rPr>
        <w:t>RIS</w:t>
      </w:r>
      <w:r w:rsidRPr="004671C2">
        <w:t>3.</w:t>
      </w:r>
    </w:p>
    <w:p w14:paraId="5D764E91" w14:textId="77777777" w:rsidR="003770DC" w:rsidRPr="00DF43D2" w:rsidRDefault="003770DC" w:rsidP="003770DC">
      <w:pPr>
        <w:pStyle w:val="Heading4"/>
        <w:rPr>
          <w:rFonts w:eastAsia="Calibri"/>
        </w:rPr>
      </w:pPr>
      <w:bookmarkStart w:id="11" w:name="_Toc22645401"/>
      <w:r w:rsidRPr="00E036BC">
        <w:rPr>
          <w:rFonts w:eastAsia="Calibri"/>
        </w:rPr>
        <w:t xml:space="preserve">«Ερευνώ – Δημιουργώ – Καινοτομώ» </w:t>
      </w:r>
      <w:r w:rsidRPr="00DF43D2">
        <w:rPr>
          <w:rFonts w:eastAsia="Calibri"/>
        </w:rPr>
        <w:t>(Α΄ κύκλος)</w:t>
      </w:r>
      <w:bookmarkEnd w:id="11"/>
    </w:p>
    <w:p w14:paraId="43E58E31" w14:textId="77777777" w:rsidR="00D22350" w:rsidRPr="000D5F33" w:rsidRDefault="00D22350" w:rsidP="00D22350">
      <w:r w:rsidRPr="000D5F33">
        <w:t>Βασικός στόχος της ενιαίας δράσης «Ερευνώ – Δημιουργώ – Καινοτομώ» είναι η σύνδεση της έρευνας και της καινοτομίας με την επιχειρηματικότητα και η ενίσχυση της ανταγωνιστικότητας, της παραγωγικότητας και της εξωστρέφειας των επιχειρήσεων προς διεθνείς αγορές, με σκοπό τη μετάβαση στην ποιοτική καινοτόμα επιχειρηματικότητα και την αύξηση της εγχώριας προστιθέμενης αξίας. Η δράση αυτή έχει ως σκοπό την άμεση και αποτελεσματική διοχέτευση των διαθέσιμων πόρων για την προώθηση ερευνητικών δραστηριοτήτων και την εφαρμογή καινοτομιών στις επιχειρήσεις και ιδιαίτερα στις μικρομεσαίες επιχειρήσεις μέσω μίας σειράς παρεμβάσεων. Στόχοι της δράσης είναι οι εξής:</w:t>
      </w:r>
    </w:p>
    <w:p w14:paraId="588CBD26" w14:textId="77777777" w:rsidR="00D22350" w:rsidRPr="000D5F33" w:rsidRDefault="00D22350" w:rsidP="00D22350">
      <w:pPr>
        <w:pStyle w:val="ListParagraph"/>
        <w:numPr>
          <w:ilvl w:val="0"/>
          <w:numId w:val="16"/>
        </w:numPr>
        <w:contextualSpacing w:val="0"/>
      </w:pPr>
      <w:r w:rsidRPr="000D5F33">
        <w:t>Οικονομική ανάπτυξη βασισμένη στη γνώση και τη βιώσιμη εξειδίκευση</w:t>
      </w:r>
    </w:p>
    <w:p w14:paraId="2A41425B" w14:textId="77777777" w:rsidR="00D22350" w:rsidRPr="000D5F33" w:rsidRDefault="00D22350" w:rsidP="00D22350">
      <w:pPr>
        <w:pStyle w:val="ListParagraph"/>
        <w:numPr>
          <w:ilvl w:val="0"/>
          <w:numId w:val="16"/>
        </w:numPr>
        <w:contextualSpacing w:val="0"/>
      </w:pPr>
      <w:r w:rsidRPr="000D5F33">
        <w:t>Ενσωμάτωση της νέας γνώσης και της καινοτομίας στα υπάρχοντα αλλά και σε νέα προϊόντα, υπηρεσίες, παραγωγικά συστήματα και αλυσίδες αξίας</w:t>
      </w:r>
    </w:p>
    <w:p w14:paraId="249B77F3" w14:textId="77777777" w:rsidR="00D22350" w:rsidRPr="000D5F33" w:rsidRDefault="00D22350" w:rsidP="00D22350">
      <w:pPr>
        <w:pStyle w:val="ListParagraph"/>
        <w:numPr>
          <w:ilvl w:val="0"/>
          <w:numId w:val="16"/>
        </w:numPr>
        <w:contextualSpacing w:val="0"/>
        <w:rPr>
          <w:szCs w:val="18"/>
        </w:rPr>
      </w:pPr>
      <w:r w:rsidRPr="000D5F33">
        <w:t>Σύνδεση της ακαδημαϊκής έρευνας με τις ανάγκες της αγοράς και την οικονομία</w:t>
      </w:r>
      <w:r w:rsidRPr="000D5F33">
        <w:rPr>
          <w:szCs w:val="18"/>
        </w:rPr>
        <w:t>.</w:t>
      </w:r>
    </w:p>
    <w:p w14:paraId="7B55656A" w14:textId="77777777" w:rsidR="00D22350" w:rsidRPr="000D5F33" w:rsidRDefault="00D22350" w:rsidP="00D22350">
      <w:r w:rsidRPr="00E036BC">
        <w:rPr>
          <w:szCs w:val="18"/>
        </w:rPr>
        <w:t xml:space="preserve">Προϋπόθεση για την επίτευξη των στόχων της δράσης είναι η επικέντρωση των πόρων και των </w:t>
      </w:r>
      <w:r w:rsidRPr="000D5F33">
        <w:t>προσπαθειών σε επιλεγμένους τομείς οικονομικής δραστηριότητας και σε πεδία παρέμβασης, όπου ανιχνεύεται δυναμικό επιχειρηματικότητας και ερευνητικής αριστείας σύμφωνα με την εθνική στρατηγική έρευνας και καινοτομίας για έξυπνη εξειδίκευση (στρατηγική RIS3), σε εθνικό καθώς και σε περιφερειακό επίπεδο, με σκοπό τον εκσυγχρονισμό, τη διαφοροποίηση και την εκμετάλλευση νέων ευκαιριών στην ελληνική οικονομία.</w:t>
      </w:r>
    </w:p>
    <w:p w14:paraId="16207FEF" w14:textId="77777777" w:rsidR="00D22350" w:rsidRPr="000D5F33" w:rsidRDefault="00D22350" w:rsidP="00D22350">
      <w:r w:rsidRPr="000D5F33">
        <w:t>Η Δράση αποσκοπεί στην ικανοποίηση των αναγκών των επιχειρήσεων και των υπόλοιπων φορέων που δραστηριοποιούνται στο οικοσύστημα της έρευνας και καινοτομίας, καλύπτοντας το μέγιστο δυνατό φάσμα των δυνητικών Δικαιούχων. Οι προτάσεις που θα ενισχυθούν μπορούν να υποβάλλονται είτε από μεμονωμένες επιχειρήσεις, είτε από ομάδες επιχειρήσεων, είτε από συμπράξεις επιχειρήσεων με ερευνητικούς οργανισμούς.</w:t>
      </w:r>
    </w:p>
    <w:p w14:paraId="77D8A101" w14:textId="77777777" w:rsidR="00D22350" w:rsidRPr="000D5F33" w:rsidRDefault="00D22350" w:rsidP="00D22350">
      <w:r w:rsidRPr="000D5F33">
        <w:t>Οι αιτήσεις χρηματοδότησης που υποβάλλονται πρέπει να προωθούν την έρευνα, την τεχνολογική ανάπτυξη και την καινοτομία και να εντάσσονται σε μία από τις ακόλουθες 3 παρεμβάσεις:</w:t>
      </w:r>
    </w:p>
    <w:p w14:paraId="4CA59182" w14:textId="77777777" w:rsidR="00D22350" w:rsidRPr="000D5F33" w:rsidRDefault="00D22350" w:rsidP="00D22350">
      <w:pPr>
        <w:pStyle w:val="ListParagraph"/>
        <w:numPr>
          <w:ilvl w:val="0"/>
          <w:numId w:val="16"/>
        </w:numPr>
        <w:contextualSpacing w:val="0"/>
      </w:pPr>
      <w:r w:rsidRPr="000D5F33">
        <w:t>Έρευνα και Ανάπτυξη από Μικρομεσαίες Επιχειρήσεις με στόχο την υποστήριξη της έρευνας, την προώθηση της καινοτομίας και την ενίσχυση της δικτύωσης σε μικρομεσαίες επιχειρήσεις.</w:t>
      </w:r>
    </w:p>
    <w:p w14:paraId="06CC02AB" w14:textId="77777777" w:rsidR="00D22350" w:rsidRPr="000D5F33" w:rsidRDefault="00D22350" w:rsidP="00D22350">
      <w:pPr>
        <w:pStyle w:val="ListParagraph"/>
        <w:numPr>
          <w:ilvl w:val="0"/>
          <w:numId w:val="16"/>
        </w:numPr>
        <w:contextualSpacing w:val="0"/>
      </w:pPr>
      <w:r w:rsidRPr="000D5F33">
        <w:t>Συμπράξεις Επιχειρήσεων με Ερευνητικούς Οργανισμούς με στόχο την συνεργασία μεταξύ των επιχειρήσεων και των ερευνητικών οργανισμών.</w:t>
      </w:r>
    </w:p>
    <w:p w14:paraId="5B8F16D0" w14:textId="77777777" w:rsidR="00D22350" w:rsidRPr="000D5F33" w:rsidRDefault="00D22350" w:rsidP="00D22350">
      <w:pPr>
        <w:pStyle w:val="ListParagraph"/>
        <w:numPr>
          <w:ilvl w:val="0"/>
          <w:numId w:val="16"/>
        </w:numPr>
        <w:contextualSpacing w:val="0"/>
      </w:pPr>
      <w:r w:rsidRPr="000D5F33">
        <w:t>Αξιοποίηση Ερευνητικών Αποτελεσμάτων με στόχο την προώθηση της έρευνας σε επόμενο επίπεδο τεχνολογικής ετοιμότητας, έχοντας ως βάση αποτελέσματα που έχουν παραχθεί σε προηγούμενα ερευνητικά έργα.</w:t>
      </w:r>
    </w:p>
    <w:p w14:paraId="1B6B0859" w14:textId="77777777" w:rsidR="00D22350" w:rsidRPr="000D5F33" w:rsidRDefault="00D22350" w:rsidP="00D22350">
      <w:r w:rsidRPr="000D5F33">
        <w:t>Στις 10.03.2017 δημοσιεύθηκε η προκήρυξη</w:t>
      </w:r>
      <w:r>
        <w:t xml:space="preserve"> </w:t>
      </w:r>
      <w:r w:rsidRPr="000D5F33">
        <w:t>(αρ. πρωτ. 1180/356/Α2) της Ενιαίας Δράσης Κρατικών Ενισχύσεων Έρευνας, Τεχνολογικής Ανάπτυξης &amp; Καινοτομίας «ΕΡΕΥΝΩ – ΔΗΜΙΟΥΡΓΩ – ΚΑΙΝΟΤΟΜΩ», στο πλα</w:t>
      </w:r>
      <w:r>
        <w:t>ίσιο του ΕΠΑνΕΚ, στον Άξονα Προ</w:t>
      </w:r>
      <w:r w:rsidRPr="000D5F33">
        <w:t xml:space="preserve">τεραιότητας 1 «Ανάπτυξη επιχειρηματικότητας με τομεακές προτεραιότητες» και στον Άξονα Προτεραιότητας 1Σ «Ανάπτυξη επιχειρηματικότητας με τομεακές προτεραιότητες (Στερεά Ελλάδα, Νότιο Αιγαίο)» και συγκεκριμένα στο Θεματικό Στόχο 1 – Επενδυτική Προτεραιότητα 1b και στον Ειδικό Στόχο 1.1 «Αύξηση επιχειρηματικών πρωτοβουλιών και συνεργασιών για την ανάπτυξη καινοτόμου επιχειρηματικότητας σύμφωνα με την εθνική στρατηγική έρευνας και καινοτομίας για έξυπνη εξειδίκευση». Ο προϋπολογισμός της Πρόσκλησης ανέρχονταν σε 410.000.000 € (ΔΔ). Η καταληκτική ημερομηνία υποβολής προτάσεων ήταν η 15.06.2017.  </w:t>
      </w:r>
    </w:p>
    <w:p w14:paraId="09347DB2" w14:textId="35F7F22C" w:rsidR="003770DC" w:rsidRPr="000D5F33" w:rsidRDefault="003770DC" w:rsidP="003770DC">
      <w:r w:rsidRPr="000D5F33">
        <w:lastRenderedPageBreak/>
        <w:t>Όπως φαίνεται και από τα στοιχεία που παρατίθενται στους παρακάτω πίνακες, συνολικά έχουν ενταχθεί 567 πράξεις (με συνολικά 1.808 συμμετοχές) συνολικού προϋπολογισμού (ΔΔ) 308</w:t>
      </w:r>
      <w:r w:rsidR="00D22350">
        <w:t>.</w:t>
      </w:r>
      <w:r w:rsidRPr="000D5F33">
        <w:t>542</w:t>
      </w:r>
      <w:r w:rsidR="00D22350">
        <w:t>.</w:t>
      </w:r>
      <w:r w:rsidRPr="000D5F33">
        <w:t>294</w:t>
      </w:r>
      <w:r w:rsidR="00D22350">
        <w:t>,</w:t>
      </w:r>
      <w:r w:rsidRPr="000D5F33">
        <w:t xml:space="preserve">14 € που αντιστοιχεί στο 75,25% του προϋπολογισμού της Πρόσκλησης. Το μεγαλύτερο ποσοστό του προϋπολογισμού της Πρόσκλησης αφορά στις λιγότερο ανεπτυγμένες Περιφέρειες (47,56%) και το μικρότερο στις Περιφέρειες σε μετάβαση (15,85%). Ως προς τα ενταγμένα έργα, το μεγαλύτερο ποσοστό του προϋπολογισμού των ενταγμένων έργων το κατέχει η κατηγορία των λιγότερο ανεπτυγμένων Περιφερειών (50,11%). Για όλες τις κατηγορίες Περιφερειών, το ποσοστό του προϋπολογισμού των ενταγμένων έργων (ως προς τον προϋπολογισμό της πρόσκλησης για τη συγκεκριμένη Περιφέρεια) κυμαίνεται μεταξύ 70-80%. </w:t>
      </w:r>
    </w:p>
    <w:p w14:paraId="3DC6D31B" w14:textId="77777777" w:rsidR="003770DC" w:rsidRPr="0061319E" w:rsidRDefault="00ED6AB2" w:rsidP="00ED6AB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A77820">
        <w:rPr>
          <w:noProof/>
        </w:rPr>
        <w:t>11</w:t>
      </w:r>
      <w:r w:rsidR="00C80E86" w:rsidRPr="00C80E86">
        <w:rPr>
          <w:noProof/>
        </w:rPr>
        <w:t>:</w:t>
      </w:r>
      <w:r>
        <w:t xml:space="preserve"> </w:t>
      </w:r>
      <w:r w:rsidR="003770DC" w:rsidRPr="0061319E">
        <w:t xml:space="preserve">Στοιχεία εντάξεων και πληρωμών (έως 31.12.2018) δράσεων που υποβλήθηκαν στο πλαίσιο της </w:t>
      </w:r>
      <w:r w:rsidR="001E71E2">
        <w:t>δράση</w:t>
      </w:r>
      <w:r w:rsidR="00A77820">
        <w:t>ς</w:t>
      </w:r>
      <w:r w:rsidR="003770DC" w:rsidRPr="0061319E">
        <w:t xml:space="preserve"> Ερευνώ-Δημιουργών-Καινοτομώ (Α’ Κύκλος)</w:t>
      </w:r>
    </w:p>
    <w:tbl>
      <w:tblPr>
        <w:tblStyle w:val="TableGrid1"/>
        <w:tblW w:w="9352"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7"/>
        <w:gridCol w:w="1690"/>
        <w:gridCol w:w="1544"/>
        <w:gridCol w:w="1540"/>
        <w:gridCol w:w="1601"/>
      </w:tblGrid>
      <w:tr w:rsidR="003770DC" w:rsidRPr="008B45A0" w14:paraId="5925C14E" w14:textId="77777777" w:rsidTr="00A77820">
        <w:trPr>
          <w:trHeight w:val="825"/>
          <w:jc w:val="center"/>
        </w:trPr>
        <w:tc>
          <w:tcPr>
            <w:tcW w:w="2977" w:type="dxa"/>
            <w:shd w:val="clear" w:color="auto" w:fill="800000"/>
            <w:vAlign w:val="center"/>
            <w:hideMark/>
          </w:tcPr>
          <w:p w14:paraId="0F9D8A8E" w14:textId="77777777" w:rsidR="003770DC" w:rsidRPr="00DF43D2" w:rsidRDefault="003770DC" w:rsidP="00494216">
            <w:pPr>
              <w:jc w:val="center"/>
              <w:rPr>
                <w:rFonts w:cs="Calibri"/>
                <w:b/>
                <w:bCs/>
                <w:color w:val="C00000"/>
                <w:sz w:val="16"/>
                <w:szCs w:val="16"/>
              </w:rPr>
            </w:pPr>
            <w:r w:rsidRPr="009538AB">
              <w:rPr>
                <w:rFonts w:cs="Calibri"/>
                <w:b/>
                <w:bCs/>
                <w:sz w:val="16"/>
                <w:szCs w:val="16"/>
              </w:rPr>
              <w:t>Ερευνώ-Δημιουργώ-Καινοτομώ</w:t>
            </w:r>
            <w:r>
              <w:rPr>
                <w:rFonts w:cs="Calibri"/>
                <w:b/>
                <w:bCs/>
                <w:sz w:val="16"/>
                <w:szCs w:val="16"/>
              </w:rPr>
              <w:t xml:space="preserve"> (Α’ Κύκλος)</w:t>
            </w:r>
          </w:p>
        </w:tc>
        <w:tc>
          <w:tcPr>
            <w:tcW w:w="1690" w:type="dxa"/>
            <w:shd w:val="clear" w:color="auto" w:fill="800000"/>
            <w:vAlign w:val="center"/>
            <w:hideMark/>
          </w:tcPr>
          <w:p w14:paraId="29D91199" w14:textId="77777777" w:rsidR="003770DC" w:rsidRPr="00DF43D2" w:rsidRDefault="003770DC" w:rsidP="00494216">
            <w:pPr>
              <w:jc w:val="center"/>
              <w:rPr>
                <w:rFonts w:cs="Calibri"/>
                <w:b/>
                <w:bCs/>
                <w:sz w:val="16"/>
                <w:szCs w:val="16"/>
              </w:rPr>
            </w:pPr>
            <w:r w:rsidRPr="00DF43D2">
              <w:rPr>
                <w:rFonts w:cs="Calibri"/>
                <w:b/>
                <w:bCs/>
                <w:sz w:val="16"/>
                <w:szCs w:val="16"/>
              </w:rPr>
              <w:t>Σύνολο</w:t>
            </w:r>
          </w:p>
        </w:tc>
        <w:tc>
          <w:tcPr>
            <w:tcW w:w="1544" w:type="dxa"/>
            <w:shd w:val="clear" w:color="auto" w:fill="800000"/>
            <w:vAlign w:val="center"/>
            <w:hideMark/>
          </w:tcPr>
          <w:p w14:paraId="0784F446" w14:textId="77777777" w:rsidR="003770DC" w:rsidRPr="00DF43D2" w:rsidRDefault="003770DC" w:rsidP="00494216">
            <w:pPr>
              <w:jc w:val="center"/>
              <w:rPr>
                <w:rFonts w:cs="Calibri"/>
                <w:b/>
                <w:bCs/>
                <w:sz w:val="16"/>
                <w:szCs w:val="16"/>
              </w:rPr>
            </w:pPr>
            <w:r w:rsidRPr="00DF43D2">
              <w:rPr>
                <w:rFonts w:cs="Calibri"/>
                <w:b/>
                <w:bCs/>
                <w:sz w:val="16"/>
                <w:szCs w:val="16"/>
              </w:rPr>
              <w:t>Περισσότερο Ανεπτυγμένες Περιφέρειες</w:t>
            </w:r>
          </w:p>
        </w:tc>
        <w:tc>
          <w:tcPr>
            <w:tcW w:w="1540" w:type="dxa"/>
            <w:shd w:val="clear" w:color="auto" w:fill="800000"/>
            <w:vAlign w:val="center"/>
            <w:hideMark/>
          </w:tcPr>
          <w:p w14:paraId="129BE52B" w14:textId="77777777" w:rsidR="003770DC" w:rsidRPr="00DF43D2" w:rsidRDefault="003770DC" w:rsidP="00494216">
            <w:pPr>
              <w:jc w:val="center"/>
              <w:rPr>
                <w:rFonts w:cs="Calibri"/>
                <w:b/>
                <w:bCs/>
                <w:sz w:val="16"/>
                <w:szCs w:val="16"/>
              </w:rPr>
            </w:pPr>
            <w:r w:rsidRPr="00DF43D2">
              <w:rPr>
                <w:rFonts w:cs="Calibri"/>
                <w:b/>
                <w:bCs/>
                <w:sz w:val="16"/>
                <w:szCs w:val="16"/>
              </w:rPr>
              <w:t>Περιφέρειες σε Μετάβαση</w:t>
            </w:r>
          </w:p>
        </w:tc>
        <w:tc>
          <w:tcPr>
            <w:tcW w:w="1601" w:type="dxa"/>
            <w:shd w:val="clear" w:color="auto" w:fill="800000"/>
            <w:vAlign w:val="center"/>
            <w:hideMark/>
          </w:tcPr>
          <w:p w14:paraId="01B35DE5" w14:textId="77777777" w:rsidR="003770DC" w:rsidRPr="00DF43D2" w:rsidRDefault="003770DC" w:rsidP="00494216">
            <w:pPr>
              <w:jc w:val="center"/>
              <w:rPr>
                <w:rFonts w:cs="Calibri"/>
                <w:b/>
                <w:bCs/>
                <w:sz w:val="16"/>
                <w:szCs w:val="16"/>
              </w:rPr>
            </w:pPr>
            <w:r w:rsidRPr="00DF43D2">
              <w:rPr>
                <w:rFonts w:cs="Calibri"/>
                <w:b/>
                <w:bCs/>
                <w:sz w:val="16"/>
                <w:szCs w:val="16"/>
              </w:rPr>
              <w:t>Λιγότερο Ανεπτυγμένες Περιφέρειες</w:t>
            </w:r>
          </w:p>
        </w:tc>
      </w:tr>
      <w:tr w:rsidR="003770DC" w:rsidRPr="008B45A0" w14:paraId="30854E86" w14:textId="77777777" w:rsidTr="00A77820">
        <w:trPr>
          <w:trHeight w:val="285"/>
          <w:jc w:val="center"/>
        </w:trPr>
        <w:tc>
          <w:tcPr>
            <w:tcW w:w="2977" w:type="dxa"/>
            <w:hideMark/>
          </w:tcPr>
          <w:p w14:paraId="1875A023" w14:textId="77777777" w:rsidR="003770DC" w:rsidRPr="00DF43D2" w:rsidRDefault="003770DC" w:rsidP="005F5D19">
            <w:pPr>
              <w:rPr>
                <w:rFonts w:cs="Calibri"/>
                <w:sz w:val="16"/>
                <w:szCs w:val="16"/>
              </w:rPr>
            </w:pPr>
            <w:r w:rsidRPr="00DF43D2">
              <w:rPr>
                <w:rFonts w:cs="Calibri"/>
                <w:sz w:val="16"/>
                <w:szCs w:val="16"/>
              </w:rPr>
              <w:t>Προϋπ/σμός πρόσκλησης (ΔΔ):</w:t>
            </w:r>
          </w:p>
        </w:tc>
        <w:tc>
          <w:tcPr>
            <w:tcW w:w="1690" w:type="dxa"/>
            <w:hideMark/>
          </w:tcPr>
          <w:p w14:paraId="738D1E2D" w14:textId="77777777" w:rsidR="003770DC" w:rsidRPr="0031198E" w:rsidRDefault="003770DC" w:rsidP="005F5D19">
            <w:pPr>
              <w:jc w:val="center"/>
              <w:rPr>
                <w:rFonts w:cs="Calibri"/>
                <w:b/>
                <w:bCs/>
                <w:sz w:val="16"/>
                <w:szCs w:val="16"/>
              </w:rPr>
            </w:pPr>
            <w:r w:rsidRPr="0031198E">
              <w:rPr>
                <w:b/>
                <w:sz w:val="16"/>
                <w:szCs w:val="16"/>
              </w:rPr>
              <w:t>410,000,000.00 €</w:t>
            </w:r>
          </w:p>
        </w:tc>
        <w:tc>
          <w:tcPr>
            <w:tcW w:w="1544" w:type="dxa"/>
            <w:hideMark/>
          </w:tcPr>
          <w:p w14:paraId="07CB9EC9" w14:textId="77777777" w:rsidR="003770DC" w:rsidRPr="0031198E" w:rsidRDefault="003770DC" w:rsidP="005F5D19">
            <w:pPr>
              <w:jc w:val="center"/>
              <w:rPr>
                <w:rFonts w:cs="Calibri"/>
                <w:sz w:val="16"/>
                <w:szCs w:val="16"/>
              </w:rPr>
            </w:pPr>
            <w:r w:rsidRPr="0031198E">
              <w:rPr>
                <w:sz w:val="16"/>
                <w:szCs w:val="16"/>
              </w:rPr>
              <w:t>150,000,000.00 €</w:t>
            </w:r>
          </w:p>
        </w:tc>
        <w:tc>
          <w:tcPr>
            <w:tcW w:w="1540" w:type="dxa"/>
            <w:hideMark/>
          </w:tcPr>
          <w:p w14:paraId="29973101" w14:textId="77777777" w:rsidR="003770DC" w:rsidRPr="0031198E" w:rsidRDefault="003770DC" w:rsidP="005F5D19">
            <w:pPr>
              <w:jc w:val="center"/>
              <w:rPr>
                <w:rFonts w:cs="Calibri"/>
                <w:sz w:val="16"/>
                <w:szCs w:val="16"/>
              </w:rPr>
            </w:pPr>
            <w:r w:rsidRPr="0031198E">
              <w:rPr>
                <w:sz w:val="16"/>
                <w:szCs w:val="16"/>
              </w:rPr>
              <w:t>65,000,000.00 €</w:t>
            </w:r>
          </w:p>
        </w:tc>
        <w:tc>
          <w:tcPr>
            <w:tcW w:w="1601" w:type="dxa"/>
            <w:hideMark/>
          </w:tcPr>
          <w:p w14:paraId="283FBEBE" w14:textId="77777777" w:rsidR="003770DC" w:rsidRPr="0031198E" w:rsidRDefault="003770DC" w:rsidP="005F5D19">
            <w:pPr>
              <w:jc w:val="center"/>
              <w:rPr>
                <w:rFonts w:cs="Calibri"/>
                <w:sz w:val="16"/>
                <w:szCs w:val="16"/>
              </w:rPr>
            </w:pPr>
            <w:r w:rsidRPr="0031198E">
              <w:rPr>
                <w:sz w:val="16"/>
                <w:szCs w:val="16"/>
              </w:rPr>
              <w:t>195,000,000.00 €</w:t>
            </w:r>
          </w:p>
        </w:tc>
      </w:tr>
      <w:tr w:rsidR="003770DC" w:rsidRPr="008B45A0" w14:paraId="2EADB084" w14:textId="77777777" w:rsidTr="00A77820">
        <w:trPr>
          <w:trHeight w:val="255"/>
          <w:jc w:val="center"/>
        </w:trPr>
        <w:tc>
          <w:tcPr>
            <w:tcW w:w="2977" w:type="dxa"/>
            <w:hideMark/>
          </w:tcPr>
          <w:p w14:paraId="052239CF" w14:textId="77777777" w:rsidR="003770DC" w:rsidRPr="00DF43D2" w:rsidRDefault="003770DC" w:rsidP="005F5D19">
            <w:pPr>
              <w:rPr>
                <w:rFonts w:cs="Calibri"/>
                <w:sz w:val="16"/>
                <w:szCs w:val="16"/>
              </w:rPr>
            </w:pPr>
            <w:r w:rsidRPr="00DF43D2">
              <w:rPr>
                <w:rFonts w:cs="Calibri"/>
                <w:sz w:val="16"/>
                <w:szCs w:val="16"/>
              </w:rPr>
              <w:t xml:space="preserve">Προϋπ/σμός ενταγμένων έργων (ΔΔ): </w:t>
            </w:r>
          </w:p>
        </w:tc>
        <w:tc>
          <w:tcPr>
            <w:tcW w:w="1690" w:type="dxa"/>
            <w:hideMark/>
          </w:tcPr>
          <w:p w14:paraId="0D10667C" w14:textId="77777777" w:rsidR="003770DC" w:rsidRPr="0031198E" w:rsidRDefault="003770DC" w:rsidP="005F5D19">
            <w:pPr>
              <w:jc w:val="center"/>
              <w:rPr>
                <w:rFonts w:cs="Calibri"/>
                <w:b/>
                <w:bCs/>
                <w:sz w:val="16"/>
                <w:szCs w:val="16"/>
              </w:rPr>
            </w:pPr>
            <w:r w:rsidRPr="0031198E">
              <w:rPr>
                <w:b/>
                <w:sz w:val="16"/>
                <w:szCs w:val="16"/>
              </w:rPr>
              <w:t>308,542,294.14 €</w:t>
            </w:r>
          </w:p>
        </w:tc>
        <w:tc>
          <w:tcPr>
            <w:tcW w:w="1544" w:type="dxa"/>
            <w:hideMark/>
          </w:tcPr>
          <w:p w14:paraId="493863EF" w14:textId="77777777" w:rsidR="003770DC" w:rsidRPr="0031198E" w:rsidRDefault="003770DC" w:rsidP="005F5D19">
            <w:pPr>
              <w:jc w:val="center"/>
              <w:rPr>
                <w:rFonts w:cs="Calibri"/>
                <w:sz w:val="16"/>
                <w:szCs w:val="16"/>
              </w:rPr>
            </w:pPr>
            <w:r w:rsidRPr="0031198E">
              <w:rPr>
                <w:sz w:val="16"/>
                <w:szCs w:val="16"/>
              </w:rPr>
              <w:t>106,731,283.46 €</w:t>
            </w:r>
          </w:p>
        </w:tc>
        <w:tc>
          <w:tcPr>
            <w:tcW w:w="1540" w:type="dxa"/>
            <w:hideMark/>
          </w:tcPr>
          <w:p w14:paraId="135EAD35" w14:textId="77777777" w:rsidR="003770DC" w:rsidRPr="0031198E" w:rsidRDefault="003770DC" w:rsidP="005F5D19">
            <w:pPr>
              <w:jc w:val="center"/>
              <w:rPr>
                <w:rFonts w:cs="Calibri"/>
                <w:sz w:val="16"/>
                <w:szCs w:val="16"/>
              </w:rPr>
            </w:pPr>
            <w:r w:rsidRPr="0031198E">
              <w:rPr>
                <w:sz w:val="16"/>
                <w:szCs w:val="16"/>
              </w:rPr>
              <w:t>47,215,064.04 €</w:t>
            </w:r>
          </w:p>
        </w:tc>
        <w:tc>
          <w:tcPr>
            <w:tcW w:w="1601" w:type="dxa"/>
            <w:hideMark/>
          </w:tcPr>
          <w:p w14:paraId="32277484" w14:textId="77777777" w:rsidR="003770DC" w:rsidRPr="0031198E" w:rsidRDefault="003770DC" w:rsidP="005F5D19">
            <w:pPr>
              <w:jc w:val="center"/>
              <w:rPr>
                <w:rFonts w:cs="Calibri"/>
                <w:sz w:val="16"/>
                <w:szCs w:val="16"/>
              </w:rPr>
            </w:pPr>
            <w:r w:rsidRPr="0031198E">
              <w:rPr>
                <w:sz w:val="16"/>
                <w:szCs w:val="16"/>
              </w:rPr>
              <w:t>154,595,946.64 €</w:t>
            </w:r>
          </w:p>
        </w:tc>
      </w:tr>
      <w:tr w:rsidR="00A77820" w:rsidRPr="008B45A0" w14:paraId="66F21D5A" w14:textId="77777777" w:rsidTr="00A77820">
        <w:trPr>
          <w:trHeight w:val="255"/>
          <w:jc w:val="center"/>
        </w:trPr>
        <w:tc>
          <w:tcPr>
            <w:tcW w:w="2977" w:type="dxa"/>
            <w:hideMark/>
          </w:tcPr>
          <w:p w14:paraId="58597325" w14:textId="77777777" w:rsidR="00A77820" w:rsidRPr="0051461B" w:rsidRDefault="00A77820" w:rsidP="00A77820">
            <w:r w:rsidRPr="0051461B">
              <w:t xml:space="preserve">Πληρωμές έργων (ΕΛΚΕ): </w:t>
            </w:r>
          </w:p>
        </w:tc>
        <w:tc>
          <w:tcPr>
            <w:tcW w:w="1690" w:type="dxa"/>
          </w:tcPr>
          <w:p w14:paraId="7AA33F4F" w14:textId="77777777" w:rsidR="00A77820" w:rsidRPr="00A77820" w:rsidRDefault="00A77820" w:rsidP="00A77820">
            <w:pPr>
              <w:rPr>
                <w:b/>
              </w:rPr>
            </w:pPr>
            <w:r w:rsidRPr="00A77820">
              <w:rPr>
                <w:b/>
              </w:rPr>
              <w:t>72.535.105,72 €</w:t>
            </w:r>
          </w:p>
        </w:tc>
        <w:tc>
          <w:tcPr>
            <w:tcW w:w="1544" w:type="dxa"/>
          </w:tcPr>
          <w:p w14:paraId="63C0B6FA" w14:textId="77777777" w:rsidR="00A77820" w:rsidRPr="00536430" w:rsidRDefault="00A77820" w:rsidP="00A77820">
            <w:r w:rsidRPr="00536430">
              <w:t>23.496.429,90 €</w:t>
            </w:r>
          </w:p>
        </w:tc>
        <w:tc>
          <w:tcPr>
            <w:tcW w:w="1540" w:type="dxa"/>
          </w:tcPr>
          <w:p w14:paraId="733889A1" w14:textId="77777777" w:rsidR="00A77820" w:rsidRPr="00536430" w:rsidRDefault="00A77820" w:rsidP="00A77820">
            <w:r w:rsidRPr="00536430">
              <w:t>11.165.471,29 €</w:t>
            </w:r>
          </w:p>
        </w:tc>
        <w:tc>
          <w:tcPr>
            <w:tcW w:w="1601" w:type="dxa"/>
          </w:tcPr>
          <w:p w14:paraId="5B04EC82" w14:textId="77777777" w:rsidR="00A77820" w:rsidRPr="00536430" w:rsidRDefault="00A77820" w:rsidP="00A77820">
            <w:r w:rsidRPr="00536430">
              <w:t>37.873.204,53 €</w:t>
            </w:r>
          </w:p>
        </w:tc>
      </w:tr>
      <w:tr w:rsidR="00A77820" w:rsidRPr="008B45A0" w14:paraId="2DC0EC71" w14:textId="77777777" w:rsidTr="00A77820">
        <w:trPr>
          <w:trHeight w:val="255"/>
          <w:jc w:val="center"/>
        </w:trPr>
        <w:tc>
          <w:tcPr>
            <w:tcW w:w="2977" w:type="dxa"/>
          </w:tcPr>
          <w:p w14:paraId="715CF5A3" w14:textId="77777777" w:rsidR="00A77820" w:rsidRPr="0051461B" w:rsidRDefault="00A77820" w:rsidP="00A77820">
            <w:r w:rsidRPr="0051461B">
              <w:t xml:space="preserve">Πληρωμές έργων (ΟΠΣ): </w:t>
            </w:r>
          </w:p>
        </w:tc>
        <w:tc>
          <w:tcPr>
            <w:tcW w:w="1690" w:type="dxa"/>
          </w:tcPr>
          <w:p w14:paraId="1648564B" w14:textId="77777777" w:rsidR="00A77820" w:rsidRPr="00A77820" w:rsidRDefault="00A77820" w:rsidP="00A77820">
            <w:pPr>
              <w:rPr>
                <w:b/>
              </w:rPr>
            </w:pPr>
            <w:r w:rsidRPr="00A77820">
              <w:rPr>
                <w:b/>
              </w:rPr>
              <w:t>8.194.838,88 €</w:t>
            </w:r>
          </w:p>
        </w:tc>
        <w:tc>
          <w:tcPr>
            <w:tcW w:w="1544" w:type="dxa"/>
          </w:tcPr>
          <w:p w14:paraId="70233A42" w14:textId="77777777" w:rsidR="00A77820" w:rsidRPr="00536430" w:rsidRDefault="00A77820" w:rsidP="00A77820">
            <w:r w:rsidRPr="00536430">
              <w:t>2.213.102,56 €</w:t>
            </w:r>
          </w:p>
        </w:tc>
        <w:tc>
          <w:tcPr>
            <w:tcW w:w="1540" w:type="dxa"/>
          </w:tcPr>
          <w:p w14:paraId="127EECF7" w14:textId="77777777" w:rsidR="00A77820" w:rsidRPr="00536430" w:rsidRDefault="00A77820" w:rsidP="00A77820">
            <w:r w:rsidRPr="00536430">
              <w:t>1.392.028,59 €</w:t>
            </w:r>
          </w:p>
        </w:tc>
        <w:tc>
          <w:tcPr>
            <w:tcW w:w="1601" w:type="dxa"/>
          </w:tcPr>
          <w:p w14:paraId="2A55844B" w14:textId="77777777" w:rsidR="00A77820" w:rsidRDefault="00A77820" w:rsidP="00A77820">
            <w:r w:rsidRPr="00536430">
              <w:t>4.589.707,73 €</w:t>
            </w:r>
          </w:p>
        </w:tc>
      </w:tr>
      <w:tr w:rsidR="00A77820" w:rsidRPr="008B45A0" w14:paraId="22FBBDF7" w14:textId="77777777" w:rsidTr="00A77820">
        <w:trPr>
          <w:trHeight w:val="255"/>
          <w:jc w:val="center"/>
        </w:trPr>
        <w:tc>
          <w:tcPr>
            <w:tcW w:w="2977" w:type="dxa"/>
            <w:hideMark/>
          </w:tcPr>
          <w:p w14:paraId="5D3B718F" w14:textId="77777777" w:rsidR="00A77820" w:rsidRPr="0051461B" w:rsidRDefault="00A77820" w:rsidP="00A77820">
            <w:r w:rsidRPr="0051461B">
              <w:t>Αριθμ. ενταγμένων πράξεων:</w:t>
            </w:r>
          </w:p>
        </w:tc>
        <w:tc>
          <w:tcPr>
            <w:tcW w:w="1690" w:type="dxa"/>
            <w:hideMark/>
          </w:tcPr>
          <w:p w14:paraId="4C8051DE" w14:textId="77777777" w:rsidR="00A77820" w:rsidRPr="0031198E" w:rsidRDefault="00A77820" w:rsidP="00A77820">
            <w:pPr>
              <w:jc w:val="center"/>
              <w:rPr>
                <w:rFonts w:cs="Calibri"/>
                <w:b/>
                <w:bCs/>
                <w:sz w:val="16"/>
                <w:szCs w:val="16"/>
              </w:rPr>
            </w:pPr>
            <w:r w:rsidRPr="0031198E">
              <w:rPr>
                <w:b/>
                <w:sz w:val="16"/>
                <w:szCs w:val="16"/>
              </w:rPr>
              <w:t xml:space="preserve">567 </w:t>
            </w:r>
          </w:p>
        </w:tc>
        <w:tc>
          <w:tcPr>
            <w:tcW w:w="1544" w:type="dxa"/>
            <w:hideMark/>
          </w:tcPr>
          <w:p w14:paraId="71D18018" w14:textId="77777777" w:rsidR="00A77820" w:rsidRPr="0031198E" w:rsidRDefault="00A77820" w:rsidP="00A77820">
            <w:pPr>
              <w:jc w:val="center"/>
              <w:rPr>
                <w:rFonts w:cs="Calibri"/>
                <w:sz w:val="16"/>
                <w:szCs w:val="16"/>
              </w:rPr>
            </w:pPr>
            <w:r w:rsidRPr="0031198E">
              <w:rPr>
                <w:sz w:val="16"/>
                <w:szCs w:val="16"/>
              </w:rPr>
              <w:t>294</w:t>
            </w:r>
          </w:p>
        </w:tc>
        <w:tc>
          <w:tcPr>
            <w:tcW w:w="1540" w:type="dxa"/>
            <w:hideMark/>
          </w:tcPr>
          <w:p w14:paraId="0D2C1FBE" w14:textId="77777777" w:rsidR="00A77820" w:rsidRPr="0031198E" w:rsidRDefault="00A77820" w:rsidP="00A77820">
            <w:pPr>
              <w:jc w:val="center"/>
              <w:rPr>
                <w:rFonts w:cs="Calibri"/>
                <w:sz w:val="16"/>
                <w:szCs w:val="16"/>
              </w:rPr>
            </w:pPr>
            <w:r w:rsidRPr="0031198E">
              <w:rPr>
                <w:sz w:val="16"/>
                <w:szCs w:val="16"/>
              </w:rPr>
              <w:t>184</w:t>
            </w:r>
          </w:p>
        </w:tc>
        <w:tc>
          <w:tcPr>
            <w:tcW w:w="1601" w:type="dxa"/>
            <w:hideMark/>
          </w:tcPr>
          <w:p w14:paraId="70CA7BC9" w14:textId="77777777" w:rsidR="00A77820" w:rsidRPr="0031198E" w:rsidRDefault="00A77820" w:rsidP="00A77820">
            <w:pPr>
              <w:jc w:val="center"/>
              <w:rPr>
                <w:rFonts w:cs="Calibri"/>
                <w:sz w:val="16"/>
                <w:szCs w:val="16"/>
              </w:rPr>
            </w:pPr>
            <w:r w:rsidRPr="0031198E">
              <w:rPr>
                <w:sz w:val="16"/>
                <w:szCs w:val="16"/>
              </w:rPr>
              <w:t>389</w:t>
            </w:r>
          </w:p>
        </w:tc>
      </w:tr>
      <w:tr w:rsidR="00A77820" w:rsidRPr="008B45A0" w14:paraId="79CB201B" w14:textId="77777777" w:rsidTr="00A77820">
        <w:trPr>
          <w:trHeight w:val="255"/>
          <w:jc w:val="center"/>
        </w:trPr>
        <w:tc>
          <w:tcPr>
            <w:tcW w:w="2977" w:type="dxa"/>
            <w:hideMark/>
          </w:tcPr>
          <w:p w14:paraId="2EB36E98" w14:textId="77777777" w:rsidR="00A77820" w:rsidRDefault="00A77820" w:rsidP="00A77820">
            <w:r w:rsidRPr="0051461B">
              <w:t>Αριθμ. Συμμετοχών:</w:t>
            </w:r>
          </w:p>
        </w:tc>
        <w:tc>
          <w:tcPr>
            <w:tcW w:w="1690" w:type="dxa"/>
            <w:hideMark/>
          </w:tcPr>
          <w:p w14:paraId="34A68A19" w14:textId="77777777" w:rsidR="00A77820" w:rsidRPr="0031198E" w:rsidRDefault="00A77820" w:rsidP="00A77820">
            <w:pPr>
              <w:jc w:val="center"/>
              <w:rPr>
                <w:rFonts w:cs="Calibri"/>
                <w:b/>
                <w:bCs/>
                <w:sz w:val="16"/>
                <w:szCs w:val="16"/>
              </w:rPr>
            </w:pPr>
            <w:r w:rsidRPr="0031198E">
              <w:rPr>
                <w:b/>
                <w:sz w:val="16"/>
                <w:szCs w:val="16"/>
              </w:rPr>
              <w:t xml:space="preserve">1,808 </w:t>
            </w:r>
          </w:p>
        </w:tc>
        <w:tc>
          <w:tcPr>
            <w:tcW w:w="1544" w:type="dxa"/>
            <w:hideMark/>
          </w:tcPr>
          <w:p w14:paraId="740CA27E" w14:textId="77777777" w:rsidR="00A77820" w:rsidRPr="00ED30D5" w:rsidRDefault="00A77820" w:rsidP="00A77820">
            <w:pPr>
              <w:jc w:val="center"/>
              <w:rPr>
                <w:rFonts w:cs="Calibri"/>
                <w:sz w:val="16"/>
                <w:szCs w:val="16"/>
              </w:rPr>
            </w:pPr>
            <w:r w:rsidRPr="00ED30D5">
              <w:rPr>
                <w:sz w:val="16"/>
                <w:szCs w:val="16"/>
              </w:rPr>
              <w:t>602</w:t>
            </w:r>
          </w:p>
        </w:tc>
        <w:tc>
          <w:tcPr>
            <w:tcW w:w="1540" w:type="dxa"/>
            <w:hideMark/>
          </w:tcPr>
          <w:p w14:paraId="23C2AB92" w14:textId="77777777" w:rsidR="00A77820" w:rsidRPr="00ED30D5" w:rsidRDefault="00A77820" w:rsidP="00A77820">
            <w:pPr>
              <w:jc w:val="center"/>
              <w:rPr>
                <w:rFonts w:cs="Calibri"/>
                <w:sz w:val="16"/>
                <w:szCs w:val="16"/>
              </w:rPr>
            </w:pPr>
            <w:r w:rsidRPr="00ED30D5">
              <w:rPr>
                <w:sz w:val="16"/>
                <w:szCs w:val="16"/>
              </w:rPr>
              <w:t>295</w:t>
            </w:r>
          </w:p>
        </w:tc>
        <w:tc>
          <w:tcPr>
            <w:tcW w:w="1601" w:type="dxa"/>
            <w:hideMark/>
          </w:tcPr>
          <w:p w14:paraId="7E3CB3D0" w14:textId="77777777" w:rsidR="00A77820" w:rsidRPr="00ED30D5" w:rsidRDefault="00A77820" w:rsidP="00A77820">
            <w:pPr>
              <w:jc w:val="center"/>
              <w:rPr>
                <w:rFonts w:cs="Calibri"/>
                <w:sz w:val="16"/>
                <w:szCs w:val="16"/>
              </w:rPr>
            </w:pPr>
            <w:r w:rsidRPr="00ED30D5">
              <w:rPr>
                <w:sz w:val="16"/>
                <w:szCs w:val="16"/>
              </w:rPr>
              <w:t>911</w:t>
            </w:r>
          </w:p>
        </w:tc>
      </w:tr>
    </w:tbl>
    <w:p w14:paraId="6C9EDDCE" w14:textId="77777777" w:rsidR="003770DC" w:rsidRPr="0061319E" w:rsidRDefault="00ED6AB2" w:rsidP="00ED6AB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A77820">
        <w:rPr>
          <w:noProof/>
        </w:rPr>
        <w:t>12</w:t>
      </w:r>
      <w:r w:rsidR="00C80E86" w:rsidRPr="00C80E86">
        <w:rPr>
          <w:noProof/>
        </w:rPr>
        <w:t>:</w:t>
      </w:r>
      <w:r>
        <w:t xml:space="preserve"> </w:t>
      </w:r>
      <w:r w:rsidR="003770DC" w:rsidRPr="0061319E">
        <w:t xml:space="preserve">Ποσοστιαία κατανομή εντάξεων και πληρωμών (έως 31.12.2018) δράσεων που υποβλήθηκαν στο πλαίσιο </w:t>
      </w:r>
      <w:r w:rsidR="00A77820">
        <w:t>της δράσης</w:t>
      </w:r>
      <w:r w:rsidR="003770DC" w:rsidRPr="0061319E">
        <w:t xml:space="preserve"> Ερευνώ-Δημιουργώ-Καινοτομώ (Α’ Κύκλος)</w:t>
      </w:r>
    </w:p>
    <w:tbl>
      <w:tblPr>
        <w:tblStyle w:val="TableGrid1"/>
        <w:tblW w:w="944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804"/>
        <w:gridCol w:w="1522"/>
        <w:gridCol w:w="1522"/>
        <w:gridCol w:w="1594"/>
      </w:tblGrid>
      <w:tr w:rsidR="003770DC" w:rsidRPr="008B45A0" w14:paraId="0A8463D1" w14:textId="77777777" w:rsidTr="00A77820">
        <w:trPr>
          <w:trHeight w:val="510"/>
        </w:trPr>
        <w:tc>
          <w:tcPr>
            <w:tcW w:w="4804" w:type="dxa"/>
            <w:shd w:val="clear" w:color="auto" w:fill="800000"/>
            <w:vAlign w:val="center"/>
            <w:hideMark/>
          </w:tcPr>
          <w:p w14:paraId="25B00A98" w14:textId="77777777" w:rsidR="003770DC" w:rsidRPr="00DF43D2" w:rsidRDefault="003770DC" w:rsidP="00494216">
            <w:pPr>
              <w:jc w:val="center"/>
              <w:rPr>
                <w:rFonts w:cs="Calibri"/>
                <w:b/>
                <w:bCs/>
                <w:color w:val="C00000"/>
                <w:sz w:val="16"/>
                <w:szCs w:val="16"/>
              </w:rPr>
            </w:pPr>
            <w:r w:rsidRPr="009538AB">
              <w:rPr>
                <w:rFonts w:cs="Calibri"/>
                <w:b/>
                <w:bCs/>
                <w:sz w:val="16"/>
                <w:szCs w:val="16"/>
              </w:rPr>
              <w:t>Ερευνώ-Δημιουργώ-Καινοτομώ</w:t>
            </w:r>
            <w:r>
              <w:rPr>
                <w:rFonts w:cs="Calibri"/>
                <w:b/>
                <w:bCs/>
                <w:sz w:val="16"/>
                <w:szCs w:val="16"/>
              </w:rPr>
              <w:t xml:space="preserve"> (Α’ Κύκλος)</w:t>
            </w:r>
          </w:p>
        </w:tc>
        <w:tc>
          <w:tcPr>
            <w:tcW w:w="1522" w:type="dxa"/>
            <w:shd w:val="clear" w:color="auto" w:fill="800000"/>
            <w:vAlign w:val="center"/>
            <w:hideMark/>
          </w:tcPr>
          <w:p w14:paraId="6D9337AB" w14:textId="77777777" w:rsidR="003770DC" w:rsidRPr="00DF43D2" w:rsidRDefault="003770DC" w:rsidP="00494216">
            <w:pPr>
              <w:jc w:val="center"/>
              <w:rPr>
                <w:rFonts w:cs="Calibri"/>
                <w:b/>
                <w:bCs/>
                <w:sz w:val="16"/>
                <w:szCs w:val="16"/>
              </w:rPr>
            </w:pPr>
            <w:r w:rsidRPr="00DF43D2">
              <w:rPr>
                <w:rFonts w:cs="Calibri"/>
                <w:b/>
                <w:bCs/>
                <w:sz w:val="16"/>
                <w:szCs w:val="16"/>
              </w:rPr>
              <w:t>Περισσότερο Ανεπτυγμένες Περιφέρειες</w:t>
            </w:r>
          </w:p>
        </w:tc>
        <w:tc>
          <w:tcPr>
            <w:tcW w:w="1522" w:type="dxa"/>
            <w:shd w:val="clear" w:color="auto" w:fill="800000"/>
            <w:vAlign w:val="center"/>
            <w:hideMark/>
          </w:tcPr>
          <w:p w14:paraId="43CB7BC7" w14:textId="77777777" w:rsidR="003770DC" w:rsidRPr="00DF43D2" w:rsidRDefault="003770DC" w:rsidP="00494216">
            <w:pPr>
              <w:jc w:val="center"/>
              <w:rPr>
                <w:rFonts w:cs="Calibri"/>
                <w:b/>
                <w:bCs/>
                <w:sz w:val="16"/>
                <w:szCs w:val="16"/>
              </w:rPr>
            </w:pPr>
            <w:r w:rsidRPr="00DF43D2">
              <w:rPr>
                <w:rFonts w:cs="Calibri"/>
                <w:b/>
                <w:bCs/>
                <w:sz w:val="16"/>
                <w:szCs w:val="16"/>
              </w:rPr>
              <w:t>Περιφέρειες σε Μετάβαση</w:t>
            </w:r>
          </w:p>
        </w:tc>
        <w:tc>
          <w:tcPr>
            <w:tcW w:w="1594" w:type="dxa"/>
            <w:shd w:val="clear" w:color="auto" w:fill="800000"/>
            <w:vAlign w:val="center"/>
            <w:hideMark/>
          </w:tcPr>
          <w:p w14:paraId="7058676B" w14:textId="77777777" w:rsidR="003770DC" w:rsidRPr="00DF43D2" w:rsidRDefault="003770DC" w:rsidP="00494216">
            <w:pPr>
              <w:jc w:val="center"/>
              <w:rPr>
                <w:rFonts w:cs="Calibri"/>
                <w:b/>
                <w:bCs/>
                <w:sz w:val="16"/>
                <w:szCs w:val="16"/>
              </w:rPr>
            </w:pPr>
            <w:r w:rsidRPr="00DF43D2">
              <w:rPr>
                <w:rFonts w:cs="Calibri"/>
                <w:b/>
                <w:bCs/>
                <w:sz w:val="16"/>
                <w:szCs w:val="16"/>
              </w:rPr>
              <w:t>Λιγότερο Ανεπτυγμένες Περιφέρειες</w:t>
            </w:r>
          </w:p>
        </w:tc>
      </w:tr>
      <w:tr w:rsidR="00A77820" w:rsidRPr="008B45A0" w14:paraId="45B656A3" w14:textId="77777777" w:rsidTr="00D22350">
        <w:trPr>
          <w:trHeight w:val="645"/>
        </w:trPr>
        <w:tc>
          <w:tcPr>
            <w:tcW w:w="4804" w:type="dxa"/>
            <w:hideMark/>
          </w:tcPr>
          <w:p w14:paraId="13F60ACA" w14:textId="77777777" w:rsidR="00A77820" w:rsidRPr="005C6F03" w:rsidRDefault="00A77820" w:rsidP="00A77820">
            <w:r w:rsidRPr="005C6F03">
              <w:t>Ποσοστιαία κατανομή του προϋπ/σμού (ΔΔ) Πρόσκλησης ανά κατηγορία Περιφερειών</w:t>
            </w:r>
          </w:p>
        </w:tc>
        <w:tc>
          <w:tcPr>
            <w:tcW w:w="1522" w:type="dxa"/>
            <w:vAlign w:val="center"/>
            <w:hideMark/>
          </w:tcPr>
          <w:p w14:paraId="6108B442" w14:textId="77777777" w:rsidR="00A77820" w:rsidRPr="00726872" w:rsidRDefault="00A77820" w:rsidP="00D22350">
            <w:pPr>
              <w:jc w:val="center"/>
            </w:pPr>
            <w:r w:rsidRPr="00726872">
              <w:t>36,59%</w:t>
            </w:r>
          </w:p>
        </w:tc>
        <w:tc>
          <w:tcPr>
            <w:tcW w:w="1522" w:type="dxa"/>
            <w:vAlign w:val="center"/>
            <w:hideMark/>
          </w:tcPr>
          <w:p w14:paraId="25F82FC1" w14:textId="77777777" w:rsidR="00A77820" w:rsidRPr="00726872" w:rsidRDefault="00A77820" w:rsidP="00D22350">
            <w:pPr>
              <w:jc w:val="center"/>
            </w:pPr>
            <w:r w:rsidRPr="00726872">
              <w:t>15,85%</w:t>
            </w:r>
          </w:p>
        </w:tc>
        <w:tc>
          <w:tcPr>
            <w:tcW w:w="1594" w:type="dxa"/>
            <w:vAlign w:val="center"/>
            <w:hideMark/>
          </w:tcPr>
          <w:p w14:paraId="3D4CC88B" w14:textId="77777777" w:rsidR="00A77820" w:rsidRPr="00726872" w:rsidRDefault="00A77820" w:rsidP="00D22350">
            <w:pPr>
              <w:jc w:val="center"/>
            </w:pPr>
            <w:r w:rsidRPr="00726872">
              <w:t>47,56%</w:t>
            </w:r>
          </w:p>
        </w:tc>
      </w:tr>
      <w:tr w:rsidR="00A77820" w:rsidRPr="008B45A0" w14:paraId="62E48B9A" w14:textId="77777777" w:rsidTr="00D22350">
        <w:trPr>
          <w:trHeight w:val="510"/>
        </w:trPr>
        <w:tc>
          <w:tcPr>
            <w:tcW w:w="4804" w:type="dxa"/>
            <w:hideMark/>
          </w:tcPr>
          <w:p w14:paraId="7F267265" w14:textId="77777777" w:rsidR="00A77820" w:rsidRPr="005C6F03" w:rsidRDefault="00A77820" w:rsidP="00A77820">
            <w:r w:rsidRPr="005C6F03">
              <w:t>Ποσοστιαία κατανομή του προϋπ/σμού (ΔΔ) ενταγμένων έργων ανά κατηγορία Περιφερειών</w:t>
            </w:r>
          </w:p>
        </w:tc>
        <w:tc>
          <w:tcPr>
            <w:tcW w:w="1522" w:type="dxa"/>
            <w:vAlign w:val="center"/>
            <w:hideMark/>
          </w:tcPr>
          <w:p w14:paraId="00FF7BF7" w14:textId="77777777" w:rsidR="00A77820" w:rsidRPr="00726872" w:rsidRDefault="00A77820" w:rsidP="00D22350">
            <w:pPr>
              <w:jc w:val="center"/>
            </w:pPr>
            <w:r w:rsidRPr="00726872">
              <w:t>34,59%</w:t>
            </w:r>
          </w:p>
        </w:tc>
        <w:tc>
          <w:tcPr>
            <w:tcW w:w="1522" w:type="dxa"/>
            <w:vAlign w:val="center"/>
            <w:hideMark/>
          </w:tcPr>
          <w:p w14:paraId="64435C2A" w14:textId="77777777" w:rsidR="00A77820" w:rsidRPr="00726872" w:rsidRDefault="00A77820" w:rsidP="00D22350">
            <w:pPr>
              <w:jc w:val="center"/>
            </w:pPr>
            <w:r w:rsidRPr="00726872">
              <w:t>15,30%</w:t>
            </w:r>
          </w:p>
        </w:tc>
        <w:tc>
          <w:tcPr>
            <w:tcW w:w="1594" w:type="dxa"/>
            <w:vAlign w:val="center"/>
            <w:hideMark/>
          </w:tcPr>
          <w:p w14:paraId="0733A243" w14:textId="77777777" w:rsidR="00A77820" w:rsidRPr="00726872" w:rsidRDefault="00A77820" w:rsidP="00D22350">
            <w:pPr>
              <w:jc w:val="center"/>
            </w:pPr>
            <w:r w:rsidRPr="00726872">
              <w:t>50,11%</w:t>
            </w:r>
          </w:p>
        </w:tc>
      </w:tr>
      <w:tr w:rsidR="00A77820" w:rsidRPr="008B45A0" w14:paraId="4EF83786" w14:textId="77777777" w:rsidTr="00D22350">
        <w:trPr>
          <w:trHeight w:val="690"/>
        </w:trPr>
        <w:tc>
          <w:tcPr>
            <w:tcW w:w="4804" w:type="dxa"/>
            <w:hideMark/>
          </w:tcPr>
          <w:p w14:paraId="74CC73AD" w14:textId="77777777" w:rsidR="00A77820" w:rsidRPr="005C6F03" w:rsidRDefault="00A77820" w:rsidP="00A77820">
            <w:r w:rsidRPr="005C6F03">
              <w:t>Ποσοστιαία κατανομή πληρωμών ΕΛΚΕ ανά κατηγορία Περιφερειών</w:t>
            </w:r>
          </w:p>
        </w:tc>
        <w:tc>
          <w:tcPr>
            <w:tcW w:w="1522" w:type="dxa"/>
            <w:vAlign w:val="center"/>
            <w:hideMark/>
          </w:tcPr>
          <w:p w14:paraId="627EA0CB" w14:textId="77777777" w:rsidR="00A77820" w:rsidRPr="00726872" w:rsidRDefault="00A77820" w:rsidP="00D22350">
            <w:pPr>
              <w:jc w:val="center"/>
            </w:pPr>
            <w:r w:rsidRPr="00726872">
              <w:t>32,39%</w:t>
            </w:r>
          </w:p>
        </w:tc>
        <w:tc>
          <w:tcPr>
            <w:tcW w:w="1522" w:type="dxa"/>
            <w:vAlign w:val="center"/>
            <w:hideMark/>
          </w:tcPr>
          <w:p w14:paraId="2EEB69C8" w14:textId="77777777" w:rsidR="00A77820" w:rsidRPr="00726872" w:rsidRDefault="00A77820" w:rsidP="00D22350">
            <w:pPr>
              <w:jc w:val="center"/>
            </w:pPr>
            <w:r w:rsidRPr="00726872">
              <w:t>15,39%</w:t>
            </w:r>
          </w:p>
        </w:tc>
        <w:tc>
          <w:tcPr>
            <w:tcW w:w="1594" w:type="dxa"/>
            <w:vAlign w:val="center"/>
            <w:hideMark/>
          </w:tcPr>
          <w:p w14:paraId="1845F5ED" w14:textId="77777777" w:rsidR="00A77820" w:rsidRPr="00726872" w:rsidRDefault="00A77820" w:rsidP="00D22350">
            <w:pPr>
              <w:jc w:val="center"/>
            </w:pPr>
            <w:r w:rsidRPr="00726872">
              <w:t>52,21%</w:t>
            </w:r>
          </w:p>
        </w:tc>
      </w:tr>
      <w:tr w:rsidR="00A77820" w:rsidRPr="008B45A0" w14:paraId="1406A068" w14:textId="77777777" w:rsidTr="00D22350">
        <w:trPr>
          <w:trHeight w:val="510"/>
        </w:trPr>
        <w:tc>
          <w:tcPr>
            <w:tcW w:w="4804" w:type="dxa"/>
            <w:hideMark/>
          </w:tcPr>
          <w:p w14:paraId="2376F2E3" w14:textId="77777777" w:rsidR="00A77820" w:rsidRPr="005C6F03" w:rsidRDefault="00A77820" w:rsidP="00A77820">
            <w:r w:rsidRPr="005C6F03">
              <w:t>Ποσοστιαία κατανομή καταχωρημένων πληρωμών στο ΟΠΣ ανά κατηγορία Περιφερειών</w:t>
            </w:r>
          </w:p>
        </w:tc>
        <w:tc>
          <w:tcPr>
            <w:tcW w:w="1522" w:type="dxa"/>
            <w:vAlign w:val="center"/>
            <w:hideMark/>
          </w:tcPr>
          <w:p w14:paraId="2550B4D3" w14:textId="77777777" w:rsidR="00A77820" w:rsidRPr="00726872" w:rsidRDefault="00A77820" w:rsidP="00D22350">
            <w:pPr>
              <w:jc w:val="center"/>
            </w:pPr>
            <w:r w:rsidRPr="00726872">
              <w:t>27,01%</w:t>
            </w:r>
          </w:p>
        </w:tc>
        <w:tc>
          <w:tcPr>
            <w:tcW w:w="1522" w:type="dxa"/>
            <w:vAlign w:val="center"/>
            <w:hideMark/>
          </w:tcPr>
          <w:p w14:paraId="2435CBA2" w14:textId="77777777" w:rsidR="00A77820" w:rsidRPr="00726872" w:rsidRDefault="00A77820" w:rsidP="00D22350">
            <w:pPr>
              <w:jc w:val="center"/>
            </w:pPr>
            <w:r w:rsidRPr="00726872">
              <w:t>16,99%</w:t>
            </w:r>
          </w:p>
        </w:tc>
        <w:tc>
          <w:tcPr>
            <w:tcW w:w="1594" w:type="dxa"/>
            <w:vAlign w:val="center"/>
            <w:hideMark/>
          </w:tcPr>
          <w:p w14:paraId="3ED1DC8B" w14:textId="77777777" w:rsidR="00A77820" w:rsidRDefault="00A77820" w:rsidP="00D22350">
            <w:pPr>
              <w:jc w:val="center"/>
            </w:pPr>
            <w:r w:rsidRPr="00726872">
              <w:t>56,01%</w:t>
            </w:r>
          </w:p>
        </w:tc>
      </w:tr>
    </w:tbl>
    <w:p w14:paraId="5D447C70" w14:textId="77777777" w:rsidR="00FF49F6" w:rsidRDefault="00FF49F6" w:rsidP="00FF49F6">
      <w:pPr>
        <w:pStyle w:val="Caption"/>
      </w:pPr>
    </w:p>
    <w:p w14:paraId="2766B98B" w14:textId="77777777" w:rsidR="00A3379D" w:rsidRDefault="00A3379D" w:rsidP="00FF49F6">
      <w:pPr>
        <w:pStyle w:val="Caption"/>
      </w:pPr>
      <w:r>
        <w:t>Π</w:t>
      </w:r>
      <w:r w:rsidR="00FF49F6">
        <w:t xml:space="preserve">ίνακας 3-13: Περιφερειακή κατανομή και συσχετισμός εντάξεων-πληρωμών </w:t>
      </w:r>
      <w:r w:rsidR="00FF49F6" w:rsidRPr="0061319E">
        <w:t xml:space="preserve">στο πλαίσιο </w:t>
      </w:r>
      <w:r w:rsidR="00FF49F6">
        <w:t>της δράσης</w:t>
      </w:r>
      <w:r w:rsidR="00FF49F6" w:rsidRPr="0061319E">
        <w:t xml:space="preserve"> Ερευνώ-Δημιουργώ-Καινοτομώ (Α’ Κύκλος</w:t>
      </w:r>
    </w:p>
    <w:tbl>
      <w:tblPr>
        <w:tblStyle w:val="TableGrid1"/>
        <w:tblW w:w="960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96"/>
        <w:gridCol w:w="2006"/>
        <w:gridCol w:w="1541"/>
        <w:gridCol w:w="965"/>
        <w:gridCol w:w="1727"/>
        <w:gridCol w:w="970"/>
      </w:tblGrid>
      <w:tr w:rsidR="00FF49F6" w:rsidRPr="00DF43D2" w14:paraId="41B8732D" w14:textId="77777777" w:rsidTr="00FF49F6">
        <w:trPr>
          <w:trHeight w:val="825"/>
          <w:tblHeader/>
          <w:jc w:val="center"/>
        </w:trPr>
        <w:tc>
          <w:tcPr>
            <w:tcW w:w="2396" w:type="dxa"/>
            <w:shd w:val="clear" w:color="auto" w:fill="800000"/>
            <w:vAlign w:val="center"/>
          </w:tcPr>
          <w:p w14:paraId="2AE8CFB5" w14:textId="77777777" w:rsidR="00FF49F6" w:rsidRPr="00A3379D" w:rsidRDefault="00FF49F6" w:rsidP="00FF49F6">
            <w:pPr>
              <w:jc w:val="center"/>
              <w:rPr>
                <w:b/>
                <w:sz w:val="16"/>
                <w:szCs w:val="16"/>
              </w:rPr>
            </w:pPr>
            <w:r>
              <w:rPr>
                <w:b/>
                <w:sz w:val="16"/>
                <w:szCs w:val="16"/>
              </w:rPr>
              <w:t>Περιφέρεια</w:t>
            </w:r>
          </w:p>
        </w:tc>
        <w:tc>
          <w:tcPr>
            <w:tcW w:w="2006" w:type="dxa"/>
            <w:shd w:val="clear" w:color="auto" w:fill="800000"/>
            <w:vAlign w:val="center"/>
          </w:tcPr>
          <w:p w14:paraId="40750DCC" w14:textId="77777777" w:rsidR="00FF49F6" w:rsidRPr="00A3379D" w:rsidRDefault="00FF49F6" w:rsidP="00FF49F6">
            <w:pPr>
              <w:jc w:val="center"/>
              <w:rPr>
                <w:rFonts w:cs="Calibri"/>
                <w:b/>
                <w:bCs/>
                <w:color w:val="C00000"/>
                <w:sz w:val="16"/>
                <w:szCs w:val="16"/>
              </w:rPr>
            </w:pPr>
            <w:r w:rsidRPr="00A3379D">
              <w:rPr>
                <w:rFonts w:cs="Calibri"/>
                <w:b/>
                <w:bCs/>
                <w:sz w:val="16"/>
                <w:szCs w:val="16"/>
              </w:rPr>
              <w:t>Εντάξεις (Δ.Δ)</w:t>
            </w:r>
          </w:p>
        </w:tc>
        <w:tc>
          <w:tcPr>
            <w:tcW w:w="1541" w:type="dxa"/>
            <w:shd w:val="clear" w:color="auto" w:fill="800000"/>
            <w:vAlign w:val="center"/>
            <w:hideMark/>
          </w:tcPr>
          <w:p w14:paraId="659F2A0B" w14:textId="77777777" w:rsidR="00FF49F6" w:rsidRPr="00A3379D" w:rsidRDefault="00FF49F6" w:rsidP="00FF49F6">
            <w:pPr>
              <w:jc w:val="center"/>
              <w:rPr>
                <w:b/>
                <w:sz w:val="16"/>
                <w:szCs w:val="16"/>
              </w:rPr>
            </w:pPr>
            <w:r w:rsidRPr="00A3379D">
              <w:rPr>
                <w:b/>
                <w:sz w:val="16"/>
                <w:szCs w:val="16"/>
              </w:rPr>
              <w:t>Πληρωμές Ε.Λ. έως 31/12/2018</w:t>
            </w:r>
          </w:p>
        </w:tc>
        <w:tc>
          <w:tcPr>
            <w:tcW w:w="965" w:type="dxa"/>
            <w:shd w:val="clear" w:color="auto" w:fill="800000"/>
            <w:vAlign w:val="center"/>
            <w:hideMark/>
          </w:tcPr>
          <w:p w14:paraId="261CC728" w14:textId="77777777" w:rsidR="00FF49F6" w:rsidRPr="00A3379D" w:rsidRDefault="00FF49F6" w:rsidP="00FF49F6">
            <w:pPr>
              <w:jc w:val="center"/>
              <w:rPr>
                <w:b/>
                <w:sz w:val="16"/>
                <w:szCs w:val="16"/>
              </w:rPr>
            </w:pPr>
            <w:r w:rsidRPr="00A3379D">
              <w:rPr>
                <w:b/>
                <w:sz w:val="16"/>
                <w:szCs w:val="16"/>
              </w:rPr>
              <w:t>%</w:t>
            </w:r>
          </w:p>
        </w:tc>
        <w:tc>
          <w:tcPr>
            <w:tcW w:w="1727" w:type="dxa"/>
            <w:shd w:val="clear" w:color="auto" w:fill="800000"/>
            <w:vAlign w:val="center"/>
            <w:hideMark/>
          </w:tcPr>
          <w:p w14:paraId="3911173C" w14:textId="77777777" w:rsidR="00FF49F6" w:rsidRPr="00A3379D" w:rsidRDefault="00FF49F6" w:rsidP="00FF49F6">
            <w:pPr>
              <w:jc w:val="center"/>
              <w:rPr>
                <w:b/>
                <w:sz w:val="16"/>
                <w:szCs w:val="16"/>
              </w:rPr>
            </w:pPr>
            <w:r w:rsidRPr="00A3379D">
              <w:rPr>
                <w:b/>
                <w:sz w:val="16"/>
                <w:szCs w:val="16"/>
              </w:rPr>
              <w:t>Πληρωμές ΟΠΣ έως 31/12/2018</w:t>
            </w:r>
          </w:p>
        </w:tc>
        <w:tc>
          <w:tcPr>
            <w:tcW w:w="970" w:type="dxa"/>
            <w:shd w:val="clear" w:color="auto" w:fill="800000"/>
            <w:vAlign w:val="center"/>
            <w:hideMark/>
          </w:tcPr>
          <w:p w14:paraId="5FB51A22" w14:textId="77777777" w:rsidR="00FF49F6" w:rsidRPr="00A3379D" w:rsidRDefault="00FF49F6" w:rsidP="00FF49F6">
            <w:pPr>
              <w:jc w:val="center"/>
              <w:rPr>
                <w:b/>
                <w:sz w:val="16"/>
                <w:szCs w:val="16"/>
              </w:rPr>
            </w:pPr>
            <w:r w:rsidRPr="00A3379D">
              <w:rPr>
                <w:b/>
                <w:sz w:val="16"/>
                <w:szCs w:val="16"/>
              </w:rPr>
              <w:t>%</w:t>
            </w:r>
          </w:p>
        </w:tc>
      </w:tr>
      <w:tr w:rsidR="00FF49F6" w:rsidRPr="0031198E" w14:paraId="3ABA9D0C" w14:textId="77777777" w:rsidTr="00FF49F6">
        <w:trPr>
          <w:trHeight w:val="285"/>
          <w:jc w:val="center"/>
        </w:trPr>
        <w:tc>
          <w:tcPr>
            <w:tcW w:w="2396" w:type="dxa"/>
            <w:vAlign w:val="center"/>
          </w:tcPr>
          <w:p w14:paraId="5C27639B" w14:textId="77777777" w:rsidR="00FF49F6" w:rsidRPr="00A15197" w:rsidRDefault="00FF49F6" w:rsidP="00FF49F6">
            <w:r w:rsidRPr="00A15197">
              <w:t>Ανατολικής Μακεδονίας και Θράκης</w:t>
            </w:r>
          </w:p>
        </w:tc>
        <w:tc>
          <w:tcPr>
            <w:tcW w:w="2006" w:type="dxa"/>
            <w:vAlign w:val="center"/>
          </w:tcPr>
          <w:p w14:paraId="6E251E7A" w14:textId="77777777" w:rsidR="00FF49F6" w:rsidRPr="007C765D" w:rsidRDefault="00FF49F6" w:rsidP="00D22350">
            <w:pPr>
              <w:jc w:val="center"/>
            </w:pPr>
            <w:r w:rsidRPr="007C765D">
              <w:t>13.809.421,57 €</w:t>
            </w:r>
          </w:p>
        </w:tc>
        <w:tc>
          <w:tcPr>
            <w:tcW w:w="1541" w:type="dxa"/>
            <w:vAlign w:val="center"/>
          </w:tcPr>
          <w:p w14:paraId="210F211D" w14:textId="77777777" w:rsidR="00FF49F6" w:rsidRPr="007C765D" w:rsidRDefault="00FF49F6" w:rsidP="00D22350">
            <w:pPr>
              <w:jc w:val="center"/>
            </w:pPr>
            <w:r w:rsidRPr="007C765D">
              <w:t>3.095.448,19 €</w:t>
            </w:r>
          </w:p>
        </w:tc>
        <w:tc>
          <w:tcPr>
            <w:tcW w:w="965" w:type="dxa"/>
            <w:vAlign w:val="center"/>
          </w:tcPr>
          <w:p w14:paraId="5C761380" w14:textId="77777777" w:rsidR="00FF49F6" w:rsidRPr="007C765D" w:rsidRDefault="00FF49F6" w:rsidP="00D22350">
            <w:pPr>
              <w:jc w:val="center"/>
            </w:pPr>
            <w:r w:rsidRPr="007C765D">
              <w:t>22,4%</w:t>
            </w:r>
          </w:p>
        </w:tc>
        <w:tc>
          <w:tcPr>
            <w:tcW w:w="1727" w:type="dxa"/>
            <w:vAlign w:val="center"/>
          </w:tcPr>
          <w:p w14:paraId="38D6F7A8" w14:textId="77777777" w:rsidR="00FF49F6" w:rsidRPr="007C765D" w:rsidRDefault="00FF49F6" w:rsidP="00D22350">
            <w:pPr>
              <w:jc w:val="center"/>
            </w:pPr>
            <w:r w:rsidRPr="007C765D">
              <w:t>591.114,00 €</w:t>
            </w:r>
          </w:p>
        </w:tc>
        <w:tc>
          <w:tcPr>
            <w:tcW w:w="970" w:type="dxa"/>
            <w:vAlign w:val="center"/>
          </w:tcPr>
          <w:p w14:paraId="29E7BFEC" w14:textId="77777777" w:rsidR="00FF49F6" w:rsidRPr="007C765D" w:rsidRDefault="00FF49F6" w:rsidP="00D22350">
            <w:pPr>
              <w:jc w:val="center"/>
            </w:pPr>
            <w:r w:rsidRPr="007C765D">
              <w:t>4,3%</w:t>
            </w:r>
          </w:p>
        </w:tc>
      </w:tr>
      <w:tr w:rsidR="00FF49F6" w:rsidRPr="0031198E" w14:paraId="42778314" w14:textId="77777777" w:rsidTr="00FF49F6">
        <w:trPr>
          <w:trHeight w:val="255"/>
          <w:jc w:val="center"/>
        </w:trPr>
        <w:tc>
          <w:tcPr>
            <w:tcW w:w="2396" w:type="dxa"/>
            <w:vAlign w:val="center"/>
          </w:tcPr>
          <w:p w14:paraId="2427A6CF" w14:textId="77777777" w:rsidR="00FF49F6" w:rsidRPr="00A15197" w:rsidRDefault="00FF49F6" w:rsidP="00FF49F6">
            <w:r w:rsidRPr="00A15197">
              <w:t>Αττικής</w:t>
            </w:r>
          </w:p>
        </w:tc>
        <w:tc>
          <w:tcPr>
            <w:tcW w:w="2006" w:type="dxa"/>
            <w:vAlign w:val="center"/>
          </w:tcPr>
          <w:p w14:paraId="203717B0" w14:textId="77777777" w:rsidR="00FF49F6" w:rsidRPr="007C765D" w:rsidRDefault="00FF49F6" w:rsidP="00D22350">
            <w:pPr>
              <w:jc w:val="center"/>
            </w:pPr>
            <w:r w:rsidRPr="007C765D">
              <w:t>105.679.508,53 €</w:t>
            </w:r>
          </w:p>
        </w:tc>
        <w:tc>
          <w:tcPr>
            <w:tcW w:w="1541" w:type="dxa"/>
            <w:vAlign w:val="center"/>
          </w:tcPr>
          <w:p w14:paraId="7C946F29" w14:textId="77777777" w:rsidR="00FF49F6" w:rsidRPr="007C765D" w:rsidRDefault="00FF49F6" w:rsidP="00D22350">
            <w:pPr>
              <w:jc w:val="center"/>
            </w:pPr>
            <w:r w:rsidRPr="007C765D">
              <w:t>23.171.909,50 €</w:t>
            </w:r>
          </w:p>
        </w:tc>
        <w:tc>
          <w:tcPr>
            <w:tcW w:w="965" w:type="dxa"/>
            <w:vAlign w:val="center"/>
          </w:tcPr>
          <w:p w14:paraId="657968E2" w14:textId="77777777" w:rsidR="00FF49F6" w:rsidRPr="007C765D" w:rsidRDefault="00FF49F6" w:rsidP="00D22350">
            <w:pPr>
              <w:jc w:val="center"/>
            </w:pPr>
            <w:r w:rsidRPr="007C765D">
              <w:t>21,9%</w:t>
            </w:r>
          </w:p>
        </w:tc>
        <w:tc>
          <w:tcPr>
            <w:tcW w:w="1727" w:type="dxa"/>
            <w:vAlign w:val="center"/>
          </w:tcPr>
          <w:p w14:paraId="7DB9A301" w14:textId="77777777" w:rsidR="00FF49F6" w:rsidRPr="007C765D" w:rsidRDefault="00FF49F6" w:rsidP="00D22350">
            <w:pPr>
              <w:jc w:val="center"/>
            </w:pPr>
            <w:r w:rsidRPr="007C765D">
              <w:t>2.183.102,56 €</w:t>
            </w:r>
          </w:p>
        </w:tc>
        <w:tc>
          <w:tcPr>
            <w:tcW w:w="970" w:type="dxa"/>
            <w:vAlign w:val="center"/>
          </w:tcPr>
          <w:p w14:paraId="55AF55B2" w14:textId="77777777" w:rsidR="00FF49F6" w:rsidRPr="007C765D" w:rsidRDefault="00FF49F6" w:rsidP="00D22350">
            <w:pPr>
              <w:jc w:val="center"/>
            </w:pPr>
            <w:r w:rsidRPr="007C765D">
              <w:t>2,1%</w:t>
            </w:r>
          </w:p>
        </w:tc>
      </w:tr>
      <w:tr w:rsidR="00FF49F6" w:rsidRPr="00536430" w14:paraId="00A23544" w14:textId="77777777" w:rsidTr="00FF49F6">
        <w:trPr>
          <w:trHeight w:val="255"/>
          <w:jc w:val="center"/>
        </w:trPr>
        <w:tc>
          <w:tcPr>
            <w:tcW w:w="2396" w:type="dxa"/>
            <w:vAlign w:val="center"/>
          </w:tcPr>
          <w:p w14:paraId="7DEC61F1" w14:textId="77777777" w:rsidR="00FF49F6" w:rsidRPr="00A15197" w:rsidRDefault="00FF49F6" w:rsidP="00FF49F6">
            <w:r w:rsidRPr="00A15197">
              <w:t>Βόρειο Αιγαίο</w:t>
            </w:r>
          </w:p>
        </w:tc>
        <w:tc>
          <w:tcPr>
            <w:tcW w:w="2006" w:type="dxa"/>
            <w:vAlign w:val="center"/>
          </w:tcPr>
          <w:p w14:paraId="707645EC" w14:textId="77777777" w:rsidR="00FF49F6" w:rsidRPr="007C765D" w:rsidRDefault="00FF49F6" w:rsidP="00D22350">
            <w:pPr>
              <w:jc w:val="center"/>
            </w:pPr>
            <w:r w:rsidRPr="007C765D">
              <w:t>1.660.165,73 €</w:t>
            </w:r>
          </w:p>
        </w:tc>
        <w:tc>
          <w:tcPr>
            <w:tcW w:w="1541" w:type="dxa"/>
            <w:vAlign w:val="center"/>
          </w:tcPr>
          <w:p w14:paraId="046553D1" w14:textId="77777777" w:rsidR="00FF49F6" w:rsidRPr="007C765D" w:rsidRDefault="00FF49F6" w:rsidP="00D22350">
            <w:pPr>
              <w:jc w:val="center"/>
            </w:pPr>
            <w:r w:rsidRPr="007C765D">
              <w:t>576.286,29 €</w:t>
            </w:r>
          </w:p>
        </w:tc>
        <w:tc>
          <w:tcPr>
            <w:tcW w:w="965" w:type="dxa"/>
            <w:vAlign w:val="center"/>
          </w:tcPr>
          <w:p w14:paraId="3E4D2DC0" w14:textId="77777777" w:rsidR="00FF49F6" w:rsidRPr="007C765D" w:rsidRDefault="00FF49F6" w:rsidP="00D22350">
            <w:pPr>
              <w:jc w:val="center"/>
            </w:pPr>
            <w:r w:rsidRPr="007C765D">
              <w:t>34,7%</w:t>
            </w:r>
          </w:p>
        </w:tc>
        <w:tc>
          <w:tcPr>
            <w:tcW w:w="1727" w:type="dxa"/>
            <w:vAlign w:val="center"/>
          </w:tcPr>
          <w:p w14:paraId="31E0FAC3" w14:textId="77777777" w:rsidR="00FF49F6" w:rsidRPr="007C765D" w:rsidRDefault="00FF49F6" w:rsidP="00D22350">
            <w:pPr>
              <w:jc w:val="center"/>
            </w:pPr>
            <w:r w:rsidRPr="007C765D">
              <w:t>66.000,00 €</w:t>
            </w:r>
          </w:p>
        </w:tc>
        <w:tc>
          <w:tcPr>
            <w:tcW w:w="970" w:type="dxa"/>
            <w:vAlign w:val="center"/>
          </w:tcPr>
          <w:p w14:paraId="1F00E6C7" w14:textId="77777777" w:rsidR="00FF49F6" w:rsidRPr="007C765D" w:rsidRDefault="00FF49F6" w:rsidP="00D22350">
            <w:pPr>
              <w:jc w:val="center"/>
            </w:pPr>
            <w:r w:rsidRPr="007C765D">
              <w:t>4,0%</w:t>
            </w:r>
          </w:p>
        </w:tc>
      </w:tr>
      <w:tr w:rsidR="00FF49F6" w14:paraId="61553FA6" w14:textId="77777777" w:rsidTr="00FF49F6">
        <w:trPr>
          <w:trHeight w:val="255"/>
          <w:jc w:val="center"/>
        </w:trPr>
        <w:tc>
          <w:tcPr>
            <w:tcW w:w="2396" w:type="dxa"/>
            <w:vAlign w:val="center"/>
          </w:tcPr>
          <w:p w14:paraId="69E2246D" w14:textId="77777777" w:rsidR="00FF49F6" w:rsidRPr="00A15197" w:rsidRDefault="00FF49F6" w:rsidP="00FF49F6">
            <w:r w:rsidRPr="00A15197">
              <w:lastRenderedPageBreak/>
              <w:t>Δυτικής Ελλάδας</w:t>
            </w:r>
          </w:p>
        </w:tc>
        <w:tc>
          <w:tcPr>
            <w:tcW w:w="2006" w:type="dxa"/>
            <w:vAlign w:val="center"/>
          </w:tcPr>
          <w:p w14:paraId="239C68AE" w14:textId="77777777" w:rsidR="00FF49F6" w:rsidRPr="007C765D" w:rsidRDefault="00FF49F6" w:rsidP="00D22350">
            <w:pPr>
              <w:jc w:val="center"/>
            </w:pPr>
            <w:r w:rsidRPr="007C765D">
              <w:t>26.394.868,98 €</w:t>
            </w:r>
          </w:p>
        </w:tc>
        <w:tc>
          <w:tcPr>
            <w:tcW w:w="1541" w:type="dxa"/>
            <w:vAlign w:val="center"/>
          </w:tcPr>
          <w:p w14:paraId="42689C8C" w14:textId="77777777" w:rsidR="00FF49F6" w:rsidRPr="007C765D" w:rsidRDefault="00FF49F6" w:rsidP="00D22350">
            <w:pPr>
              <w:jc w:val="center"/>
            </w:pPr>
            <w:r w:rsidRPr="007C765D">
              <w:t>5.553.978,40 €</w:t>
            </w:r>
          </w:p>
        </w:tc>
        <w:tc>
          <w:tcPr>
            <w:tcW w:w="965" w:type="dxa"/>
            <w:vAlign w:val="center"/>
          </w:tcPr>
          <w:p w14:paraId="424A8FAF" w14:textId="77777777" w:rsidR="00FF49F6" w:rsidRPr="007C765D" w:rsidRDefault="00FF49F6" w:rsidP="00D22350">
            <w:pPr>
              <w:jc w:val="center"/>
            </w:pPr>
            <w:r w:rsidRPr="007C765D">
              <w:t>21,0%</w:t>
            </w:r>
          </w:p>
        </w:tc>
        <w:tc>
          <w:tcPr>
            <w:tcW w:w="1727" w:type="dxa"/>
            <w:vAlign w:val="center"/>
          </w:tcPr>
          <w:p w14:paraId="41770AD6" w14:textId="77777777" w:rsidR="00FF49F6" w:rsidRPr="007C765D" w:rsidRDefault="00FF49F6" w:rsidP="00D22350">
            <w:pPr>
              <w:jc w:val="center"/>
            </w:pPr>
            <w:r w:rsidRPr="007C765D">
              <w:t>699.643,20 €</w:t>
            </w:r>
          </w:p>
        </w:tc>
        <w:tc>
          <w:tcPr>
            <w:tcW w:w="970" w:type="dxa"/>
            <w:vAlign w:val="center"/>
          </w:tcPr>
          <w:p w14:paraId="0EE77A8E" w14:textId="77777777" w:rsidR="00FF49F6" w:rsidRPr="007C765D" w:rsidRDefault="00FF49F6" w:rsidP="00D22350">
            <w:pPr>
              <w:jc w:val="center"/>
            </w:pPr>
            <w:r w:rsidRPr="007C765D">
              <w:t>2,7%</w:t>
            </w:r>
          </w:p>
        </w:tc>
      </w:tr>
      <w:tr w:rsidR="00FF49F6" w:rsidRPr="0031198E" w14:paraId="480DD6C3" w14:textId="77777777" w:rsidTr="00FF49F6">
        <w:trPr>
          <w:trHeight w:val="255"/>
          <w:jc w:val="center"/>
        </w:trPr>
        <w:tc>
          <w:tcPr>
            <w:tcW w:w="2396" w:type="dxa"/>
            <w:vAlign w:val="center"/>
          </w:tcPr>
          <w:p w14:paraId="1E77A7A3" w14:textId="77777777" w:rsidR="00FF49F6" w:rsidRPr="00A15197" w:rsidRDefault="00FF49F6" w:rsidP="00FF49F6">
            <w:r w:rsidRPr="00A15197">
              <w:t>Δυτικής Μακεδονίας</w:t>
            </w:r>
          </w:p>
        </w:tc>
        <w:tc>
          <w:tcPr>
            <w:tcW w:w="2006" w:type="dxa"/>
            <w:vAlign w:val="center"/>
          </w:tcPr>
          <w:p w14:paraId="6F66D401" w14:textId="77777777" w:rsidR="00FF49F6" w:rsidRPr="007C765D" w:rsidRDefault="00FF49F6" w:rsidP="00D22350">
            <w:pPr>
              <w:jc w:val="center"/>
            </w:pPr>
            <w:r w:rsidRPr="007C765D">
              <w:t>3.954.429,22 €</w:t>
            </w:r>
          </w:p>
        </w:tc>
        <w:tc>
          <w:tcPr>
            <w:tcW w:w="1541" w:type="dxa"/>
            <w:vAlign w:val="center"/>
          </w:tcPr>
          <w:p w14:paraId="56E0289E" w14:textId="77777777" w:rsidR="00FF49F6" w:rsidRPr="007C765D" w:rsidRDefault="00FF49F6" w:rsidP="00D22350">
            <w:pPr>
              <w:jc w:val="center"/>
            </w:pPr>
            <w:r w:rsidRPr="007C765D">
              <w:t>835.545,05 €</w:t>
            </w:r>
          </w:p>
        </w:tc>
        <w:tc>
          <w:tcPr>
            <w:tcW w:w="965" w:type="dxa"/>
            <w:vAlign w:val="center"/>
          </w:tcPr>
          <w:p w14:paraId="708311C8" w14:textId="77777777" w:rsidR="00FF49F6" w:rsidRPr="007C765D" w:rsidRDefault="00FF49F6" w:rsidP="00D22350">
            <w:pPr>
              <w:jc w:val="center"/>
            </w:pPr>
            <w:r w:rsidRPr="007C765D">
              <w:t>21,1%</w:t>
            </w:r>
          </w:p>
        </w:tc>
        <w:tc>
          <w:tcPr>
            <w:tcW w:w="1727" w:type="dxa"/>
            <w:vAlign w:val="center"/>
          </w:tcPr>
          <w:p w14:paraId="6F4E246F" w14:textId="77777777" w:rsidR="00FF49F6" w:rsidRPr="007C765D" w:rsidRDefault="00FF49F6" w:rsidP="00D22350">
            <w:pPr>
              <w:jc w:val="center"/>
            </w:pPr>
            <w:r w:rsidRPr="007C765D">
              <w:t>255.649,60 €</w:t>
            </w:r>
          </w:p>
        </w:tc>
        <w:tc>
          <w:tcPr>
            <w:tcW w:w="970" w:type="dxa"/>
            <w:vAlign w:val="center"/>
          </w:tcPr>
          <w:p w14:paraId="23D89D0E" w14:textId="77777777" w:rsidR="00FF49F6" w:rsidRPr="007C765D" w:rsidRDefault="00FF49F6" w:rsidP="00D22350">
            <w:pPr>
              <w:jc w:val="center"/>
            </w:pPr>
            <w:r w:rsidRPr="007C765D">
              <w:t>6,5%</w:t>
            </w:r>
          </w:p>
        </w:tc>
      </w:tr>
      <w:tr w:rsidR="00FF49F6" w:rsidRPr="00ED30D5" w14:paraId="10F4F111" w14:textId="77777777" w:rsidTr="00FF49F6">
        <w:trPr>
          <w:trHeight w:val="255"/>
          <w:jc w:val="center"/>
        </w:trPr>
        <w:tc>
          <w:tcPr>
            <w:tcW w:w="2396" w:type="dxa"/>
            <w:vAlign w:val="center"/>
          </w:tcPr>
          <w:p w14:paraId="55F4C4EA" w14:textId="77777777" w:rsidR="00FF49F6" w:rsidRPr="00A15197" w:rsidRDefault="00FF49F6" w:rsidP="00FF49F6">
            <w:r w:rsidRPr="00A15197">
              <w:t>Ήπειρος</w:t>
            </w:r>
          </w:p>
        </w:tc>
        <w:tc>
          <w:tcPr>
            <w:tcW w:w="2006" w:type="dxa"/>
            <w:vAlign w:val="center"/>
          </w:tcPr>
          <w:p w14:paraId="2A332930" w14:textId="77777777" w:rsidR="00FF49F6" w:rsidRPr="007C765D" w:rsidRDefault="00FF49F6" w:rsidP="00D22350">
            <w:pPr>
              <w:jc w:val="center"/>
            </w:pPr>
            <w:r w:rsidRPr="007C765D">
              <w:t>12.330.731,60 €</w:t>
            </w:r>
          </w:p>
        </w:tc>
        <w:tc>
          <w:tcPr>
            <w:tcW w:w="1541" w:type="dxa"/>
            <w:vAlign w:val="center"/>
          </w:tcPr>
          <w:p w14:paraId="07BFEAA9" w14:textId="77777777" w:rsidR="00FF49F6" w:rsidRPr="007C765D" w:rsidRDefault="00FF49F6" w:rsidP="00D22350">
            <w:pPr>
              <w:jc w:val="center"/>
            </w:pPr>
            <w:r w:rsidRPr="007C765D">
              <w:t>3.437.022,95 €</w:t>
            </w:r>
          </w:p>
        </w:tc>
        <w:tc>
          <w:tcPr>
            <w:tcW w:w="965" w:type="dxa"/>
            <w:vAlign w:val="center"/>
          </w:tcPr>
          <w:p w14:paraId="689A0F29" w14:textId="77777777" w:rsidR="00FF49F6" w:rsidRPr="007C765D" w:rsidRDefault="00FF49F6" w:rsidP="00D22350">
            <w:pPr>
              <w:jc w:val="center"/>
            </w:pPr>
            <w:r w:rsidRPr="007C765D">
              <w:t>27,9%</w:t>
            </w:r>
          </w:p>
        </w:tc>
        <w:tc>
          <w:tcPr>
            <w:tcW w:w="1727" w:type="dxa"/>
            <w:vAlign w:val="center"/>
          </w:tcPr>
          <w:p w14:paraId="794499D1" w14:textId="77777777" w:rsidR="00FF49F6" w:rsidRPr="007C765D" w:rsidRDefault="00FF49F6" w:rsidP="00D22350">
            <w:pPr>
              <w:jc w:val="center"/>
            </w:pPr>
            <w:r w:rsidRPr="007C765D">
              <w:t>89.400,00 €</w:t>
            </w:r>
          </w:p>
        </w:tc>
        <w:tc>
          <w:tcPr>
            <w:tcW w:w="970" w:type="dxa"/>
            <w:vAlign w:val="center"/>
          </w:tcPr>
          <w:p w14:paraId="57CDE5C7" w14:textId="77777777" w:rsidR="00FF49F6" w:rsidRPr="007C765D" w:rsidRDefault="00FF49F6" w:rsidP="00D22350">
            <w:pPr>
              <w:jc w:val="center"/>
            </w:pPr>
            <w:r w:rsidRPr="007C765D">
              <w:t>0,7%</w:t>
            </w:r>
          </w:p>
        </w:tc>
      </w:tr>
      <w:tr w:rsidR="00FF49F6" w:rsidRPr="00ED30D5" w14:paraId="4F8D7CBD" w14:textId="77777777" w:rsidTr="00FF49F6">
        <w:trPr>
          <w:trHeight w:val="255"/>
          <w:jc w:val="center"/>
        </w:trPr>
        <w:tc>
          <w:tcPr>
            <w:tcW w:w="2396" w:type="dxa"/>
            <w:vAlign w:val="center"/>
          </w:tcPr>
          <w:p w14:paraId="1FD0D0A0" w14:textId="77777777" w:rsidR="00FF49F6" w:rsidRPr="00A15197" w:rsidRDefault="00FF49F6" w:rsidP="00FF49F6">
            <w:r w:rsidRPr="00A15197">
              <w:t>Θεσσαλίας</w:t>
            </w:r>
          </w:p>
        </w:tc>
        <w:tc>
          <w:tcPr>
            <w:tcW w:w="2006" w:type="dxa"/>
            <w:vAlign w:val="center"/>
          </w:tcPr>
          <w:p w14:paraId="28E04D7D" w14:textId="77777777" w:rsidR="00FF49F6" w:rsidRPr="007C765D" w:rsidRDefault="00FF49F6" w:rsidP="00D22350">
            <w:pPr>
              <w:jc w:val="center"/>
            </w:pPr>
            <w:r w:rsidRPr="007C765D">
              <w:t>18.905.010,85 €</w:t>
            </w:r>
          </w:p>
        </w:tc>
        <w:tc>
          <w:tcPr>
            <w:tcW w:w="1541" w:type="dxa"/>
            <w:vAlign w:val="center"/>
          </w:tcPr>
          <w:p w14:paraId="40097333" w14:textId="77777777" w:rsidR="00FF49F6" w:rsidRPr="007C765D" w:rsidRDefault="00FF49F6" w:rsidP="00D22350">
            <w:pPr>
              <w:jc w:val="center"/>
            </w:pPr>
            <w:r w:rsidRPr="007C765D">
              <w:t>5.180.994,68 €</w:t>
            </w:r>
          </w:p>
        </w:tc>
        <w:tc>
          <w:tcPr>
            <w:tcW w:w="965" w:type="dxa"/>
            <w:vAlign w:val="center"/>
          </w:tcPr>
          <w:p w14:paraId="45954D9C" w14:textId="77777777" w:rsidR="00FF49F6" w:rsidRPr="007C765D" w:rsidRDefault="00FF49F6" w:rsidP="00D22350">
            <w:pPr>
              <w:jc w:val="center"/>
            </w:pPr>
            <w:r w:rsidRPr="007C765D">
              <w:t>27,4%</w:t>
            </w:r>
          </w:p>
        </w:tc>
        <w:tc>
          <w:tcPr>
            <w:tcW w:w="1727" w:type="dxa"/>
            <w:vAlign w:val="center"/>
          </w:tcPr>
          <w:p w14:paraId="0BCF2A99" w14:textId="77777777" w:rsidR="00FF49F6" w:rsidRPr="007C765D" w:rsidRDefault="00FF49F6" w:rsidP="00D22350">
            <w:pPr>
              <w:jc w:val="center"/>
            </w:pPr>
            <w:r w:rsidRPr="007C765D">
              <w:t>524.908,00 €</w:t>
            </w:r>
          </w:p>
        </w:tc>
        <w:tc>
          <w:tcPr>
            <w:tcW w:w="970" w:type="dxa"/>
            <w:vAlign w:val="center"/>
          </w:tcPr>
          <w:p w14:paraId="25A1E9A7" w14:textId="77777777" w:rsidR="00FF49F6" w:rsidRPr="007C765D" w:rsidRDefault="00FF49F6" w:rsidP="00D22350">
            <w:pPr>
              <w:jc w:val="center"/>
            </w:pPr>
            <w:r w:rsidRPr="007C765D">
              <w:t>2,8%</w:t>
            </w:r>
          </w:p>
        </w:tc>
      </w:tr>
      <w:tr w:rsidR="00FF49F6" w:rsidRPr="00ED30D5" w14:paraId="0378A888" w14:textId="77777777" w:rsidTr="00FF49F6">
        <w:trPr>
          <w:trHeight w:val="255"/>
          <w:jc w:val="center"/>
        </w:trPr>
        <w:tc>
          <w:tcPr>
            <w:tcW w:w="2396" w:type="dxa"/>
            <w:vAlign w:val="center"/>
          </w:tcPr>
          <w:p w14:paraId="01F74D09" w14:textId="77777777" w:rsidR="00FF49F6" w:rsidRPr="00A15197" w:rsidRDefault="00FF49F6" w:rsidP="00FF49F6">
            <w:r w:rsidRPr="00A15197">
              <w:t>Ιόνια Νησιά</w:t>
            </w:r>
          </w:p>
        </w:tc>
        <w:tc>
          <w:tcPr>
            <w:tcW w:w="2006" w:type="dxa"/>
            <w:vAlign w:val="center"/>
          </w:tcPr>
          <w:p w14:paraId="0752F4BE" w14:textId="77777777" w:rsidR="00FF49F6" w:rsidRPr="007C765D" w:rsidRDefault="00FF49F6" w:rsidP="00D22350">
            <w:pPr>
              <w:jc w:val="center"/>
            </w:pPr>
            <w:r w:rsidRPr="007C765D">
              <w:t>1.835.956,57 €</w:t>
            </w:r>
          </w:p>
        </w:tc>
        <w:tc>
          <w:tcPr>
            <w:tcW w:w="1541" w:type="dxa"/>
            <w:vAlign w:val="center"/>
          </w:tcPr>
          <w:p w14:paraId="1483BF6C" w14:textId="77777777" w:rsidR="00FF49F6" w:rsidRPr="007C765D" w:rsidRDefault="00FF49F6" w:rsidP="00D22350">
            <w:pPr>
              <w:jc w:val="center"/>
            </w:pPr>
            <w:r w:rsidRPr="007C765D">
              <w:t>518.232,99 €</w:t>
            </w:r>
          </w:p>
        </w:tc>
        <w:tc>
          <w:tcPr>
            <w:tcW w:w="965" w:type="dxa"/>
            <w:vAlign w:val="center"/>
          </w:tcPr>
          <w:p w14:paraId="1D5344A7" w14:textId="77777777" w:rsidR="00FF49F6" w:rsidRPr="007C765D" w:rsidRDefault="00FF49F6" w:rsidP="00D22350">
            <w:pPr>
              <w:jc w:val="center"/>
            </w:pPr>
            <w:r w:rsidRPr="007C765D">
              <w:t>28,2%</w:t>
            </w:r>
          </w:p>
        </w:tc>
        <w:tc>
          <w:tcPr>
            <w:tcW w:w="1727" w:type="dxa"/>
            <w:vAlign w:val="center"/>
          </w:tcPr>
          <w:p w14:paraId="1E7D8EA1" w14:textId="77777777" w:rsidR="00FF49F6" w:rsidRPr="007C765D" w:rsidRDefault="00FF49F6" w:rsidP="00D22350">
            <w:pPr>
              <w:jc w:val="center"/>
            </w:pPr>
            <w:r w:rsidRPr="007C765D">
              <w:t>0,00 €</w:t>
            </w:r>
          </w:p>
        </w:tc>
        <w:tc>
          <w:tcPr>
            <w:tcW w:w="970" w:type="dxa"/>
            <w:vAlign w:val="center"/>
          </w:tcPr>
          <w:p w14:paraId="51D56B0D" w14:textId="77777777" w:rsidR="00FF49F6" w:rsidRPr="007C765D" w:rsidRDefault="00FF49F6" w:rsidP="00D22350">
            <w:pPr>
              <w:jc w:val="center"/>
            </w:pPr>
            <w:r w:rsidRPr="007C765D">
              <w:t>0,0%</w:t>
            </w:r>
          </w:p>
        </w:tc>
      </w:tr>
      <w:tr w:rsidR="00FF49F6" w:rsidRPr="00ED30D5" w14:paraId="555734FC" w14:textId="77777777" w:rsidTr="00FF49F6">
        <w:trPr>
          <w:trHeight w:val="255"/>
          <w:jc w:val="center"/>
        </w:trPr>
        <w:tc>
          <w:tcPr>
            <w:tcW w:w="2396" w:type="dxa"/>
            <w:vAlign w:val="center"/>
          </w:tcPr>
          <w:p w14:paraId="46E61A42" w14:textId="77777777" w:rsidR="00FF49F6" w:rsidRPr="00A15197" w:rsidRDefault="00FF49F6" w:rsidP="00FF49F6">
            <w:r w:rsidRPr="00A15197">
              <w:t>Κεντρικής Μακεδονίας</w:t>
            </w:r>
          </w:p>
        </w:tc>
        <w:tc>
          <w:tcPr>
            <w:tcW w:w="2006" w:type="dxa"/>
            <w:vAlign w:val="center"/>
          </w:tcPr>
          <w:p w14:paraId="048A404E" w14:textId="77777777" w:rsidR="00FF49F6" w:rsidRPr="007C765D" w:rsidRDefault="00FF49F6" w:rsidP="00D22350">
            <w:pPr>
              <w:jc w:val="center"/>
            </w:pPr>
            <w:r w:rsidRPr="007C765D">
              <w:t>83.155.913,64 €</w:t>
            </w:r>
          </w:p>
        </w:tc>
        <w:tc>
          <w:tcPr>
            <w:tcW w:w="1541" w:type="dxa"/>
            <w:vAlign w:val="center"/>
          </w:tcPr>
          <w:p w14:paraId="46D19A25" w14:textId="77777777" w:rsidR="00FF49F6" w:rsidRPr="007C765D" w:rsidRDefault="00FF49F6" w:rsidP="00D22350">
            <w:pPr>
              <w:jc w:val="center"/>
            </w:pPr>
            <w:r w:rsidRPr="007C765D">
              <w:t>20.605.760,31 €</w:t>
            </w:r>
          </w:p>
        </w:tc>
        <w:tc>
          <w:tcPr>
            <w:tcW w:w="965" w:type="dxa"/>
            <w:vAlign w:val="center"/>
          </w:tcPr>
          <w:p w14:paraId="721364EA" w14:textId="77777777" w:rsidR="00FF49F6" w:rsidRPr="007C765D" w:rsidRDefault="00FF49F6" w:rsidP="00D22350">
            <w:pPr>
              <w:jc w:val="center"/>
            </w:pPr>
            <w:r w:rsidRPr="007C765D">
              <w:t>24,8%</w:t>
            </w:r>
          </w:p>
        </w:tc>
        <w:tc>
          <w:tcPr>
            <w:tcW w:w="1727" w:type="dxa"/>
            <w:vAlign w:val="center"/>
          </w:tcPr>
          <w:p w14:paraId="6D135F4A" w14:textId="77777777" w:rsidR="00FF49F6" w:rsidRPr="007C765D" w:rsidRDefault="00FF49F6" w:rsidP="00D22350">
            <w:pPr>
              <w:jc w:val="center"/>
            </w:pPr>
            <w:r w:rsidRPr="007C765D">
              <w:t>2.684.642,53 €</w:t>
            </w:r>
          </w:p>
        </w:tc>
        <w:tc>
          <w:tcPr>
            <w:tcW w:w="970" w:type="dxa"/>
            <w:vAlign w:val="center"/>
          </w:tcPr>
          <w:p w14:paraId="1B3B8482" w14:textId="77777777" w:rsidR="00FF49F6" w:rsidRPr="007C765D" w:rsidRDefault="00FF49F6" w:rsidP="00D22350">
            <w:pPr>
              <w:jc w:val="center"/>
            </w:pPr>
            <w:r w:rsidRPr="007C765D">
              <w:t>3,2%</w:t>
            </w:r>
          </w:p>
        </w:tc>
      </w:tr>
      <w:tr w:rsidR="00FF49F6" w:rsidRPr="00ED30D5" w14:paraId="76BC6368" w14:textId="77777777" w:rsidTr="00FF49F6">
        <w:trPr>
          <w:trHeight w:val="255"/>
          <w:jc w:val="center"/>
        </w:trPr>
        <w:tc>
          <w:tcPr>
            <w:tcW w:w="2396" w:type="dxa"/>
            <w:vAlign w:val="center"/>
          </w:tcPr>
          <w:p w14:paraId="0D988583" w14:textId="77777777" w:rsidR="00FF49F6" w:rsidRPr="00A15197" w:rsidRDefault="00FF49F6" w:rsidP="00FF49F6">
            <w:r w:rsidRPr="00A15197">
              <w:t>Κρήτης</w:t>
            </w:r>
          </w:p>
        </w:tc>
        <w:tc>
          <w:tcPr>
            <w:tcW w:w="2006" w:type="dxa"/>
            <w:vAlign w:val="center"/>
          </w:tcPr>
          <w:p w14:paraId="2F469D86" w14:textId="77777777" w:rsidR="00FF49F6" w:rsidRPr="007C765D" w:rsidRDefault="00FF49F6" w:rsidP="00D22350">
            <w:pPr>
              <w:jc w:val="center"/>
            </w:pPr>
            <w:r w:rsidRPr="007C765D">
              <w:t>26.288.905,80 €</w:t>
            </w:r>
          </w:p>
        </w:tc>
        <w:tc>
          <w:tcPr>
            <w:tcW w:w="1541" w:type="dxa"/>
            <w:vAlign w:val="center"/>
          </w:tcPr>
          <w:p w14:paraId="4315FA97" w14:textId="77777777" w:rsidR="00FF49F6" w:rsidRPr="007C765D" w:rsidRDefault="00FF49F6" w:rsidP="00D22350">
            <w:pPr>
              <w:jc w:val="center"/>
            </w:pPr>
            <w:r w:rsidRPr="007C765D">
              <w:t>7.670.672,33 €</w:t>
            </w:r>
          </w:p>
        </w:tc>
        <w:tc>
          <w:tcPr>
            <w:tcW w:w="965" w:type="dxa"/>
            <w:vAlign w:val="center"/>
          </w:tcPr>
          <w:p w14:paraId="3D3B55B0" w14:textId="77777777" w:rsidR="00FF49F6" w:rsidRPr="007C765D" w:rsidRDefault="00FF49F6" w:rsidP="00D22350">
            <w:pPr>
              <w:jc w:val="center"/>
            </w:pPr>
            <w:r w:rsidRPr="007C765D">
              <w:t>29,2%</w:t>
            </w:r>
          </w:p>
        </w:tc>
        <w:tc>
          <w:tcPr>
            <w:tcW w:w="1727" w:type="dxa"/>
            <w:vAlign w:val="center"/>
          </w:tcPr>
          <w:p w14:paraId="28530AD2" w14:textId="77777777" w:rsidR="00FF49F6" w:rsidRPr="007C765D" w:rsidRDefault="00FF49F6" w:rsidP="00D22350">
            <w:pPr>
              <w:jc w:val="center"/>
            </w:pPr>
            <w:r w:rsidRPr="007C765D">
              <w:t>559.931,33 €</w:t>
            </w:r>
          </w:p>
        </w:tc>
        <w:tc>
          <w:tcPr>
            <w:tcW w:w="970" w:type="dxa"/>
            <w:vAlign w:val="center"/>
          </w:tcPr>
          <w:p w14:paraId="14D2D184" w14:textId="77777777" w:rsidR="00FF49F6" w:rsidRPr="007C765D" w:rsidRDefault="00FF49F6" w:rsidP="00D22350">
            <w:pPr>
              <w:jc w:val="center"/>
            </w:pPr>
            <w:r w:rsidRPr="007C765D">
              <w:t>2,1%</w:t>
            </w:r>
          </w:p>
        </w:tc>
      </w:tr>
      <w:tr w:rsidR="00FF49F6" w:rsidRPr="00ED30D5" w14:paraId="33EAB17D" w14:textId="77777777" w:rsidTr="00FF49F6">
        <w:trPr>
          <w:trHeight w:val="255"/>
          <w:jc w:val="center"/>
        </w:trPr>
        <w:tc>
          <w:tcPr>
            <w:tcW w:w="2396" w:type="dxa"/>
            <w:vAlign w:val="center"/>
          </w:tcPr>
          <w:p w14:paraId="343E7E4C" w14:textId="77777777" w:rsidR="00FF49F6" w:rsidRPr="00A15197" w:rsidRDefault="00FF49F6" w:rsidP="00FF49F6">
            <w:r w:rsidRPr="00A15197">
              <w:t>Ν. Αιγαίο</w:t>
            </w:r>
          </w:p>
        </w:tc>
        <w:tc>
          <w:tcPr>
            <w:tcW w:w="2006" w:type="dxa"/>
            <w:vAlign w:val="center"/>
          </w:tcPr>
          <w:p w14:paraId="5C800AA4" w14:textId="77777777" w:rsidR="00FF49F6" w:rsidRPr="007C765D" w:rsidRDefault="00FF49F6" w:rsidP="00D22350">
            <w:pPr>
              <w:jc w:val="center"/>
            </w:pPr>
            <w:r w:rsidRPr="007C765D">
              <w:t>1.051.774,93 €</w:t>
            </w:r>
          </w:p>
        </w:tc>
        <w:tc>
          <w:tcPr>
            <w:tcW w:w="1541" w:type="dxa"/>
            <w:vAlign w:val="center"/>
          </w:tcPr>
          <w:p w14:paraId="37251809" w14:textId="77777777" w:rsidR="00FF49F6" w:rsidRPr="007C765D" w:rsidRDefault="00FF49F6" w:rsidP="00D22350">
            <w:pPr>
              <w:jc w:val="center"/>
            </w:pPr>
            <w:r w:rsidRPr="007C765D">
              <w:t>324.520,40 €</w:t>
            </w:r>
          </w:p>
        </w:tc>
        <w:tc>
          <w:tcPr>
            <w:tcW w:w="965" w:type="dxa"/>
            <w:vAlign w:val="center"/>
          </w:tcPr>
          <w:p w14:paraId="2517DEAC" w14:textId="77777777" w:rsidR="00FF49F6" w:rsidRPr="007C765D" w:rsidRDefault="00FF49F6" w:rsidP="00D22350">
            <w:pPr>
              <w:jc w:val="center"/>
            </w:pPr>
            <w:r w:rsidRPr="007C765D">
              <w:t>30,9%</w:t>
            </w:r>
          </w:p>
        </w:tc>
        <w:tc>
          <w:tcPr>
            <w:tcW w:w="1727" w:type="dxa"/>
            <w:vAlign w:val="center"/>
          </w:tcPr>
          <w:p w14:paraId="1FC63850" w14:textId="77777777" w:rsidR="00FF49F6" w:rsidRPr="007C765D" w:rsidRDefault="00FF49F6" w:rsidP="00D22350">
            <w:pPr>
              <w:jc w:val="center"/>
            </w:pPr>
            <w:r w:rsidRPr="007C765D">
              <w:t>30.000,00 €</w:t>
            </w:r>
          </w:p>
        </w:tc>
        <w:tc>
          <w:tcPr>
            <w:tcW w:w="970" w:type="dxa"/>
            <w:vAlign w:val="center"/>
          </w:tcPr>
          <w:p w14:paraId="126B2803" w14:textId="77777777" w:rsidR="00FF49F6" w:rsidRPr="007C765D" w:rsidRDefault="00FF49F6" w:rsidP="00D22350">
            <w:pPr>
              <w:jc w:val="center"/>
            </w:pPr>
            <w:r w:rsidRPr="007C765D">
              <w:t>2,9%</w:t>
            </w:r>
          </w:p>
        </w:tc>
      </w:tr>
      <w:tr w:rsidR="00FF49F6" w:rsidRPr="00ED30D5" w14:paraId="78F2964C" w14:textId="77777777" w:rsidTr="00FF49F6">
        <w:trPr>
          <w:trHeight w:val="255"/>
          <w:jc w:val="center"/>
        </w:trPr>
        <w:tc>
          <w:tcPr>
            <w:tcW w:w="2396" w:type="dxa"/>
            <w:vAlign w:val="center"/>
          </w:tcPr>
          <w:p w14:paraId="4DA7DD4E" w14:textId="77777777" w:rsidR="00FF49F6" w:rsidRPr="00A15197" w:rsidRDefault="00FF49F6" w:rsidP="00FF49F6">
            <w:r w:rsidRPr="00A15197">
              <w:t>Πελοπόννησος</w:t>
            </w:r>
          </w:p>
        </w:tc>
        <w:tc>
          <w:tcPr>
            <w:tcW w:w="2006" w:type="dxa"/>
            <w:vAlign w:val="center"/>
          </w:tcPr>
          <w:p w14:paraId="3BE1CB75" w14:textId="77777777" w:rsidR="00FF49F6" w:rsidRPr="007C765D" w:rsidRDefault="00FF49F6" w:rsidP="00D22350">
            <w:pPr>
              <w:jc w:val="center"/>
            </w:pPr>
            <w:r w:rsidRPr="007C765D">
              <w:t>7.243.018,45 €</w:t>
            </w:r>
          </w:p>
        </w:tc>
        <w:tc>
          <w:tcPr>
            <w:tcW w:w="1541" w:type="dxa"/>
            <w:vAlign w:val="center"/>
          </w:tcPr>
          <w:p w14:paraId="60472457" w14:textId="77777777" w:rsidR="00FF49F6" w:rsidRPr="007C765D" w:rsidRDefault="00FF49F6" w:rsidP="00D22350">
            <w:pPr>
              <w:jc w:val="center"/>
            </w:pPr>
            <w:r w:rsidRPr="007C765D">
              <w:t>463.478,13 €</w:t>
            </w:r>
          </w:p>
        </w:tc>
        <w:tc>
          <w:tcPr>
            <w:tcW w:w="965" w:type="dxa"/>
            <w:vAlign w:val="center"/>
          </w:tcPr>
          <w:p w14:paraId="2449F978" w14:textId="77777777" w:rsidR="00FF49F6" w:rsidRPr="007C765D" w:rsidRDefault="00FF49F6" w:rsidP="00D22350">
            <w:pPr>
              <w:jc w:val="center"/>
            </w:pPr>
            <w:r w:rsidRPr="007C765D">
              <w:t>6,4%</w:t>
            </w:r>
          </w:p>
        </w:tc>
        <w:tc>
          <w:tcPr>
            <w:tcW w:w="1727" w:type="dxa"/>
            <w:vAlign w:val="center"/>
          </w:tcPr>
          <w:p w14:paraId="44F43E98" w14:textId="77777777" w:rsidR="00FF49F6" w:rsidRPr="007C765D" w:rsidRDefault="00FF49F6" w:rsidP="00D22350">
            <w:pPr>
              <w:jc w:val="center"/>
            </w:pPr>
            <w:r w:rsidRPr="007C765D">
              <w:t>69.300,00 €</w:t>
            </w:r>
          </w:p>
        </w:tc>
        <w:tc>
          <w:tcPr>
            <w:tcW w:w="970" w:type="dxa"/>
            <w:vAlign w:val="center"/>
          </w:tcPr>
          <w:p w14:paraId="69122A6D" w14:textId="77777777" w:rsidR="00FF49F6" w:rsidRPr="007C765D" w:rsidRDefault="00FF49F6" w:rsidP="00D22350">
            <w:pPr>
              <w:jc w:val="center"/>
            </w:pPr>
            <w:r w:rsidRPr="007C765D">
              <w:t>1,0%</w:t>
            </w:r>
          </w:p>
        </w:tc>
      </w:tr>
      <w:tr w:rsidR="00FF49F6" w:rsidRPr="00ED30D5" w14:paraId="11C1E794" w14:textId="77777777" w:rsidTr="00FF49F6">
        <w:trPr>
          <w:trHeight w:val="255"/>
          <w:jc w:val="center"/>
        </w:trPr>
        <w:tc>
          <w:tcPr>
            <w:tcW w:w="2396" w:type="dxa"/>
            <w:vAlign w:val="center"/>
          </w:tcPr>
          <w:p w14:paraId="0D7CE7BC" w14:textId="77777777" w:rsidR="00FF49F6" w:rsidRPr="00A15197" w:rsidRDefault="00FF49F6" w:rsidP="00FF49F6">
            <w:r w:rsidRPr="00A15197">
              <w:t>Στερεά Ελλάδα</w:t>
            </w:r>
          </w:p>
        </w:tc>
        <w:tc>
          <w:tcPr>
            <w:tcW w:w="2006" w:type="dxa"/>
            <w:vAlign w:val="center"/>
          </w:tcPr>
          <w:p w14:paraId="0BD2D02C" w14:textId="77777777" w:rsidR="00FF49F6" w:rsidRPr="007C765D" w:rsidRDefault="00FF49F6" w:rsidP="00D22350">
            <w:pPr>
              <w:jc w:val="center"/>
            </w:pPr>
            <w:r w:rsidRPr="007C765D">
              <w:t>6.232.588,27 €</w:t>
            </w:r>
          </w:p>
        </w:tc>
        <w:tc>
          <w:tcPr>
            <w:tcW w:w="1541" w:type="dxa"/>
            <w:vAlign w:val="center"/>
          </w:tcPr>
          <w:p w14:paraId="3188D64B" w14:textId="77777777" w:rsidR="00FF49F6" w:rsidRPr="007C765D" w:rsidRDefault="00FF49F6" w:rsidP="00D22350">
            <w:pPr>
              <w:jc w:val="center"/>
            </w:pPr>
            <w:r w:rsidRPr="007C765D">
              <w:t>1.101.256,50 €</w:t>
            </w:r>
          </w:p>
        </w:tc>
        <w:tc>
          <w:tcPr>
            <w:tcW w:w="965" w:type="dxa"/>
            <w:vAlign w:val="center"/>
          </w:tcPr>
          <w:p w14:paraId="6991B876" w14:textId="77777777" w:rsidR="00FF49F6" w:rsidRPr="007C765D" w:rsidRDefault="00FF49F6" w:rsidP="00D22350">
            <w:pPr>
              <w:jc w:val="center"/>
            </w:pPr>
            <w:r w:rsidRPr="007C765D">
              <w:t>17,7%</w:t>
            </w:r>
          </w:p>
        </w:tc>
        <w:tc>
          <w:tcPr>
            <w:tcW w:w="1727" w:type="dxa"/>
            <w:vAlign w:val="center"/>
          </w:tcPr>
          <w:p w14:paraId="165E7012" w14:textId="77777777" w:rsidR="00FF49F6" w:rsidRPr="007C765D" w:rsidRDefault="00FF49F6" w:rsidP="00D22350">
            <w:pPr>
              <w:jc w:val="center"/>
            </w:pPr>
            <w:r w:rsidRPr="007C765D">
              <w:t>441.147,66 €</w:t>
            </w:r>
          </w:p>
        </w:tc>
        <w:tc>
          <w:tcPr>
            <w:tcW w:w="970" w:type="dxa"/>
            <w:vAlign w:val="center"/>
          </w:tcPr>
          <w:p w14:paraId="3FFE16EA" w14:textId="77777777" w:rsidR="00FF49F6" w:rsidRPr="007C765D" w:rsidRDefault="00FF49F6" w:rsidP="00D22350">
            <w:pPr>
              <w:jc w:val="center"/>
            </w:pPr>
            <w:r w:rsidRPr="007C765D">
              <w:t>7,1%</w:t>
            </w:r>
          </w:p>
        </w:tc>
      </w:tr>
      <w:tr w:rsidR="00FF49F6" w:rsidRPr="00ED30D5" w14:paraId="5728C283" w14:textId="77777777" w:rsidTr="00FF49F6">
        <w:trPr>
          <w:trHeight w:val="255"/>
          <w:jc w:val="center"/>
        </w:trPr>
        <w:tc>
          <w:tcPr>
            <w:tcW w:w="2396" w:type="dxa"/>
            <w:vAlign w:val="center"/>
          </w:tcPr>
          <w:p w14:paraId="56DDC0B4" w14:textId="77777777" w:rsidR="00FF49F6" w:rsidRPr="00B44B51" w:rsidRDefault="00FF49F6" w:rsidP="00FF49F6">
            <w:pPr>
              <w:rPr>
                <w:b/>
              </w:rPr>
            </w:pPr>
            <w:r w:rsidRPr="00B44B51">
              <w:rPr>
                <w:b/>
              </w:rPr>
              <w:t>ΣΥΝΟΛΟ</w:t>
            </w:r>
          </w:p>
        </w:tc>
        <w:tc>
          <w:tcPr>
            <w:tcW w:w="2006" w:type="dxa"/>
            <w:vAlign w:val="center"/>
          </w:tcPr>
          <w:p w14:paraId="14368C1D" w14:textId="77777777" w:rsidR="00FF49F6" w:rsidRPr="00FF49F6" w:rsidRDefault="00FF49F6" w:rsidP="00D22350">
            <w:pPr>
              <w:jc w:val="center"/>
              <w:rPr>
                <w:b/>
              </w:rPr>
            </w:pPr>
            <w:r w:rsidRPr="00FF49F6">
              <w:rPr>
                <w:b/>
              </w:rPr>
              <w:t>308.542.294,14 €</w:t>
            </w:r>
          </w:p>
        </w:tc>
        <w:tc>
          <w:tcPr>
            <w:tcW w:w="1541" w:type="dxa"/>
            <w:vAlign w:val="center"/>
          </w:tcPr>
          <w:p w14:paraId="0BA9FC65" w14:textId="77777777" w:rsidR="00FF49F6" w:rsidRPr="00FF49F6" w:rsidRDefault="00FF49F6" w:rsidP="00D22350">
            <w:pPr>
              <w:jc w:val="center"/>
              <w:rPr>
                <w:b/>
              </w:rPr>
            </w:pPr>
            <w:r w:rsidRPr="00FF49F6">
              <w:rPr>
                <w:b/>
              </w:rPr>
              <w:t>72.535.105,72 €</w:t>
            </w:r>
          </w:p>
        </w:tc>
        <w:tc>
          <w:tcPr>
            <w:tcW w:w="965" w:type="dxa"/>
            <w:vAlign w:val="center"/>
          </w:tcPr>
          <w:p w14:paraId="13446997" w14:textId="77777777" w:rsidR="00FF49F6" w:rsidRPr="00FF49F6" w:rsidRDefault="00FF49F6" w:rsidP="00D22350">
            <w:pPr>
              <w:jc w:val="center"/>
              <w:rPr>
                <w:b/>
              </w:rPr>
            </w:pPr>
            <w:r w:rsidRPr="00FF49F6">
              <w:rPr>
                <w:b/>
              </w:rPr>
              <w:t>23,5%</w:t>
            </w:r>
          </w:p>
        </w:tc>
        <w:tc>
          <w:tcPr>
            <w:tcW w:w="1727" w:type="dxa"/>
            <w:vAlign w:val="center"/>
          </w:tcPr>
          <w:p w14:paraId="4293707D" w14:textId="77777777" w:rsidR="00FF49F6" w:rsidRPr="00FF49F6" w:rsidRDefault="00FF49F6" w:rsidP="00D22350">
            <w:pPr>
              <w:jc w:val="center"/>
              <w:rPr>
                <w:b/>
              </w:rPr>
            </w:pPr>
            <w:r w:rsidRPr="00FF49F6">
              <w:rPr>
                <w:b/>
              </w:rPr>
              <w:t>8.194.838,88 €</w:t>
            </w:r>
          </w:p>
        </w:tc>
        <w:tc>
          <w:tcPr>
            <w:tcW w:w="970" w:type="dxa"/>
            <w:vAlign w:val="center"/>
          </w:tcPr>
          <w:p w14:paraId="2D4F52D0" w14:textId="77777777" w:rsidR="00FF49F6" w:rsidRPr="00FF49F6" w:rsidRDefault="00FF49F6" w:rsidP="00D22350">
            <w:pPr>
              <w:jc w:val="center"/>
              <w:rPr>
                <w:b/>
              </w:rPr>
            </w:pPr>
            <w:r w:rsidRPr="00FF49F6">
              <w:rPr>
                <w:b/>
              </w:rPr>
              <w:t>2,7%</w:t>
            </w:r>
          </w:p>
        </w:tc>
      </w:tr>
    </w:tbl>
    <w:p w14:paraId="51BB0A55" w14:textId="272DB48C" w:rsidR="003770DC" w:rsidRPr="000D5F33" w:rsidRDefault="003770DC" w:rsidP="003770DC">
      <w:r w:rsidRPr="000D5F33">
        <w:t xml:space="preserve">Ως προς τους </w:t>
      </w:r>
      <w:r w:rsidR="00D22350">
        <w:t>τ</w:t>
      </w:r>
      <w:r w:rsidRPr="000D5F33">
        <w:t xml:space="preserve">ομείς </w:t>
      </w:r>
      <w:r w:rsidR="00D22350">
        <w:t>π</w:t>
      </w:r>
      <w:r w:rsidRPr="000D5F33">
        <w:t>ροτεραιότητας της RIS3, από την επεξεργασία των διατιθέμενων στοιχείων για την πρόσκληση υποβολής αιτήσεων χρηματοδότησης ερευνητικών έργων στην Ενιαία Δράση Κρατικών Ενισχύσεων Έρευνας, Τεχνολογικής Ανάπτυξης &amp; Καινοτομίας «ΕΡΕΥΝΩ – ΔΗΜΙΟΥΡΓΩ – ΚΑΙΝΟΤΟΜΩ», προκύπτουν τα εξής:</w:t>
      </w:r>
    </w:p>
    <w:p w14:paraId="0F884A8E" w14:textId="77777777" w:rsidR="003770DC" w:rsidRPr="000D5F33" w:rsidRDefault="003770DC" w:rsidP="003770DC">
      <w:r w:rsidRPr="000D5F33">
        <w:t xml:space="preserve">Ο μεγαλύτερος αριθμός των ενταγμένων έργων (και συμμετοχών) αφορά στον τομέα «Τεχνολογίες πληροφορικής και επικοινωνιών» (110 πράξεις) και ο μικρότερος στον τομέα «Μεταφορές και Εφοδιαστική Αλυδίσα (Logistics)» (33 πράξεις). </w:t>
      </w:r>
    </w:p>
    <w:p w14:paraId="7AA0DDBC" w14:textId="77777777" w:rsidR="003770DC" w:rsidRPr="000D5F33" w:rsidRDefault="003770DC" w:rsidP="003770DC">
      <w:r w:rsidRPr="000D5F33">
        <w:t>Στους τέσσερις (Αγροδιατροφή, Βιοεπιστήμες / Υγεία &amp; Φάρμακα, Τεχνολογίες πληροφορικής και επικοινωνιών και Πολιτισμός - Τουρισμός -Πολιτιστικές και Δημιουργικές Βιομηχανίες) από τους οχτώ τομείς προτεραιότητας της RIS3, ο μέσος όρος των ενταμένων έργων ανέρχεται σε 100, ενώ αυτοί οι τομείς παρουσιάζουν το ίδιο περίπου ποσοστό συμμετοχής στον συνολικό προϋπολογισμό των ενταγμένων στο πρόγραμμα έργων.</w:t>
      </w:r>
    </w:p>
    <w:p w14:paraId="08675F53" w14:textId="1F742E36" w:rsidR="003770DC" w:rsidRPr="000D5F33" w:rsidRDefault="003770DC" w:rsidP="003770DC">
      <w:r w:rsidRPr="000D5F33">
        <w:t>Για την κατηγορία των περισσότερο ανεπτυγμένων Περιφερειών, το μεγαλύτερο ποσοστό του προϋπολογισμού των ενταγμένων έργων αφορά στους τομείς «Βιοεπιστήμες / Υγεία &amp; Φάρμακα» (27,21%), «Τεχνολογίες πληροφορικής και επικοινωνιών» (15,90%), «Πολιτισμός - Τουρισμός -Πολιτιστικές και Δημιουργικές Βιομηχανίες» (13,86%) και «Αγροδιατροφή» (12,76%).</w:t>
      </w:r>
    </w:p>
    <w:p w14:paraId="00C0A788" w14:textId="471D8ECE" w:rsidR="003770DC" w:rsidRPr="000D5F33" w:rsidRDefault="003770DC" w:rsidP="003770DC">
      <w:r w:rsidRPr="000D5F33">
        <w:t>Για την κατηγορία των Περιφερειών σε μετάβαση, το μεγαλύτερο ποσοστό του προϋπολογισμού των ενταγμένων έργων αφορά στους τομείς «Αγροδιατροφή» (20,47%), «Τεχνολογίες πληροφορικής και επικοινωνιών» (17,74%), «Πολιτισμός - Τουρισμός -Πολιτιστικές και Δημιουργικές Βιομηχανίες» (15,11%) και «Βιοεπιστήμες / Υγεία &amp; Φάρμακα» (14,35%).</w:t>
      </w:r>
    </w:p>
    <w:p w14:paraId="79E7BE9B" w14:textId="53FC4FB9" w:rsidR="003770DC" w:rsidRDefault="003770DC" w:rsidP="003770DC">
      <w:r w:rsidRPr="000D5F33">
        <w:t>Για την κατηγορία των λιγότερο ανεπτυγμένων Περιφερειών, το μεγαλύτερο ποσοστό του προϋ</w:t>
      </w:r>
      <w:r w:rsidR="001E71E2">
        <w:t xml:space="preserve">πολογισμού των ενταγμένων έργων </w:t>
      </w:r>
      <w:r w:rsidRPr="000D5F33">
        <w:t>αφορά στους τομείς «Αγροδιατροφή» (21,16%), «Τεχνολογίες πληροφορικής και επικοινωνιών» (18,29%), «Βιοεπιστήμες / Υγεία &amp; Φάρμακα» (16,1%), και «Πολιτισμός - Τουρισμός -Πολιτιστικές και Δημιουργικές Βιομηχανίες» (12,84%).</w:t>
      </w:r>
    </w:p>
    <w:p w14:paraId="666512CA" w14:textId="118B52B6" w:rsidR="003770DC" w:rsidRDefault="0052538D" w:rsidP="003770DC">
      <w:pPr>
        <w:rPr>
          <w:szCs w:val="18"/>
        </w:rPr>
      </w:pPr>
      <w:r>
        <w:t>Το σύνολο των πληρωμών ΕΛΚΕ στο πλαίσιο της δράσης ανέρχεται στα 72,5 εκατ.</w:t>
      </w:r>
      <w:r>
        <w:rPr>
          <w:rFonts w:ascii="Calibri" w:hAnsi="Calibri"/>
        </w:rPr>
        <w:t>€</w:t>
      </w:r>
      <w:r>
        <w:t>, ποσοστό 23,5% του προϋπολογισμού δημόσιας δαπάνης του συνόλου των ενταγμένων έργων. Υψηλότερο ποσοστό απορρόφησης εμφανίζει το Β. Αιγαίο (34,7%), ενώ χαμηλότερο η Περιφέρεια Πελοποννήσου (6,4%). Όσον αφορά στις δαπάνες ΟΠΣ, αυτές έως το τέλος του 2018 ανήλθαν μόλις στο 2,7% του προϋπολογισμού δημόσιας δαπάνης του συνόλου των ενταγμένων έργων (7,9 εκατ.</w:t>
      </w:r>
      <w:r>
        <w:rPr>
          <w:rFonts w:ascii="Calibri" w:hAnsi="Calibri"/>
        </w:rPr>
        <w:t>€</w:t>
      </w:r>
      <w:r>
        <w:t>).</w:t>
      </w:r>
    </w:p>
    <w:p w14:paraId="4E8EC385" w14:textId="77777777" w:rsidR="003770DC" w:rsidRDefault="003770DC" w:rsidP="003770DC">
      <w:pPr>
        <w:rPr>
          <w:szCs w:val="18"/>
        </w:rPr>
        <w:sectPr w:rsidR="003770DC" w:rsidSect="005476F0">
          <w:footerReference w:type="default" r:id="rId25"/>
          <w:pgSz w:w="12240" w:h="15840"/>
          <w:pgMar w:top="1440" w:right="1247" w:bottom="1440" w:left="1247" w:header="720" w:footer="720" w:gutter="0"/>
          <w:cols w:space="720"/>
          <w:docGrid w:linePitch="360"/>
        </w:sectPr>
      </w:pPr>
    </w:p>
    <w:p w14:paraId="55EFB3FC" w14:textId="77777777" w:rsidR="003770DC" w:rsidRDefault="00ED6AB2" w:rsidP="00ED6AB2">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A77820">
        <w:rPr>
          <w:noProof/>
        </w:rPr>
        <w:t>1</w:t>
      </w:r>
      <w:r w:rsidR="00FF49F6">
        <w:rPr>
          <w:noProof/>
        </w:rPr>
        <w:t>4</w:t>
      </w:r>
      <w:r w:rsidR="00C80E86" w:rsidRPr="00C80E86">
        <w:rPr>
          <w:noProof/>
        </w:rPr>
        <w:t>:</w:t>
      </w:r>
      <w:r>
        <w:t xml:space="preserve"> </w:t>
      </w:r>
      <w:r w:rsidR="003770DC" w:rsidRPr="0061319E">
        <w:t xml:space="preserve">Στοιχεία εντάξεων και πληρωμών δράσεων (έως 31.12.2018) που υποβλήθηκαν στο πλαίσιο της </w:t>
      </w:r>
      <w:r w:rsidR="00A77820">
        <w:t>δράσης</w:t>
      </w:r>
      <w:r w:rsidR="003770DC" w:rsidRPr="0061319E">
        <w:t xml:space="preserve"> «ΕΡΕΥΝΩ-ΔΗΜΙΟΥ</w:t>
      </w:r>
      <w:r w:rsidR="0061605D">
        <w:t>Ρ</w:t>
      </w:r>
      <w:r w:rsidR="003770DC" w:rsidRPr="0061319E">
        <w:t>ΓΩ-ΚΑΙΝΟΤΟΜΩ» (Α΄ κύκλος) ανά Τομέα Προτεραιότητας της RIS3</w:t>
      </w:r>
    </w:p>
    <w:p w14:paraId="67D8AF40" w14:textId="77FC17AC" w:rsidR="009D18C4" w:rsidRDefault="004A6364" w:rsidP="009D18C4">
      <w:r w:rsidRPr="004A6364">
        <w:rPr>
          <w:noProof/>
          <w:lang w:eastAsia="el-GR"/>
        </w:rPr>
        <w:drawing>
          <wp:inline distT="0" distB="0" distL="0" distR="0" wp14:anchorId="391C2058" wp14:editId="52BB5568">
            <wp:extent cx="8229600" cy="170112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29600" cy="1701122"/>
                    </a:xfrm>
                    <a:prstGeom prst="rect">
                      <a:avLst/>
                    </a:prstGeom>
                    <a:noFill/>
                    <a:ln>
                      <a:noFill/>
                    </a:ln>
                  </pic:spPr>
                </pic:pic>
              </a:graphicData>
            </a:graphic>
          </wp:inline>
        </w:drawing>
      </w:r>
    </w:p>
    <w:p w14:paraId="7EC808E2" w14:textId="77777777" w:rsidR="003770DC" w:rsidRPr="0061319E" w:rsidRDefault="00ED6AB2" w:rsidP="00ED6AB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FF49F6">
        <w:rPr>
          <w:noProof/>
        </w:rPr>
        <w:t>15</w:t>
      </w:r>
      <w:r>
        <w:t xml:space="preserve">: </w:t>
      </w:r>
      <w:r w:rsidR="003770DC" w:rsidRPr="0061319E">
        <w:t xml:space="preserve">Ποσοστιαία κατανομή των εντάξεων και πληρωμών (έως 31.12.2018) δράσεων που υποβλήθηκαν στο πλαίσιο της </w:t>
      </w:r>
      <w:r w:rsidR="00A77820">
        <w:t xml:space="preserve">δράσης </w:t>
      </w:r>
      <w:r w:rsidR="003770DC" w:rsidRPr="0061319E">
        <w:t>«ΕΡΕΥΝΩ-ΔΗΜΙΟΥ</w:t>
      </w:r>
      <w:r w:rsidR="0061605D">
        <w:t>Ρ</w:t>
      </w:r>
      <w:r w:rsidR="003770DC" w:rsidRPr="0061319E">
        <w:t>ΓΩ-ΚΑΙΝΟΤΟΜΩ»  (Α΄ κύκλος) ανά Τομέα Προτεραιότητας της RIS3</w:t>
      </w:r>
    </w:p>
    <w:p w14:paraId="5B09AFC0" w14:textId="77777777" w:rsidR="003770DC" w:rsidRDefault="00A77820" w:rsidP="003770DC">
      <w:pPr>
        <w:rPr>
          <w:noProof/>
          <w:lang w:eastAsia="el-GR"/>
        </w:rPr>
      </w:pPr>
      <w:r w:rsidRPr="00A77820">
        <w:rPr>
          <w:noProof/>
          <w:lang w:eastAsia="el-GR"/>
        </w:rPr>
        <w:drawing>
          <wp:inline distT="0" distB="0" distL="0" distR="0" wp14:anchorId="3855CC44" wp14:editId="4E8A3082">
            <wp:extent cx="8226736" cy="180975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31155" cy="1810722"/>
                    </a:xfrm>
                    <a:prstGeom prst="rect">
                      <a:avLst/>
                    </a:prstGeom>
                    <a:noFill/>
                    <a:ln>
                      <a:noFill/>
                    </a:ln>
                  </pic:spPr>
                </pic:pic>
              </a:graphicData>
            </a:graphic>
          </wp:inline>
        </w:drawing>
      </w:r>
    </w:p>
    <w:p w14:paraId="1DA83716" w14:textId="77777777" w:rsidR="00A77820" w:rsidRDefault="00A77820" w:rsidP="003770DC">
      <w:pPr>
        <w:rPr>
          <w:szCs w:val="18"/>
        </w:rPr>
      </w:pPr>
    </w:p>
    <w:p w14:paraId="595614C4" w14:textId="77777777" w:rsidR="003770DC" w:rsidRDefault="003770DC" w:rsidP="003770DC">
      <w:pPr>
        <w:rPr>
          <w:szCs w:val="18"/>
        </w:rPr>
        <w:sectPr w:rsidR="003770DC" w:rsidSect="003D021E">
          <w:footerReference w:type="default" r:id="rId28"/>
          <w:pgSz w:w="15840" w:h="12240" w:orient="landscape"/>
          <w:pgMar w:top="1440" w:right="1440" w:bottom="1440" w:left="1440" w:header="720" w:footer="720" w:gutter="0"/>
          <w:cols w:space="720"/>
          <w:docGrid w:linePitch="360"/>
        </w:sectPr>
      </w:pPr>
    </w:p>
    <w:p w14:paraId="566791DF" w14:textId="77777777" w:rsidR="00483515" w:rsidRPr="00DF43D2" w:rsidRDefault="00907CF3" w:rsidP="00483515">
      <w:pPr>
        <w:pStyle w:val="Heading4"/>
        <w:rPr>
          <w:rFonts w:eastAsia="Calibri"/>
        </w:rPr>
      </w:pPr>
      <w:bookmarkStart w:id="12" w:name="_Toc22645402"/>
      <w:r w:rsidRPr="00907CF3">
        <w:rPr>
          <w:rFonts w:eastAsia="Calibri"/>
        </w:rPr>
        <w:lastRenderedPageBreak/>
        <w:t xml:space="preserve">Ειδικές Δράσεις </w:t>
      </w:r>
      <w:r w:rsidR="00A77741" w:rsidRPr="00A77741">
        <w:rPr>
          <w:rFonts w:eastAsia="Calibri"/>
        </w:rPr>
        <w:t>«Υδατοκαλλιέργειες» - «Βιομηχανικά Υλικά» και «Ανοιχτή καινοτομία στον Πολιτισμό»</w:t>
      </w:r>
      <w:bookmarkEnd w:id="12"/>
    </w:p>
    <w:p w14:paraId="5E53FCB7" w14:textId="77777777" w:rsidR="00907CF3" w:rsidRPr="00C33E1A" w:rsidRDefault="00907CF3" w:rsidP="00907CF3">
      <w:pPr>
        <w:rPr>
          <w:szCs w:val="18"/>
        </w:rPr>
      </w:pPr>
      <w:r w:rsidRPr="00C33E1A">
        <w:rPr>
          <w:szCs w:val="18"/>
        </w:rPr>
        <w:t xml:space="preserve">Πρόκειται για Πρόσκληση με 3 ειδικές δράσεις που προκηρύχθηκε τον Ιούλιο του 2017 με φορέα Πρόσκλησης την </w:t>
      </w:r>
      <w:r>
        <w:rPr>
          <w:szCs w:val="18"/>
        </w:rPr>
        <w:t>Γ</w:t>
      </w:r>
      <w:r w:rsidR="00A77741">
        <w:rPr>
          <w:szCs w:val="18"/>
        </w:rPr>
        <w:t>.</w:t>
      </w:r>
      <w:r>
        <w:rPr>
          <w:szCs w:val="18"/>
        </w:rPr>
        <w:t>Γ</w:t>
      </w:r>
      <w:r w:rsidR="00A77741">
        <w:rPr>
          <w:szCs w:val="18"/>
        </w:rPr>
        <w:t>.</w:t>
      </w:r>
      <w:r>
        <w:rPr>
          <w:szCs w:val="18"/>
        </w:rPr>
        <w:t>Ε</w:t>
      </w:r>
      <w:r w:rsidR="00A77741">
        <w:rPr>
          <w:szCs w:val="18"/>
        </w:rPr>
        <w:t>.</w:t>
      </w:r>
      <w:r>
        <w:rPr>
          <w:szCs w:val="18"/>
        </w:rPr>
        <w:t>Τ</w:t>
      </w:r>
      <w:r w:rsidR="00A77741">
        <w:rPr>
          <w:szCs w:val="18"/>
        </w:rPr>
        <w:t>.</w:t>
      </w:r>
      <w:r w:rsidRPr="00C33E1A">
        <w:rPr>
          <w:szCs w:val="18"/>
        </w:rPr>
        <w:t>, στο πλαίσιο</w:t>
      </w:r>
      <w:r>
        <w:rPr>
          <w:szCs w:val="18"/>
        </w:rPr>
        <w:t xml:space="preserve"> των Α.Π. 01 και 01Σ του ΕΠΑνΕΚ</w:t>
      </w:r>
      <w:r w:rsidRPr="00C33E1A">
        <w:rPr>
          <w:szCs w:val="18"/>
        </w:rPr>
        <w:t xml:space="preserve"> και συγκεκρι</w:t>
      </w:r>
      <w:r>
        <w:rPr>
          <w:szCs w:val="18"/>
        </w:rPr>
        <w:t>μένα του</w:t>
      </w:r>
      <w:r w:rsidRPr="00C33E1A">
        <w:rPr>
          <w:szCs w:val="18"/>
        </w:rPr>
        <w:t xml:space="preserve"> Θεματικού Στόχου 01 – Επενδυτικής Προτεραιότητας 1b και Ειδικού Στόχου 1.1.</w:t>
      </w:r>
      <w:r>
        <w:rPr>
          <w:szCs w:val="18"/>
        </w:rPr>
        <w:t xml:space="preserve"> Ο προϋπολογισμός της σχετικής Π</w:t>
      </w:r>
      <w:r w:rsidRPr="00C33E1A">
        <w:rPr>
          <w:szCs w:val="18"/>
        </w:rPr>
        <w:t>ρόσκλησης ανήλθε στα 24,250 εκατ. €.</w:t>
      </w:r>
    </w:p>
    <w:p w14:paraId="5712D71D" w14:textId="77777777" w:rsidR="00907CF3" w:rsidRPr="00C33E1A" w:rsidRDefault="00907CF3" w:rsidP="00907CF3">
      <w:pPr>
        <w:rPr>
          <w:szCs w:val="18"/>
        </w:rPr>
      </w:pPr>
      <w:r w:rsidRPr="00C33E1A">
        <w:rPr>
          <w:szCs w:val="18"/>
        </w:rPr>
        <w:t>Οι προτάσεις χρηματοδότησης μπορούσαν να υποβάλλονται ανάλογα την Ειδική Δράση, από συμπράξεις μεταξύ οργανισμών έρευνας και διάδοσης γνώσεων,  υφιστάμενων επιχειρήσεων και φορέων πολιτισμού.</w:t>
      </w:r>
    </w:p>
    <w:p w14:paraId="08D35D30" w14:textId="77777777" w:rsidR="00907CF3" w:rsidRPr="00C33E1A" w:rsidRDefault="00907CF3" w:rsidP="00907CF3">
      <w:pPr>
        <w:rPr>
          <w:szCs w:val="18"/>
        </w:rPr>
      </w:pPr>
      <w:r w:rsidRPr="00C33E1A">
        <w:rPr>
          <w:szCs w:val="18"/>
        </w:rPr>
        <w:t>Οι σχετικές προτάσεις θα έπρεπε να προωθούν την έρευνα, την τεχνολογία και την καινοτομία και να εντάσσονται σε ενισχύσεις πράξεων/έργων έρευνας και ανάπτυξης (κατηγορία έρευνας: βιομηχανική έρευνα, πειραματική ανάπτυξη) με μελέτες σκοπιμότητας ενεργειών προβολής/διάχυσης αποτελεσμάτων, συμμετοχής σε διεθνή συνέδρια, σε εθνικό και διεθνές επίπεδο και  προώθησης καινοτομίας για ΜΜΕ. Ο συνολικός προϋπολογισμός των προτάσεων, ανάλογα με την ειδική δράση θα έπρεπε να είναι από 50.000 έως 1εκατ.  €. Η χρονική διάρκεια των προτεινόμενων έργων θα έπρεπε να είναι από είκοσι τέσσερις (24) έως τριάντα έξη (36) μήνες.</w:t>
      </w:r>
    </w:p>
    <w:p w14:paraId="2FAAB243" w14:textId="77777777" w:rsidR="00907CF3" w:rsidRPr="00C33E1A" w:rsidRDefault="00907CF3" w:rsidP="00907CF3">
      <w:pPr>
        <w:rPr>
          <w:szCs w:val="18"/>
        </w:rPr>
      </w:pPr>
      <w:r w:rsidRPr="00C33E1A">
        <w:rPr>
          <w:szCs w:val="18"/>
        </w:rPr>
        <w:t>Σύμφωνα με τα διαθέσιμα από τη ΓΓΕΤ στοιχεία των προτάσεων:</w:t>
      </w:r>
    </w:p>
    <w:p w14:paraId="4285742E" w14:textId="77777777" w:rsidR="00907CF3" w:rsidRPr="00C33E1A" w:rsidRDefault="00907CF3" w:rsidP="00D22350">
      <w:pPr>
        <w:pStyle w:val="ListParagraph"/>
        <w:numPr>
          <w:ilvl w:val="0"/>
          <w:numId w:val="18"/>
        </w:numPr>
        <w:rPr>
          <w:szCs w:val="18"/>
        </w:rPr>
      </w:pPr>
      <w:r w:rsidRPr="00C33E1A">
        <w:rPr>
          <w:szCs w:val="18"/>
        </w:rPr>
        <w:t>Για τη δράση «Ανοιχτή Καινοτομία στον Πολιτισμό (Π/Υ 13 εκατ. €) η ζήτηση ήταν εξαιρετικά υψηλή, δεδομένου ότι υποβλήθηκαν 104 προτάσεις με αιτούμενη Δημόσια Δαπάνη ύψους 73,3 εκατ. €.</w:t>
      </w:r>
    </w:p>
    <w:p w14:paraId="14C6D943" w14:textId="77777777" w:rsidR="00907CF3" w:rsidRPr="00C33E1A" w:rsidRDefault="00907CF3" w:rsidP="00D22350">
      <w:pPr>
        <w:pStyle w:val="ListParagraph"/>
        <w:numPr>
          <w:ilvl w:val="0"/>
          <w:numId w:val="18"/>
        </w:numPr>
        <w:rPr>
          <w:szCs w:val="18"/>
        </w:rPr>
      </w:pPr>
      <w:r w:rsidRPr="00C33E1A">
        <w:rPr>
          <w:szCs w:val="18"/>
        </w:rPr>
        <w:t xml:space="preserve">Για τη Δράση «Υδατοκαλλιέργεια» (Π/Υ 5,25 εκατ. €) η ζήτηση ήταν πολύ υψηλή δεδομένου ότι υποβλήθηκαν 49 προτάσεις με αιτούμενη Δημόσια Δαπάνη ύψους 12,4 εκατ. €. </w:t>
      </w:r>
    </w:p>
    <w:p w14:paraId="2B899CEF" w14:textId="77777777" w:rsidR="00907CF3" w:rsidRPr="00C33E1A" w:rsidRDefault="00907CF3" w:rsidP="00D22350">
      <w:pPr>
        <w:pStyle w:val="ListParagraph"/>
        <w:numPr>
          <w:ilvl w:val="0"/>
          <w:numId w:val="18"/>
        </w:numPr>
        <w:rPr>
          <w:szCs w:val="18"/>
        </w:rPr>
      </w:pPr>
      <w:r w:rsidRPr="00C33E1A">
        <w:rPr>
          <w:szCs w:val="18"/>
        </w:rPr>
        <w:t>Επίσης εξαιρετικά υψηλή ζήτηση παρουσίασε και η Δράση «Βιομηχανικά Υλικά» (Π/Υ 6 εκατ. €). Υποβλήθηκαν 101 προτάσεις με αιτούμενη Δημόσια δαπάνη ύψους 45,8 εκατ. ευρώ.</w:t>
      </w:r>
    </w:p>
    <w:p w14:paraId="59563C23" w14:textId="77777777" w:rsidR="00907CF3" w:rsidRDefault="00907CF3" w:rsidP="00907CF3">
      <w:pPr>
        <w:rPr>
          <w:szCs w:val="18"/>
        </w:rPr>
      </w:pPr>
      <w:r w:rsidRPr="00C33E1A">
        <w:rPr>
          <w:szCs w:val="18"/>
        </w:rPr>
        <w:t>Η δε περιφερειακή Κατανομή των προτάσεων εμφανίζει, όπως αναμενόταν, τις Περιφέρειες Αττικής και Κ. Μακεδονίας να συγκεντρώνουν το μεγαλύτερο ποσοστό υποβληθεισών προτάσεων, σύμφωνα και με το ακόλουθο διάγραμμα</w:t>
      </w:r>
      <w:r w:rsidR="00A500BE">
        <w:rPr>
          <w:szCs w:val="18"/>
        </w:rPr>
        <w:t>.</w:t>
      </w:r>
    </w:p>
    <w:p w14:paraId="5C4DF736" w14:textId="77777777" w:rsidR="00907CF3" w:rsidRPr="00370C56" w:rsidRDefault="00907CF3" w:rsidP="00907CF3">
      <w:pPr>
        <w:pStyle w:val="Caption"/>
      </w:pPr>
      <w:r>
        <w:t xml:space="preserve">Διάγραμμα  </w:t>
      </w:r>
      <w:r>
        <w:rPr>
          <w:noProof/>
        </w:rPr>
        <w:fldChar w:fldCharType="begin"/>
      </w:r>
      <w:r>
        <w:rPr>
          <w:noProof/>
        </w:rPr>
        <w:instrText xml:space="preserve"> STYLEREF 1 \s </w:instrText>
      </w:r>
      <w:r>
        <w:rPr>
          <w:noProof/>
        </w:rPr>
        <w:fldChar w:fldCharType="separate"/>
      </w:r>
      <w:r w:rsidR="00D56CA9">
        <w:rPr>
          <w:noProof/>
        </w:rPr>
        <w:t>3</w:t>
      </w:r>
      <w:r>
        <w:rPr>
          <w:noProof/>
        </w:rPr>
        <w:fldChar w:fldCharType="end"/>
      </w:r>
      <w:r>
        <w:noBreakHyphen/>
      </w:r>
      <w:r>
        <w:rPr>
          <w:noProof/>
        </w:rPr>
        <w:fldChar w:fldCharType="begin"/>
      </w:r>
      <w:r>
        <w:rPr>
          <w:noProof/>
        </w:rPr>
        <w:instrText xml:space="preserve"> SEQ Διάγραμμα_ \* ARABIC \s 1 </w:instrText>
      </w:r>
      <w:r>
        <w:rPr>
          <w:noProof/>
        </w:rPr>
        <w:fldChar w:fldCharType="separate"/>
      </w:r>
      <w:r w:rsidR="00D56CA9">
        <w:rPr>
          <w:noProof/>
        </w:rPr>
        <w:t>1</w:t>
      </w:r>
      <w:r>
        <w:rPr>
          <w:noProof/>
        </w:rPr>
        <w:fldChar w:fldCharType="end"/>
      </w:r>
      <w:r w:rsidRPr="00370C56">
        <w:t>:</w:t>
      </w:r>
      <w:r w:rsidRPr="00370C56">
        <w:tab/>
        <w:t>Περιφερειακή κατανομή προτάσεων που υποβλήθηκαν στο πλαίσιο της Πρόσκλησης για τις Ειδικές Δράσεις «Υδατοκαλλιέργειες» - «Βιομηχανικά Υλικά» και «Ανοιχτή καινοτομία στον Πολιτισμό»</w:t>
      </w:r>
    </w:p>
    <w:p w14:paraId="3611AD0E" w14:textId="77777777" w:rsidR="00907CF3" w:rsidRDefault="00907CF3" w:rsidP="00907CF3">
      <w:pPr>
        <w:jc w:val="center"/>
        <w:rPr>
          <w:b/>
          <w:u w:val="single"/>
        </w:rPr>
      </w:pPr>
      <w:r>
        <w:rPr>
          <w:noProof/>
          <w:lang w:eastAsia="el-GR"/>
        </w:rPr>
        <w:drawing>
          <wp:inline distT="0" distB="0" distL="0" distR="0" wp14:anchorId="2673C2F8" wp14:editId="420B7278">
            <wp:extent cx="5274310" cy="26670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74310" cy="2667000"/>
                    </a:xfrm>
                    <a:prstGeom prst="rect">
                      <a:avLst/>
                    </a:prstGeom>
                  </pic:spPr>
                </pic:pic>
              </a:graphicData>
            </a:graphic>
          </wp:inline>
        </w:drawing>
      </w:r>
    </w:p>
    <w:p w14:paraId="5F28D524" w14:textId="77777777" w:rsidR="00907CF3" w:rsidRPr="003E7153" w:rsidRDefault="00907CF3" w:rsidP="00907CF3">
      <w:pPr>
        <w:rPr>
          <w:i/>
          <w:sz w:val="16"/>
          <w:szCs w:val="18"/>
        </w:rPr>
      </w:pPr>
      <w:r w:rsidRPr="003E7153">
        <w:rPr>
          <w:i/>
          <w:sz w:val="16"/>
          <w:szCs w:val="18"/>
        </w:rPr>
        <w:t>Πηγή: ΓΓΕΤ</w:t>
      </w:r>
    </w:p>
    <w:p w14:paraId="3C85A4DD" w14:textId="77777777" w:rsidR="00907CF3" w:rsidRDefault="00907CF3" w:rsidP="00907CF3">
      <w:pPr>
        <w:spacing w:before="60" w:line="240" w:lineRule="auto"/>
        <w:rPr>
          <w:b/>
          <w:u w:val="single"/>
        </w:rPr>
      </w:pPr>
    </w:p>
    <w:p w14:paraId="6E128381" w14:textId="77777777" w:rsidR="00483515" w:rsidRDefault="00483515" w:rsidP="00907CF3"/>
    <w:p w14:paraId="574BE82B" w14:textId="77777777" w:rsidR="003770DC" w:rsidRPr="00DF43D2" w:rsidRDefault="003770DC" w:rsidP="003770DC">
      <w:pPr>
        <w:pStyle w:val="Heading4"/>
      </w:pPr>
      <w:bookmarkStart w:id="13" w:name="_Toc22645403"/>
      <w:r w:rsidRPr="00DF43D2">
        <w:lastRenderedPageBreak/>
        <w:t>Ευρωπαϊκά Δίκτυα ERA NETS</w:t>
      </w:r>
      <w:bookmarkEnd w:id="13"/>
    </w:p>
    <w:p w14:paraId="1616A0A6" w14:textId="77777777" w:rsidR="003770DC" w:rsidRPr="000D5F33" w:rsidRDefault="003770DC" w:rsidP="003770DC">
      <w:r w:rsidRPr="000D5F33">
        <w:t>Το πρόγραμμα «Ευρωπαϊκή Ε&amp;Τ Συνεργασία - Πράξη Επιχορήγησης Ελληνικών φορέων που συμμετείχαν επιτυχώς σε Κοινές Προκηρύξεις Υποβολής Προτάσεων των Ευρωπαϊκών Δικτύων ERA-NETS» αφορά σε δράση εθνικής εμβέλειας για την Ευρωπαϊκή και Διεθνή Δικτύωση των ερευνητικών ομάδων  με στόχο την ενίσχυση της υλοποίησης ερευνητικού έργου και δαπανών καινοτομίας. Οι εν λόγω Δράσεις επικεντρώνονται σε όλους τους Τομείς Προτεραιότητας της RIS3.</w:t>
      </w:r>
    </w:p>
    <w:p w14:paraId="7D1DD0C6" w14:textId="77777777" w:rsidR="003770DC" w:rsidRPr="000D5F33" w:rsidRDefault="003770DC" w:rsidP="003770DC">
      <w:r w:rsidRPr="000D5F33">
        <w:t xml:space="preserve">Βασικός στόχος των σχημάτων ERA-NETS στο πλαίσιο του Ευρωπαϊκού Χώρου Έρευνας (ΕΧΕ) είναι να εντείνει τη συνεργασία μεταξύ φορέων διαφορετικών κρατών μελών και συνδεδεμένων κρατών και να συντονίσει κοινές ερευνητικές δραστηριότητες. Με τον όρο «ερευνητικές δραστηριότητες» που διεξάγονται σε εθνικό ή περιφερειακό επίπεδο, εννοούνται τα προγράμματα έρευνας και καινοτομίας, μέρος των προγραμμάτων αυτών ή παρόμοιες πρωτοβουλίες. Συνήθως, αυτές οι δραστηριότητες: α. είναι στρατηγικά προγραμματισμένες, β. εκτελούνται σε εθνικό ή περιφερειακό επίπεδο, γ. χρηματοδοτούνται και διαχειρίζονται από εθνικούς δημόσιους οργανισμούς ή από δομές που συνδέονται στενά με ή έχουν οριστεί από τις δημόσιες αρχές. Η Δράση έχει ως ειδικότερους στόχους τους παρακάτω: </w:t>
      </w:r>
    </w:p>
    <w:p w14:paraId="7BDF3F47" w14:textId="77777777" w:rsidR="003770DC" w:rsidRPr="000D5F33" w:rsidRDefault="003770DC" w:rsidP="00D22350">
      <w:pPr>
        <w:pStyle w:val="ListParagraph"/>
        <w:numPr>
          <w:ilvl w:val="0"/>
          <w:numId w:val="16"/>
        </w:numPr>
      </w:pPr>
      <w:r w:rsidRPr="000D5F33">
        <w:t>Την ενίσχυση της εξωστρέφειας.</w:t>
      </w:r>
    </w:p>
    <w:p w14:paraId="3E8B70AB" w14:textId="77777777" w:rsidR="003770DC" w:rsidRPr="000D5F33" w:rsidRDefault="003770DC" w:rsidP="00D22350">
      <w:pPr>
        <w:pStyle w:val="ListParagraph"/>
        <w:numPr>
          <w:ilvl w:val="0"/>
          <w:numId w:val="16"/>
        </w:numPr>
      </w:pPr>
      <w:r w:rsidRPr="000D5F33">
        <w:t xml:space="preserve">Την ανάπτυξη συνεργασίας μεταξύ ερευνητικών ομάδων από κράτη-μέλη της Ε.Ε και από χώρες συνδεδεμένες με την Ε.Ε, αλλά και την συνεργασία με ερευνητικούς φορείς και επιχειρήσεις στρατηγικής σημασίας χωρών εκτός Ε.Ε. </w:t>
      </w:r>
    </w:p>
    <w:p w14:paraId="066E1CED" w14:textId="77777777" w:rsidR="003770DC" w:rsidRPr="000D5F33" w:rsidRDefault="003770DC" w:rsidP="00D22350">
      <w:pPr>
        <w:pStyle w:val="ListParagraph"/>
        <w:numPr>
          <w:ilvl w:val="0"/>
          <w:numId w:val="16"/>
        </w:numPr>
      </w:pPr>
      <w:r w:rsidRPr="000D5F33">
        <w:t>Την επικέντρωση των προσπαθειών και των διαθέσιμων πόρων σε ερευνητικά θεματικά πεδία, μείζονος ενδιαφέροντος για τις δύο (συνεργαζόμενες) χώρες και σημαντικά για την κοινωνία και την οικονομία, σύμφωνα με τις προτεραιότητες της Εθνικής Στρατηγικής ΕΤΑΚ για την Έξυπνη Εξειδίκευση.</w:t>
      </w:r>
    </w:p>
    <w:p w14:paraId="49586A8B" w14:textId="77777777" w:rsidR="003770DC" w:rsidRPr="000D5F33" w:rsidRDefault="003770DC" w:rsidP="00D22350">
      <w:pPr>
        <w:pStyle w:val="ListParagraph"/>
        <w:numPr>
          <w:ilvl w:val="0"/>
          <w:numId w:val="16"/>
        </w:numPr>
      </w:pPr>
      <w:r w:rsidRPr="000D5F33">
        <w:t>Την ανάπτυξη νέων γνώσεων - συμπεριλαμβανομένων των νέων τεχνολογιών – με στόχο τη βελτίωση της ανταγωνιστικότητας της ελληνικής οικονομίας και την αντιμετώπιση σημαντικών κοινωνικών και περιβαλλοντικών αναγκών.</w:t>
      </w:r>
    </w:p>
    <w:p w14:paraId="5FFC240C" w14:textId="77777777" w:rsidR="003770DC" w:rsidRPr="000D5F33" w:rsidRDefault="003770DC" w:rsidP="00D22350">
      <w:pPr>
        <w:pStyle w:val="ListParagraph"/>
        <w:numPr>
          <w:ilvl w:val="0"/>
          <w:numId w:val="16"/>
        </w:numPr>
      </w:pPr>
      <w:r w:rsidRPr="000D5F33">
        <w:t>Τη διείσδυση καινοτομιών σε νέες αγορές.</w:t>
      </w:r>
    </w:p>
    <w:p w14:paraId="66FFBA1F" w14:textId="77777777" w:rsidR="003770DC" w:rsidRPr="000D5F33" w:rsidRDefault="003770DC" w:rsidP="003770DC">
      <w:r w:rsidRPr="000D5F33">
        <w:t>Δικαιούχοι της Δράσης είναι α) ερευνητικοί οργανισμοί, β) επιχειρήσεις, και γ) Λοιποί φορείς (δημόσιοι και άλλοι φορείς).</w:t>
      </w:r>
    </w:p>
    <w:p w14:paraId="7B942853" w14:textId="77777777" w:rsidR="003770DC" w:rsidRPr="00080473" w:rsidRDefault="003770DC" w:rsidP="003770DC">
      <w:r w:rsidRPr="00080473">
        <w:t>Το είδος της ενίσχυσης είναι επιχορήγηση των δαπανών εκτέλεσης ερευνητικού έργου (κατηγορίες έρευνας: βασική έρευνα, βιομηχανική έρευνα ή/και πειραματική ανάπτυξη) και δαπανών καινοτομίας  σε όλους τους Τομείς Προτεραιότητας της Εθνικής Στρατηγικής για την Έξυπνη Εξειδίκευση RIS3 2014-2020, εφόσον προκύπτουν από το ενισχυόμενο ερευνητικό έργο και επιπλέον στις «Βασικές Τεχνολογίες Γενικής Εφαρμογής (Key Enabling Technologies - KETs)</w:t>
      </w:r>
      <w:r w:rsidRPr="00080473">
        <w:rPr>
          <w:rStyle w:val="FootnoteReference"/>
        </w:rPr>
        <w:footnoteReference w:id="1"/>
      </w:r>
      <w:r w:rsidRPr="00080473">
        <w:t xml:space="preserve">, και στις «Διεπιστημονικές παρεμβάσεις που σχετίζονται με τον στρατηγικό άξονα 3 της RIS», </w:t>
      </w:r>
      <w:bookmarkStart w:id="14" w:name="_Hlk6906618"/>
      <w:r w:rsidRPr="00080473">
        <w:t xml:space="preserve">που αποτελούν διατομεακή διάσταση των τομέων προτεραιότητας της Στρατηγικής RIS3.  </w:t>
      </w:r>
      <w:bookmarkEnd w:id="14"/>
      <w:r w:rsidRPr="00080473">
        <w:t>Η χρονική διάρκεια υλοποίησης των έργων, ανάλογα με το έργο υλοποίησης, είναι έως τρία (3) έτη.</w:t>
      </w:r>
    </w:p>
    <w:p w14:paraId="7DDBFC06" w14:textId="77777777" w:rsidR="003770DC" w:rsidRDefault="003770DC" w:rsidP="003770DC">
      <w:r w:rsidRPr="00E01C9E">
        <w:t>Έως τις 31.12.2018 είχαν εκδοθεί</w:t>
      </w:r>
      <w:r w:rsidRPr="00DF43D2">
        <w:rPr>
          <w:b/>
        </w:rPr>
        <w:t xml:space="preserve"> 2 σχετικές Προσκλήσεις</w:t>
      </w:r>
      <w:r w:rsidRPr="00DF43D2">
        <w:t xml:space="preserve"> για την υποβολή προτάσεων στο ΕΠΑνΕΚ, στον Άξονα Προτεραιότητας 1 «Ανάπτυξη επιχειρηματικότητας με τομεακές προτεραιότητες» και στον Άξονα </w:t>
      </w:r>
      <w:r w:rsidRPr="000D5F33">
        <w:t>Προτεραιότητας</w:t>
      </w:r>
      <w:r w:rsidRPr="00DF43D2">
        <w:t xml:space="preserve"> 1Σ «Ανάπτυξη επιχειρηματικότητας με τομεακές προτεραιότητες (Στερεά Ελλάδα, Νότιο Αιγαίο)» και συγκεκριμένα στο Θεματικό Στόχο 1 – Επενδυτική Προτεραιότητα 1b και στον Ειδικό Στόχο 1.1 «Αύξηση επιχειρηματικών πρωτοβουλιών και συνεργασιών για την ανάπτυξη καινοτόμου επιχειρηματικότητας σύμφωνα με την εθνική στρατηγική έρευνας και καινοτομίας για έξυπνη εξειδίκευση».</w:t>
      </w:r>
    </w:p>
    <w:p w14:paraId="7B606664" w14:textId="0016DD36" w:rsidR="003770DC" w:rsidRDefault="003770DC" w:rsidP="003770DC">
      <w:r w:rsidRPr="00DF43D2">
        <w:t xml:space="preserve">Στις 20.10.2016 δημοσιεύθηκε η </w:t>
      </w:r>
      <w:r w:rsidRPr="00A57FA9">
        <w:rPr>
          <w:b/>
        </w:rPr>
        <w:t>πρώτη</w:t>
      </w:r>
      <w:r>
        <w:t xml:space="preserve"> </w:t>
      </w:r>
      <w:r w:rsidRPr="00DF43D2">
        <w:t>πρόσκληση (αρ. πρωτ. 6163/1864/Α2</w:t>
      </w:r>
      <w:r>
        <w:t xml:space="preserve">) </w:t>
      </w:r>
      <w:r w:rsidRPr="00A57FA9">
        <w:t xml:space="preserve">υποβολής αιτήσεων χρηματοδότησης </w:t>
      </w:r>
      <w:r w:rsidRPr="000D5F33">
        <w:t>ερευνητικών</w:t>
      </w:r>
      <w:r w:rsidRPr="00A57FA9">
        <w:t xml:space="preserve"> έργων στη Δράση Εθνικής Εμβέλειας «Ευρωπαϊκή Ε&amp;Τ Συνεργασία - Πράξη </w:t>
      </w:r>
      <w:r w:rsidRPr="00A57FA9">
        <w:lastRenderedPageBreak/>
        <w:t>Επιχορήγησης Ελληνικών φορέων που συμμετείχαν επιτυχώς σε Κοινές Προκηρύξεις Υποβολής Προτάσεων των Ευρωπαϊκών Δικτ</w:t>
      </w:r>
      <w:r>
        <w:t xml:space="preserve">ύων ERA NETS», προϋπολογισμού </w:t>
      </w:r>
      <w:r w:rsidRPr="00DF43D2">
        <w:t>4.500.000 € (ΔΔ)</w:t>
      </w:r>
      <w:r>
        <w:t xml:space="preserve"> και με </w:t>
      </w:r>
      <w:r w:rsidRPr="00DF43D2">
        <w:t xml:space="preserve">καταληκτική ημερομηνία υποβολής προτάσεων </w:t>
      </w:r>
      <w:r>
        <w:t xml:space="preserve">την </w:t>
      </w:r>
      <w:r w:rsidRPr="00DF43D2">
        <w:t>20.12.2016.</w:t>
      </w:r>
      <w:r>
        <w:t xml:space="preserve"> </w:t>
      </w:r>
      <w:r w:rsidRPr="00DF43D2">
        <w:t xml:space="preserve">Στις 02.05.2018 δημοσιεύθηκε η </w:t>
      </w:r>
      <w:r w:rsidRPr="00A57FA9">
        <w:rPr>
          <w:b/>
        </w:rPr>
        <w:t>δεύτερη</w:t>
      </w:r>
      <w:r>
        <w:t xml:space="preserve"> </w:t>
      </w:r>
      <w:r w:rsidRPr="00DF43D2">
        <w:t>πρόσκληση (αρ. πρωτ. 2459/401/Α2</w:t>
      </w:r>
      <w:r>
        <w:t>)</w:t>
      </w:r>
      <w:r w:rsidRPr="00DF43D2">
        <w:t xml:space="preserve"> </w:t>
      </w:r>
      <w:r>
        <w:t xml:space="preserve">προϋπολογισμού </w:t>
      </w:r>
      <w:r w:rsidRPr="00DF43D2">
        <w:t>2.600.000 € (ΔΔ</w:t>
      </w:r>
      <w:r>
        <w:t>)</w:t>
      </w:r>
      <w:r w:rsidR="007074E2">
        <w:t xml:space="preserve">, </w:t>
      </w:r>
      <w:r>
        <w:t xml:space="preserve">με </w:t>
      </w:r>
      <w:r w:rsidRPr="00DF43D2">
        <w:t xml:space="preserve">καταληκτική ημερομηνία υποβολής προτάσεων </w:t>
      </w:r>
      <w:r>
        <w:t>την 1</w:t>
      </w:r>
      <w:r w:rsidRPr="00DF43D2">
        <w:t>8.07.2018.</w:t>
      </w:r>
      <w:r>
        <w:t xml:space="preserve"> </w:t>
      </w:r>
    </w:p>
    <w:p w14:paraId="3C45000B" w14:textId="6CC067D1" w:rsidR="003770DC" w:rsidRPr="00025EAB" w:rsidRDefault="003770DC" w:rsidP="003E6037">
      <w:r w:rsidRPr="00F820A6">
        <w:t xml:space="preserve">Όπως φαίνεται και από τα στοιχεία που παρατίθενται στους παρακάτω πίνακες, συνολικά έχουν ενταχθεί 47 πράξεις (με συνολικά 63 συμμετοχές) συνολικού προϋπολογισμού (ΔΔ) 4.571.321,21 € που αντιστοιχεί στο 64,38% του </w:t>
      </w:r>
      <w:r w:rsidRPr="00F211E5">
        <w:t xml:space="preserve">προϋπολογισμού των δύο Προσκλήσεων. Σημειώνεται ότι η αξιολόγηση των προτάσεων που υποβλήθηκαν στο πλαίσιο της δεύτερης Πρόσκλησης, ολοκληρώθηκε εντός του 2018, οι εντάξεις έργων όμως </w:t>
      </w:r>
      <w:r w:rsidR="00F211E5" w:rsidRPr="00F211E5">
        <w:t xml:space="preserve">θα </w:t>
      </w:r>
      <w:r w:rsidRPr="00F211E5">
        <w:t>πραγματοποι</w:t>
      </w:r>
      <w:r w:rsidR="00F211E5" w:rsidRPr="00F211E5">
        <w:t xml:space="preserve">ηθούν </w:t>
      </w:r>
      <w:r w:rsidRPr="00F211E5">
        <w:t xml:space="preserve">εντός του </w:t>
      </w:r>
      <w:r w:rsidRPr="001D2954">
        <w:t>2019</w:t>
      </w:r>
      <w:r w:rsidR="00F211E5" w:rsidRPr="001D2954">
        <w:t xml:space="preserve"> και θα αφορούν </w:t>
      </w:r>
      <w:r w:rsidRPr="001D2954">
        <w:t>15 πράξεις (με συνολικά 18 συμμετοχές) συνολικού προϋπολογισμού (ΔΔ) 1</w:t>
      </w:r>
      <w:r w:rsidR="00F211E5" w:rsidRPr="001D2954">
        <w:t>.</w:t>
      </w:r>
      <w:r w:rsidRPr="001D2954">
        <w:t>471</w:t>
      </w:r>
      <w:r w:rsidR="00F211E5" w:rsidRPr="001D2954">
        <w:t>.</w:t>
      </w:r>
      <w:r w:rsidRPr="001D2954">
        <w:t>399</w:t>
      </w:r>
      <w:r w:rsidR="00F211E5" w:rsidRPr="001D2954">
        <w:t>,</w:t>
      </w:r>
      <w:r w:rsidRPr="001D2954">
        <w:t xml:space="preserve">63 €. </w:t>
      </w:r>
      <w:r w:rsidR="00F211E5" w:rsidRPr="001D2954">
        <w:t>Λαμβάνοντας λοιπόν υπόψη και τα στοιχεία των εγκεκριμένων προτάσεων της δεύτερης πρόσκλησης των ERA NETS, για τις περισσότερο ανεπτυγμένες Περιφέρειες, το ποσοστό του προϋπολογισμού των ενταγμένων έργων (ως προς τον προϋπολογισμό της πρόσκλησης για τη συγκεκριμένη Περιφέρεια) κυμαίνεται στο 70% περίπου, για τις Περιφέρειες σε μετάβαση σε 76% περίπου και για τις λιγότερο ανεπτυγμένες Περιφέρειες σε 53% περίπου. Ως προς τα ενταγμένα έργα, το μεγαλύτερο ποσοστό του προϋπολογισμού των ενταγμένων έργων το κατέχει η κατηγορία των περισσότερο ανεπτυγμένων Περιφερειών (40,73%).</w:t>
      </w:r>
      <w:r w:rsidR="001D2954" w:rsidRPr="001D2954">
        <w:t xml:space="preserve"> </w:t>
      </w:r>
      <w:r w:rsidRPr="001D2954">
        <w:t xml:space="preserve">Έως σήμερα, </w:t>
      </w:r>
      <w:r w:rsidR="003E6037" w:rsidRPr="001D2954">
        <w:t>στο ΟΠΣ, έχουν καταχωρηθεί δαπάνες ύψους 43.453,64 €, οι οποίες αφορούν στις λιγότερο ανεπτυγμένες Περιφέρειες.</w:t>
      </w:r>
      <w:r w:rsidR="003E6037">
        <w:t xml:space="preserve"> </w:t>
      </w:r>
    </w:p>
    <w:p w14:paraId="3E1F6742" w14:textId="77777777" w:rsidR="003770DC" w:rsidRPr="0061319E" w:rsidRDefault="00ED6AB2" w:rsidP="00ED6AB2">
      <w:pPr>
        <w:pStyle w:val="Caption"/>
      </w:pPr>
      <w:r>
        <w:t xml:space="preserve">Πίνακας </w:t>
      </w:r>
      <w:r w:rsidR="008D772B">
        <w:rPr>
          <w:noProof/>
        </w:rPr>
        <w:fldChar w:fldCharType="begin"/>
      </w:r>
      <w:r w:rsidR="008D772B">
        <w:rPr>
          <w:noProof/>
        </w:rPr>
        <w:instrText xml:space="preserve"> STYLEREF 1 \s </w:instrText>
      </w:r>
      <w:r w:rsidR="008D772B">
        <w:rPr>
          <w:noProof/>
        </w:rPr>
        <w:fldChar w:fldCharType="separate"/>
      </w:r>
      <w:r w:rsidR="00D56CA9">
        <w:rPr>
          <w:noProof/>
        </w:rPr>
        <w:t>3</w:t>
      </w:r>
      <w:r w:rsidR="008D772B">
        <w:rPr>
          <w:noProof/>
        </w:rPr>
        <w:fldChar w:fldCharType="end"/>
      </w:r>
      <w:r w:rsidR="009C23C4">
        <w:noBreakHyphen/>
      </w:r>
      <w:r w:rsidR="0061605D">
        <w:t>1</w:t>
      </w:r>
      <w:r w:rsidR="00FF49F6">
        <w:t>6</w:t>
      </w:r>
      <w:r w:rsidR="00C80E86" w:rsidRPr="00C80E86">
        <w:t>:</w:t>
      </w:r>
      <w:r>
        <w:t xml:space="preserve"> </w:t>
      </w:r>
      <w:r w:rsidR="003770DC" w:rsidRPr="0061319E">
        <w:t xml:space="preserve">Στοιχεία εντάξεων και πληρωμών (έως 31.12.2018) </w:t>
      </w:r>
      <w:r w:rsidR="003D262C" w:rsidRPr="003D262C">
        <w:t>στο πλαίσιο δράσεων για τα Ευρωπαϊκά Δίκτυα ERA NETS</w:t>
      </w:r>
    </w:p>
    <w:tbl>
      <w:tblPr>
        <w:tblStyle w:val="TableGrid1"/>
        <w:tblW w:w="935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148"/>
        <w:gridCol w:w="1519"/>
        <w:gridCol w:w="1544"/>
        <w:gridCol w:w="1540"/>
        <w:gridCol w:w="1601"/>
      </w:tblGrid>
      <w:tr w:rsidR="003770DC" w:rsidRPr="008B45A0" w14:paraId="145C31A3" w14:textId="77777777" w:rsidTr="006B5239">
        <w:trPr>
          <w:trHeight w:val="825"/>
        </w:trPr>
        <w:tc>
          <w:tcPr>
            <w:tcW w:w="3148" w:type="dxa"/>
            <w:shd w:val="clear" w:color="auto" w:fill="800000"/>
            <w:vAlign w:val="center"/>
            <w:hideMark/>
          </w:tcPr>
          <w:p w14:paraId="55C930D5" w14:textId="77777777" w:rsidR="003770DC" w:rsidRPr="00DF43D2" w:rsidRDefault="003770DC" w:rsidP="00853066">
            <w:pPr>
              <w:jc w:val="center"/>
              <w:rPr>
                <w:rFonts w:cs="Calibri"/>
                <w:b/>
                <w:bCs/>
                <w:color w:val="C00000"/>
                <w:sz w:val="16"/>
                <w:szCs w:val="16"/>
              </w:rPr>
            </w:pPr>
            <w:r>
              <w:rPr>
                <w:rFonts w:cs="Calibri"/>
                <w:b/>
                <w:bCs/>
                <w:sz w:val="16"/>
                <w:szCs w:val="16"/>
              </w:rPr>
              <w:t>Ευρωπαϊκά Δίκτυα ERA NETS</w:t>
            </w:r>
          </w:p>
        </w:tc>
        <w:tc>
          <w:tcPr>
            <w:tcW w:w="1519" w:type="dxa"/>
            <w:shd w:val="clear" w:color="auto" w:fill="800000"/>
            <w:vAlign w:val="center"/>
            <w:hideMark/>
          </w:tcPr>
          <w:p w14:paraId="22633DC3" w14:textId="77777777" w:rsidR="003770DC" w:rsidRPr="00DF43D2" w:rsidRDefault="003770DC" w:rsidP="00853066">
            <w:pPr>
              <w:jc w:val="center"/>
              <w:rPr>
                <w:rFonts w:cs="Calibri"/>
                <w:b/>
                <w:bCs/>
                <w:sz w:val="16"/>
                <w:szCs w:val="16"/>
              </w:rPr>
            </w:pPr>
            <w:r w:rsidRPr="00DF43D2">
              <w:rPr>
                <w:rFonts w:cs="Calibri"/>
                <w:b/>
                <w:bCs/>
                <w:sz w:val="16"/>
                <w:szCs w:val="16"/>
              </w:rPr>
              <w:t>Σύνολο</w:t>
            </w:r>
          </w:p>
        </w:tc>
        <w:tc>
          <w:tcPr>
            <w:tcW w:w="1544" w:type="dxa"/>
            <w:shd w:val="clear" w:color="auto" w:fill="800000"/>
            <w:vAlign w:val="center"/>
            <w:hideMark/>
          </w:tcPr>
          <w:p w14:paraId="54452846" w14:textId="77777777" w:rsidR="003770DC" w:rsidRPr="00DF43D2" w:rsidRDefault="003770DC" w:rsidP="00853066">
            <w:pPr>
              <w:jc w:val="center"/>
              <w:rPr>
                <w:rFonts w:cs="Calibri"/>
                <w:b/>
                <w:bCs/>
                <w:sz w:val="16"/>
                <w:szCs w:val="16"/>
              </w:rPr>
            </w:pPr>
            <w:r w:rsidRPr="00DF43D2">
              <w:rPr>
                <w:rFonts w:cs="Calibri"/>
                <w:b/>
                <w:bCs/>
                <w:sz w:val="16"/>
                <w:szCs w:val="16"/>
              </w:rPr>
              <w:t>Περισσότερο Ανεπτυγμένες Περιφέρειες</w:t>
            </w:r>
          </w:p>
        </w:tc>
        <w:tc>
          <w:tcPr>
            <w:tcW w:w="1540" w:type="dxa"/>
            <w:shd w:val="clear" w:color="auto" w:fill="800000"/>
            <w:vAlign w:val="center"/>
            <w:hideMark/>
          </w:tcPr>
          <w:p w14:paraId="7C26D560" w14:textId="77777777" w:rsidR="003770DC" w:rsidRPr="00DF43D2" w:rsidRDefault="003770DC" w:rsidP="00853066">
            <w:pPr>
              <w:jc w:val="center"/>
              <w:rPr>
                <w:rFonts w:cs="Calibri"/>
                <w:b/>
                <w:bCs/>
                <w:sz w:val="16"/>
                <w:szCs w:val="16"/>
              </w:rPr>
            </w:pPr>
            <w:r w:rsidRPr="00DF43D2">
              <w:rPr>
                <w:rFonts w:cs="Calibri"/>
                <w:b/>
                <w:bCs/>
                <w:sz w:val="16"/>
                <w:szCs w:val="16"/>
              </w:rPr>
              <w:t>Περιφέρειες σε Μετάβαση</w:t>
            </w:r>
          </w:p>
        </w:tc>
        <w:tc>
          <w:tcPr>
            <w:tcW w:w="1601" w:type="dxa"/>
            <w:shd w:val="clear" w:color="auto" w:fill="800000"/>
            <w:vAlign w:val="center"/>
            <w:hideMark/>
          </w:tcPr>
          <w:p w14:paraId="78D4BCCE" w14:textId="77777777" w:rsidR="003770DC" w:rsidRPr="00DF43D2" w:rsidRDefault="003770DC" w:rsidP="00853066">
            <w:pPr>
              <w:jc w:val="center"/>
              <w:rPr>
                <w:rFonts w:cs="Calibri"/>
                <w:b/>
                <w:bCs/>
                <w:sz w:val="16"/>
                <w:szCs w:val="16"/>
              </w:rPr>
            </w:pPr>
            <w:r w:rsidRPr="00DF43D2">
              <w:rPr>
                <w:rFonts w:cs="Calibri"/>
                <w:b/>
                <w:bCs/>
                <w:sz w:val="16"/>
                <w:szCs w:val="16"/>
              </w:rPr>
              <w:t>Λιγότερο Ανεπτυγμένες Περιφέρειες</w:t>
            </w:r>
          </w:p>
        </w:tc>
      </w:tr>
      <w:tr w:rsidR="003770DC" w:rsidRPr="008B45A0" w14:paraId="7785ACCB" w14:textId="77777777" w:rsidTr="006B5239">
        <w:trPr>
          <w:trHeight w:val="285"/>
        </w:trPr>
        <w:tc>
          <w:tcPr>
            <w:tcW w:w="3148" w:type="dxa"/>
            <w:hideMark/>
          </w:tcPr>
          <w:p w14:paraId="2FE8E500" w14:textId="77777777" w:rsidR="003770DC" w:rsidRPr="00DF43D2" w:rsidRDefault="003770DC" w:rsidP="005F5D19">
            <w:pPr>
              <w:rPr>
                <w:rFonts w:cs="Calibri"/>
                <w:sz w:val="16"/>
                <w:szCs w:val="16"/>
              </w:rPr>
            </w:pPr>
            <w:r w:rsidRPr="00DF43D2">
              <w:rPr>
                <w:rFonts w:cs="Calibri"/>
                <w:sz w:val="16"/>
                <w:szCs w:val="16"/>
              </w:rPr>
              <w:t>Προϋπ/σμός πρόσκλησης (ΔΔ):</w:t>
            </w:r>
          </w:p>
        </w:tc>
        <w:tc>
          <w:tcPr>
            <w:tcW w:w="1519" w:type="dxa"/>
            <w:hideMark/>
          </w:tcPr>
          <w:p w14:paraId="14A5FFFA" w14:textId="77777777" w:rsidR="003770DC" w:rsidRPr="001D2954" w:rsidRDefault="003770DC" w:rsidP="006B5239">
            <w:pPr>
              <w:jc w:val="center"/>
              <w:rPr>
                <w:rFonts w:cs="Calibri"/>
                <w:b/>
                <w:bCs/>
                <w:sz w:val="16"/>
                <w:szCs w:val="16"/>
              </w:rPr>
            </w:pPr>
            <w:r w:rsidRPr="001D2954">
              <w:rPr>
                <w:b/>
                <w:sz w:val="16"/>
                <w:szCs w:val="16"/>
              </w:rPr>
              <w:t>7.100.000,00 €</w:t>
            </w:r>
          </w:p>
        </w:tc>
        <w:tc>
          <w:tcPr>
            <w:tcW w:w="1544" w:type="dxa"/>
            <w:hideMark/>
          </w:tcPr>
          <w:p w14:paraId="3F59DE88" w14:textId="77777777" w:rsidR="003770DC" w:rsidRPr="001D2954" w:rsidRDefault="003770DC" w:rsidP="006B5239">
            <w:pPr>
              <w:jc w:val="center"/>
              <w:rPr>
                <w:rFonts w:cs="Calibri"/>
                <w:sz w:val="16"/>
                <w:szCs w:val="16"/>
              </w:rPr>
            </w:pPr>
            <w:r w:rsidRPr="001D2954">
              <w:rPr>
                <w:sz w:val="16"/>
                <w:szCs w:val="16"/>
              </w:rPr>
              <w:t>2.680.000,00 €</w:t>
            </w:r>
          </w:p>
        </w:tc>
        <w:tc>
          <w:tcPr>
            <w:tcW w:w="1540" w:type="dxa"/>
            <w:hideMark/>
          </w:tcPr>
          <w:p w14:paraId="75BAD089" w14:textId="77777777" w:rsidR="003770DC" w:rsidRPr="001D2954" w:rsidRDefault="003770DC" w:rsidP="006B5239">
            <w:pPr>
              <w:jc w:val="center"/>
              <w:rPr>
                <w:rFonts w:cs="Calibri"/>
                <w:sz w:val="16"/>
                <w:szCs w:val="16"/>
              </w:rPr>
            </w:pPr>
            <w:r w:rsidRPr="001D2954">
              <w:rPr>
                <w:sz w:val="16"/>
                <w:szCs w:val="16"/>
              </w:rPr>
              <w:t>1.650.000,00 €</w:t>
            </w:r>
          </w:p>
        </w:tc>
        <w:tc>
          <w:tcPr>
            <w:tcW w:w="1601" w:type="dxa"/>
            <w:hideMark/>
          </w:tcPr>
          <w:p w14:paraId="1ADEFC67" w14:textId="77777777" w:rsidR="003770DC" w:rsidRPr="001D2954" w:rsidRDefault="003770DC" w:rsidP="006B5239">
            <w:pPr>
              <w:jc w:val="center"/>
              <w:rPr>
                <w:rFonts w:cs="Calibri"/>
                <w:sz w:val="16"/>
                <w:szCs w:val="16"/>
              </w:rPr>
            </w:pPr>
            <w:r w:rsidRPr="001D2954">
              <w:rPr>
                <w:sz w:val="16"/>
                <w:szCs w:val="16"/>
              </w:rPr>
              <w:t>2.770.000,00 €</w:t>
            </w:r>
          </w:p>
        </w:tc>
      </w:tr>
      <w:tr w:rsidR="003770DC" w:rsidRPr="008B45A0" w14:paraId="65F0D705" w14:textId="77777777" w:rsidTr="006B5239">
        <w:trPr>
          <w:trHeight w:val="255"/>
        </w:trPr>
        <w:tc>
          <w:tcPr>
            <w:tcW w:w="3148" w:type="dxa"/>
            <w:hideMark/>
          </w:tcPr>
          <w:p w14:paraId="5E42DC7C" w14:textId="77777777" w:rsidR="003770DC" w:rsidRPr="00DF43D2" w:rsidRDefault="003770DC" w:rsidP="005F5D19">
            <w:pPr>
              <w:rPr>
                <w:rFonts w:cs="Calibri"/>
                <w:sz w:val="16"/>
                <w:szCs w:val="16"/>
              </w:rPr>
            </w:pPr>
            <w:r w:rsidRPr="00DF43D2">
              <w:rPr>
                <w:rFonts w:cs="Calibri"/>
                <w:sz w:val="16"/>
                <w:szCs w:val="16"/>
              </w:rPr>
              <w:t xml:space="preserve">Προϋπ/σμός ενταγμένων έργων (ΔΔ): </w:t>
            </w:r>
          </w:p>
        </w:tc>
        <w:tc>
          <w:tcPr>
            <w:tcW w:w="1519" w:type="dxa"/>
            <w:hideMark/>
          </w:tcPr>
          <w:p w14:paraId="46115AE3" w14:textId="77777777" w:rsidR="003770DC" w:rsidRPr="001D2954" w:rsidRDefault="003770DC" w:rsidP="006B5239">
            <w:pPr>
              <w:jc w:val="center"/>
              <w:rPr>
                <w:rFonts w:cs="Calibri"/>
                <w:b/>
                <w:bCs/>
                <w:sz w:val="16"/>
                <w:szCs w:val="16"/>
              </w:rPr>
            </w:pPr>
            <w:r w:rsidRPr="001D2954">
              <w:rPr>
                <w:b/>
                <w:sz w:val="16"/>
                <w:szCs w:val="16"/>
              </w:rPr>
              <w:t>4.571.321,21 €</w:t>
            </w:r>
          </w:p>
        </w:tc>
        <w:tc>
          <w:tcPr>
            <w:tcW w:w="1544" w:type="dxa"/>
            <w:hideMark/>
          </w:tcPr>
          <w:p w14:paraId="22D88824" w14:textId="77777777" w:rsidR="003770DC" w:rsidRPr="001D2954" w:rsidRDefault="003770DC" w:rsidP="006B5239">
            <w:pPr>
              <w:jc w:val="center"/>
              <w:rPr>
                <w:rFonts w:cs="Calibri"/>
                <w:sz w:val="16"/>
                <w:szCs w:val="16"/>
              </w:rPr>
            </w:pPr>
            <w:r w:rsidRPr="001D2954">
              <w:rPr>
                <w:sz w:val="16"/>
                <w:szCs w:val="16"/>
              </w:rPr>
              <w:t>1.861.723,65 €</w:t>
            </w:r>
          </w:p>
        </w:tc>
        <w:tc>
          <w:tcPr>
            <w:tcW w:w="1540" w:type="dxa"/>
            <w:hideMark/>
          </w:tcPr>
          <w:p w14:paraId="67EB801A" w14:textId="77777777" w:rsidR="003770DC" w:rsidRPr="001D2954" w:rsidRDefault="003770DC" w:rsidP="006B5239">
            <w:pPr>
              <w:jc w:val="center"/>
              <w:rPr>
                <w:rFonts w:cs="Calibri"/>
                <w:sz w:val="16"/>
                <w:szCs w:val="16"/>
              </w:rPr>
            </w:pPr>
            <w:r w:rsidRPr="001D2954">
              <w:rPr>
                <w:sz w:val="16"/>
                <w:szCs w:val="16"/>
              </w:rPr>
              <w:t>1.251.533,87 €</w:t>
            </w:r>
          </w:p>
        </w:tc>
        <w:tc>
          <w:tcPr>
            <w:tcW w:w="1601" w:type="dxa"/>
            <w:hideMark/>
          </w:tcPr>
          <w:p w14:paraId="509E5A08" w14:textId="77777777" w:rsidR="003770DC" w:rsidRPr="001D2954" w:rsidRDefault="003770DC" w:rsidP="006B5239">
            <w:pPr>
              <w:jc w:val="center"/>
              <w:rPr>
                <w:rFonts w:cs="Calibri"/>
                <w:sz w:val="16"/>
                <w:szCs w:val="16"/>
              </w:rPr>
            </w:pPr>
            <w:r w:rsidRPr="001D2954">
              <w:rPr>
                <w:sz w:val="16"/>
                <w:szCs w:val="16"/>
              </w:rPr>
              <w:t>1.458.063,69 €</w:t>
            </w:r>
          </w:p>
        </w:tc>
      </w:tr>
      <w:tr w:rsidR="006B5239" w:rsidRPr="008B45A0" w14:paraId="4ECF0AF1" w14:textId="77777777" w:rsidTr="006B5239">
        <w:trPr>
          <w:trHeight w:val="255"/>
        </w:trPr>
        <w:tc>
          <w:tcPr>
            <w:tcW w:w="3148" w:type="dxa"/>
          </w:tcPr>
          <w:p w14:paraId="6375CD28" w14:textId="77777777" w:rsidR="006B5239" w:rsidRPr="008732B3" w:rsidRDefault="006B5239" w:rsidP="006B5239">
            <w:r w:rsidRPr="008732B3">
              <w:t xml:space="preserve">Πληρωμές έργων (ΕΛΚΕ): </w:t>
            </w:r>
          </w:p>
        </w:tc>
        <w:tc>
          <w:tcPr>
            <w:tcW w:w="1519" w:type="dxa"/>
          </w:tcPr>
          <w:p w14:paraId="394C586A" w14:textId="77777777" w:rsidR="006B5239" w:rsidRPr="001D2954" w:rsidRDefault="006B5239" w:rsidP="006B5239">
            <w:pPr>
              <w:jc w:val="center"/>
              <w:rPr>
                <w:b/>
                <w:sz w:val="16"/>
                <w:szCs w:val="16"/>
              </w:rPr>
            </w:pPr>
            <w:r w:rsidRPr="001D2954">
              <w:rPr>
                <w:b/>
                <w:sz w:val="16"/>
                <w:szCs w:val="16"/>
              </w:rPr>
              <w:t>1.118.454,67 €</w:t>
            </w:r>
          </w:p>
        </w:tc>
        <w:tc>
          <w:tcPr>
            <w:tcW w:w="1544" w:type="dxa"/>
          </w:tcPr>
          <w:p w14:paraId="40E8AF07" w14:textId="77777777" w:rsidR="006B5239" w:rsidRPr="001D2954" w:rsidRDefault="006B5239" w:rsidP="006B5239">
            <w:pPr>
              <w:jc w:val="center"/>
              <w:rPr>
                <w:sz w:val="16"/>
                <w:szCs w:val="16"/>
              </w:rPr>
            </w:pPr>
            <w:r w:rsidRPr="001D2954">
              <w:rPr>
                <w:sz w:val="16"/>
                <w:szCs w:val="16"/>
              </w:rPr>
              <w:t>467.236,44 €</w:t>
            </w:r>
          </w:p>
        </w:tc>
        <w:tc>
          <w:tcPr>
            <w:tcW w:w="1540" w:type="dxa"/>
          </w:tcPr>
          <w:p w14:paraId="398F7530" w14:textId="77777777" w:rsidR="006B5239" w:rsidRPr="001D2954" w:rsidRDefault="006B5239" w:rsidP="006B5239">
            <w:pPr>
              <w:jc w:val="center"/>
              <w:rPr>
                <w:sz w:val="16"/>
                <w:szCs w:val="16"/>
              </w:rPr>
            </w:pPr>
            <w:r w:rsidRPr="001D2954">
              <w:rPr>
                <w:sz w:val="16"/>
                <w:szCs w:val="16"/>
              </w:rPr>
              <w:t>222.224,92 €</w:t>
            </w:r>
          </w:p>
        </w:tc>
        <w:tc>
          <w:tcPr>
            <w:tcW w:w="1601" w:type="dxa"/>
          </w:tcPr>
          <w:p w14:paraId="4F8F7D84" w14:textId="77777777" w:rsidR="006B5239" w:rsidRPr="001D2954" w:rsidRDefault="006B5239" w:rsidP="006B5239">
            <w:pPr>
              <w:jc w:val="center"/>
              <w:rPr>
                <w:sz w:val="16"/>
                <w:szCs w:val="16"/>
              </w:rPr>
            </w:pPr>
            <w:r w:rsidRPr="001D2954">
              <w:rPr>
                <w:sz w:val="16"/>
                <w:szCs w:val="16"/>
              </w:rPr>
              <w:t>428.993,31 €</w:t>
            </w:r>
          </w:p>
        </w:tc>
      </w:tr>
      <w:tr w:rsidR="006B5239" w:rsidRPr="008B45A0" w14:paraId="5E034078" w14:textId="77777777" w:rsidTr="006B5239">
        <w:trPr>
          <w:trHeight w:val="255"/>
        </w:trPr>
        <w:tc>
          <w:tcPr>
            <w:tcW w:w="3148" w:type="dxa"/>
            <w:hideMark/>
          </w:tcPr>
          <w:p w14:paraId="77E39F28" w14:textId="77777777" w:rsidR="006B5239" w:rsidRDefault="006B5239" w:rsidP="006B5239">
            <w:r w:rsidRPr="008732B3">
              <w:t xml:space="preserve">Πληρωμές έργων (ΟΠΣ): </w:t>
            </w:r>
          </w:p>
        </w:tc>
        <w:tc>
          <w:tcPr>
            <w:tcW w:w="1519" w:type="dxa"/>
          </w:tcPr>
          <w:p w14:paraId="725DB90A" w14:textId="77777777" w:rsidR="006B5239" w:rsidRPr="001D2954" w:rsidRDefault="006B5239" w:rsidP="006B5239">
            <w:pPr>
              <w:jc w:val="center"/>
              <w:rPr>
                <w:b/>
                <w:sz w:val="16"/>
                <w:szCs w:val="16"/>
              </w:rPr>
            </w:pPr>
            <w:r w:rsidRPr="001D2954">
              <w:rPr>
                <w:b/>
                <w:sz w:val="16"/>
                <w:szCs w:val="16"/>
              </w:rPr>
              <w:t>43.453,64 €</w:t>
            </w:r>
          </w:p>
        </w:tc>
        <w:tc>
          <w:tcPr>
            <w:tcW w:w="1544" w:type="dxa"/>
          </w:tcPr>
          <w:p w14:paraId="1090AA0C" w14:textId="77777777" w:rsidR="006B5239" w:rsidRPr="001D2954" w:rsidRDefault="006B5239" w:rsidP="006B5239">
            <w:pPr>
              <w:jc w:val="center"/>
              <w:rPr>
                <w:sz w:val="16"/>
                <w:szCs w:val="16"/>
              </w:rPr>
            </w:pPr>
            <w:r w:rsidRPr="001D2954">
              <w:rPr>
                <w:sz w:val="16"/>
                <w:szCs w:val="16"/>
              </w:rPr>
              <w:t>0,00 €</w:t>
            </w:r>
          </w:p>
        </w:tc>
        <w:tc>
          <w:tcPr>
            <w:tcW w:w="1540" w:type="dxa"/>
          </w:tcPr>
          <w:p w14:paraId="18D85A1D" w14:textId="77777777" w:rsidR="006B5239" w:rsidRPr="001D2954" w:rsidRDefault="006B5239" w:rsidP="006B5239">
            <w:pPr>
              <w:jc w:val="center"/>
              <w:rPr>
                <w:sz w:val="16"/>
                <w:szCs w:val="16"/>
              </w:rPr>
            </w:pPr>
            <w:r w:rsidRPr="001D2954">
              <w:rPr>
                <w:sz w:val="16"/>
                <w:szCs w:val="16"/>
              </w:rPr>
              <w:t>0,00 €</w:t>
            </w:r>
          </w:p>
        </w:tc>
        <w:tc>
          <w:tcPr>
            <w:tcW w:w="1601" w:type="dxa"/>
          </w:tcPr>
          <w:p w14:paraId="3F05D683" w14:textId="4DF15671" w:rsidR="006B5239" w:rsidRPr="001D2954" w:rsidRDefault="003E6037" w:rsidP="006B5239">
            <w:pPr>
              <w:jc w:val="center"/>
              <w:rPr>
                <w:sz w:val="16"/>
                <w:szCs w:val="16"/>
              </w:rPr>
            </w:pPr>
            <w:r w:rsidRPr="001D2954">
              <w:rPr>
                <w:sz w:val="16"/>
                <w:szCs w:val="16"/>
              </w:rPr>
              <w:t>43.453,64 €</w:t>
            </w:r>
          </w:p>
        </w:tc>
      </w:tr>
      <w:tr w:rsidR="003770DC" w:rsidRPr="008B45A0" w14:paraId="28919282" w14:textId="77777777" w:rsidTr="006B5239">
        <w:trPr>
          <w:trHeight w:val="255"/>
        </w:trPr>
        <w:tc>
          <w:tcPr>
            <w:tcW w:w="3148" w:type="dxa"/>
            <w:hideMark/>
          </w:tcPr>
          <w:p w14:paraId="3DCD367A" w14:textId="77777777" w:rsidR="003770DC" w:rsidRPr="00DF43D2" w:rsidRDefault="003770DC" w:rsidP="005F5D19">
            <w:pPr>
              <w:rPr>
                <w:rFonts w:cs="Calibri"/>
                <w:sz w:val="16"/>
                <w:szCs w:val="16"/>
              </w:rPr>
            </w:pPr>
            <w:r w:rsidRPr="00DF43D2">
              <w:rPr>
                <w:rFonts w:cs="Calibri"/>
                <w:sz w:val="16"/>
                <w:szCs w:val="16"/>
              </w:rPr>
              <w:t>Αριθμ. ενταγμένων πράξεων:</w:t>
            </w:r>
          </w:p>
        </w:tc>
        <w:tc>
          <w:tcPr>
            <w:tcW w:w="1519" w:type="dxa"/>
            <w:hideMark/>
          </w:tcPr>
          <w:p w14:paraId="04AFBBF8" w14:textId="77777777" w:rsidR="003770DC" w:rsidRPr="001D2954" w:rsidRDefault="003770DC" w:rsidP="005F5D19">
            <w:pPr>
              <w:jc w:val="center"/>
              <w:rPr>
                <w:rFonts w:cs="Calibri"/>
                <w:b/>
                <w:bCs/>
                <w:sz w:val="16"/>
                <w:szCs w:val="16"/>
              </w:rPr>
            </w:pPr>
            <w:r w:rsidRPr="001D2954">
              <w:rPr>
                <w:b/>
                <w:sz w:val="16"/>
                <w:szCs w:val="16"/>
              </w:rPr>
              <w:t>47</w:t>
            </w:r>
          </w:p>
        </w:tc>
        <w:tc>
          <w:tcPr>
            <w:tcW w:w="1544" w:type="dxa"/>
            <w:hideMark/>
          </w:tcPr>
          <w:p w14:paraId="64CABDCF" w14:textId="77777777" w:rsidR="003770DC" w:rsidRPr="001D2954" w:rsidRDefault="003770DC" w:rsidP="005F5D19">
            <w:pPr>
              <w:jc w:val="center"/>
              <w:rPr>
                <w:rFonts w:cs="Calibri"/>
                <w:sz w:val="16"/>
                <w:szCs w:val="16"/>
              </w:rPr>
            </w:pPr>
            <w:r w:rsidRPr="001D2954">
              <w:rPr>
                <w:sz w:val="16"/>
                <w:szCs w:val="16"/>
              </w:rPr>
              <w:t>21</w:t>
            </w:r>
          </w:p>
        </w:tc>
        <w:tc>
          <w:tcPr>
            <w:tcW w:w="1540" w:type="dxa"/>
            <w:hideMark/>
          </w:tcPr>
          <w:p w14:paraId="50E08830" w14:textId="77777777" w:rsidR="003770DC" w:rsidRPr="001D2954" w:rsidRDefault="003770DC" w:rsidP="005F5D19">
            <w:pPr>
              <w:jc w:val="center"/>
              <w:rPr>
                <w:rFonts w:cs="Calibri"/>
                <w:sz w:val="16"/>
                <w:szCs w:val="16"/>
              </w:rPr>
            </w:pPr>
            <w:r w:rsidRPr="001D2954">
              <w:rPr>
                <w:sz w:val="16"/>
                <w:szCs w:val="16"/>
              </w:rPr>
              <w:t>14</w:t>
            </w:r>
          </w:p>
        </w:tc>
        <w:tc>
          <w:tcPr>
            <w:tcW w:w="1601" w:type="dxa"/>
            <w:hideMark/>
          </w:tcPr>
          <w:p w14:paraId="50D5790C" w14:textId="77777777" w:rsidR="003770DC" w:rsidRPr="001D2954" w:rsidRDefault="003770DC" w:rsidP="005F5D19">
            <w:pPr>
              <w:jc w:val="center"/>
              <w:rPr>
                <w:rFonts w:cs="Calibri"/>
                <w:sz w:val="16"/>
                <w:szCs w:val="16"/>
              </w:rPr>
            </w:pPr>
            <w:r w:rsidRPr="001D2954">
              <w:rPr>
                <w:sz w:val="16"/>
                <w:szCs w:val="16"/>
              </w:rPr>
              <w:t>19</w:t>
            </w:r>
          </w:p>
        </w:tc>
      </w:tr>
      <w:tr w:rsidR="003770DC" w:rsidRPr="008B45A0" w14:paraId="76FB56CE" w14:textId="77777777" w:rsidTr="006B5239">
        <w:trPr>
          <w:trHeight w:val="255"/>
        </w:trPr>
        <w:tc>
          <w:tcPr>
            <w:tcW w:w="3148" w:type="dxa"/>
            <w:hideMark/>
          </w:tcPr>
          <w:p w14:paraId="73AE5433" w14:textId="77777777" w:rsidR="003770DC" w:rsidRPr="00DF43D2" w:rsidRDefault="003770DC" w:rsidP="005F5D19">
            <w:pPr>
              <w:rPr>
                <w:rFonts w:cs="Calibri"/>
                <w:sz w:val="16"/>
                <w:szCs w:val="16"/>
              </w:rPr>
            </w:pPr>
            <w:r w:rsidRPr="00DF43D2">
              <w:rPr>
                <w:rFonts w:cs="Calibri"/>
                <w:sz w:val="16"/>
                <w:szCs w:val="16"/>
              </w:rPr>
              <w:t>Αριθμ. συμμετοχών:</w:t>
            </w:r>
          </w:p>
        </w:tc>
        <w:tc>
          <w:tcPr>
            <w:tcW w:w="1519" w:type="dxa"/>
            <w:hideMark/>
          </w:tcPr>
          <w:p w14:paraId="01E1139B" w14:textId="77777777" w:rsidR="003770DC" w:rsidRPr="00010979" w:rsidRDefault="003770DC" w:rsidP="005F5D19">
            <w:pPr>
              <w:jc w:val="center"/>
              <w:rPr>
                <w:rFonts w:cs="Calibri"/>
                <w:b/>
                <w:bCs/>
                <w:sz w:val="16"/>
                <w:szCs w:val="16"/>
              </w:rPr>
            </w:pPr>
            <w:r w:rsidRPr="00010979">
              <w:rPr>
                <w:b/>
                <w:sz w:val="16"/>
                <w:szCs w:val="16"/>
              </w:rPr>
              <w:t>63</w:t>
            </w:r>
          </w:p>
        </w:tc>
        <w:tc>
          <w:tcPr>
            <w:tcW w:w="1544" w:type="dxa"/>
            <w:hideMark/>
          </w:tcPr>
          <w:p w14:paraId="32B9C427" w14:textId="77777777" w:rsidR="003770DC" w:rsidRPr="00010979" w:rsidRDefault="003770DC" w:rsidP="005F5D19">
            <w:pPr>
              <w:jc w:val="center"/>
              <w:rPr>
                <w:rFonts w:cs="Calibri"/>
                <w:sz w:val="16"/>
                <w:szCs w:val="16"/>
              </w:rPr>
            </w:pPr>
            <w:r w:rsidRPr="00010979">
              <w:rPr>
                <w:sz w:val="16"/>
                <w:szCs w:val="16"/>
              </w:rPr>
              <w:t>23</w:t>
            </w:r>
          </w:p>
        </w:tc>
        <w:tc>
          <w:tcPr>
            <w:tcW w:w="1540" w:type="dxa"/>
            <w:hideMark/>
          </w:tcPr>
          <w:p w14:paraId="1BA6D168" w14:textId="77777777" w:rsidR="003770DC" w:rsidRPr="00010979" w:rsidRDefault="003770DC" w:rsidP="005F5D19">
            <w:pPr>
              <w:jc w:val="center"/>
              <w:rPr>
                <w:rFonts w:cs="Calibri"/>
                <w:sz w:val="16"/>
                <w:szCs w:val="16"/>
              </w:rPr>
            </w:pPr>
            <w:r w:rsidRPr="00010979">
              <w:rPr>
                <w:sz w:val="16"/>
                <w:szCs w:val="16"/>
              </w:rPr>
              <w:t>19</w:t>
            </w:r>
          </w:p>
        </w:tc>
        <w:tc>
          <w:tcPr>
            <w:tcW w:w="1601" w:type="dxa"/>
            <w:hideMark/>
          </w:tcPr>
          <w:p w14:paraId="69BC46F7" w14:textId="77777777" w:rsidR="003770DC" w:rsidRPr="00010979" w:rsidRDefault="003770DC" w:rsidP="005F5D19">
            <w:pPr>
              <w:jc w:val="center"/>
              <w:rPr>
                <w:rFonts w:cs="Calibri"/>
                <w:sz w:val="16"/>
                <w:szCs w:val="16"/>
              </w:rPr>
            </w:pPr>
            <w:r w:rsidRPr="00010979">
              <w:rPr>
                <w:sz w:val="16"/>
                <w:szCs w:val="16"/>
              </w:rPr>
              <w:t>21</w:t>
            </w:r>
          </w:p>
        </w:tc>
      </w:tr>
    </w:tbl>
    <w:p w14:paraId="233E1E50" w14:textId="77777777" w:rsidR="00FF49F6" w:rsidRDefault="00FF49F6" w:rsidP="00ED6AB2">
      <w:pPr>
        <w:pStyle w:val="Caption"/>
      </w:pPr>
    </w:p>
    <w:p w14:paraId="211DB81C" w14:textId="77777777" w:rsidR="003770DC" w:rsidRPr="0061319E" w:rsidRDefault="00ED6AB2" w:rsidP="00ED6AB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FF49F6">
        <w:rPr>
          <w:noProof/>
        </w:rPr>
        <w:t>17</w:t>
      </w:r>
      <w:r w:rsidR="00C80E86" w:rsidRPr="00C80E86">
        <w:rPr>
          <w:noProof/>
        </w:rPr>
        <w:t>:</w:t>
      </w:r>
      <w:r>
        <w:t xml:space="preserve"> </w:t>
      </w:r>
      <w:r w:rsidR="003770DC" w:rsidRPr="0061319E">
        <w:t xml:space="preserve">Ποσοστιαία κατανομή εντάξεων και πληρωμών (έως 31.12.2018) </w:t>
      </w:r>
      <w:r w:rsidR="003D262C" w:rsidRPr="003D262C">
        <w:t>στο πλαίσιο δράσεων για τα Ευρωπαϊκά Δίκτυα ERA NETS</w:t>
      </w:r>
    </w:p>
    <w:tbl>
      <w:tblPr>
        <w:tblStyle w:val="TableGrid1"/>
        <w:tblW w:w="944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804"/>
        <w:gridCol w:w="1522"/>
        <w:gridCol w:w="1522"/>
        <w:gridCol w:w="1594"/>
      </w:tblGrid>
      <w:tr w:rsidR="003770DC" w:rsidRPr="008B45A0" w14:paraId="4F0EC0D9" w14:textId="77777777" w:rsidTr="006B5239">
        <w:trPr>
          <w:trHeight w:val="510"/>
        </w:trPr>
        <w:tc>
          <w:tcPr>
            <w:tcW w:w="4804" w:type="dxa"/>
            <w:shd w:val="clear" w:color="auto" w:fill="800000"/>
            <w:vAlign w:val="center"/>
            <w:hideMark/>
          </w:tcPr>
          <w:p w14:paraId="0C2CC3DF" w14:textId="77777777" w:rsidR="003770DC" w:rsidRPr="00DF43D2" w:rsidRDefault="003770DC" w:rsidP="00853066">
            <w:pPr>
              <w:jc w:val="center"/>
              <w:rPr>
                <w:rFonts w:cs="Calibri"/>
                <w:b/>
                <w:bCs/>
                <w:color w:val="C00000"/>
                <w:sz w:val="16"/>
                <w:szCs w:val="16"/>
              </w:rPr>
            </w:pPr>
            <w:r>
              <w:rPr>
                <w:rFonts w:cs="Calibri"/>
                <w:b/>
                <w:bCs/>
                <w:sz w:val="16"/>
                <w:szCs w:val="16"/>
              </w:rPr>
              <w:t>Ευρωπαϊκά Δίκτυα ERA NETS</w:t>
            </w:r>
          </w:p>
        </w:tc>
        <w:tc>
          <w:tcPr>
            <w:tcW w:w="1522" w:type="dxa"/>
            <w:shd w:val="clear" w:color="auto" w:fill="800000"/>
            <w:vAlign w:val="center"/>
            <w:hideMark/>
          </w:tcPr>
          <w:p w14:paraId="2C62F03E" w14:textId="77777777" w:rsidR="003770DC" w:rsidRPr="00DF43D2" w:rsidRDefault="003770DC" w:rsidP="00853066">
            <w:pPr>
              <w:jc w:val="center"/>
              <w:rPr>
                <w:rFonts w:cs="Calibri"/>
                <w:b/>
                <w:bCs/>
                <w:sz w:val="16"/>
                <w:szCs w:val="16"/>
              </w:rPr>
            </w:pPr>
            <w:r w:rsidRPr="00DF43D2">
              <w:rPr>
                <w:rFonts w:cs="Calibri"/>
                <w:b/>
                <w:bCs/>
                <w:sz w:val="16"/>
                <w:szCs w:val="16"/>
              </w:rPr>
              <w:t>Περισσότερο Ανεπτυγμένες Περιφέρειες</w:t>
            </w:r>
          </w:p>
        </w:tc>
        <w:tc>
          <w:tcPr>
            <w:tcW w:w="1522" w:type="dxa"/>
            <w:shd w:val="clear" w:color="auto" w:fill="800000"/>
            <w:vAlign w:val="center"/>
            <w:hideMark/>
          </w:tcPr>
          <w:p w14:paraId="6AA75722" w14:textId="77777777" w:rsidR="003770DC" w:rsidRPr="00DF43D2" w:rsidRDefault="003770DC" w:rsidP="00853066">
            <w:pPr>
              <w:jc w:val="center"/>
              <w:rPr>
                <w:rFonts w:cs="Calibri"/>
                <w:b/>
                <w:bCs/>
                <w:sz w:val="16"/>
                <w:szCs w:val="16"/>
              </w:rPr>
            </w:pPr>
            <w:r w:rsidRPr="00DF43D2">
              <w:rPr>
                <w:rFonts w:cs="Calibri"/>
                <w:b/>
                <w:bCs/>
                <w:sz w:val="16"/>
                <w:szCs w:val="16"/>
              </w:rPr>
              <w:t>Περιφέρειες σε Μετάβαση</w:t>
            </w:r>
          </w:p>
        </w:tc>
        <w:tc>
          <w:tcPr>
            <w:tcW w:w="1594" w:type="dxa"/>
            <w:shd w:val="clear" w:color="auto" w:fill="800000"/>
            <w:vAlign w:val="center"/>
            <w:hideMark/>
          </w:tcPr>
          <w:p w14:paraId="30C6A0AC" w14:textId="77777777" w:rsidR="003770DC" w:rsidRPr="00DF43D2" w:rsidRDefault="003770DC" w:rsidP="00853066">
            <w:pPr>
              <w:jc w:val="center"/>
              <w:rPr>
                <w:rFonts w:cs="Calibri"/>
                <w:b/>
                <w:bCs/>
                <w:sz w:val="16"/>
                <w:szCs w:val="16"/>
              </w:rPr>
            </w:pPr>
            <w:r w:rsidRPr="00DF43D2">
              <w:rPr>
                <w:rFonts w:cs="Calibri"/>
                <w:b/>
                <w:bCs/>
                <w:sz w:val="16"/>
                <w:szCs w:val="16"/>
              </w:rPr>
              <w:t>Λιγότερο Ανεπτυγμένες Περιφέρειες</w:t>
            </w:r>
          </w:p>
        </w:tc>
      </w:tr>
      <w:tr w:rsidR="00B2679D" w:rsidRPr="008B45A0" w14:paraId="2979AA10" w14:textId="77777777" w:rsidTr="006B5239">
        <w:trPr>
          <w:trHeight w:val="645"/>
        </w:trPr>
        <w:tc>
          <w:tcPr>
            <w:tcW w:w="4804" w:type="dxa"/>
          </w:tcPr>
          <w:p w14:paraId="040920EC" w14:textId="77777777" w:rsidR="00B2679D" w:rsidRPr="0017156D" w:rsidRDefault="00B2679D" w:rsidP="00B2679D">
            <w:r w:rsidRPr="0017156D">
              <w:t>Ποσοστιαία κατανομή του προϋπ/σμού (ΔΔ) Πρόσκλησης ανά κατηγορία Περιφερειών</w:t>
            </w:r>
          </w:p>
        </w:tc>
        <w:tc>
          <w:tcPr>
            <w:tcW w:w="1522" w:type="dxa"/>
            <w:hideMark/>
          </w:tcPr>
          <w:p w14:paraId="6D40BA46" w14:textId="77777777" w:rsidR="00B2679D" w:rsidRPr="001D2954" w:rsidRDefault="00B2679D" w:rsidP="00B2679D">
            <w:pPr>
              <w:jc w:val="center"/>
            </w:pPr>
            <w:r w:rsidRPr="001D2954">
              <w:t>37,75%</w:t>
            </w:r>
          </w:p>
        </w:tc>
        <w:tc>
          <w:tcPr>
            <w:tcW w:w="1522" w:type="dxa"/>
            <w:hideMark/>
          </w:tcPr>
          <w:p w14:paraId="673706A3" w14:textId="77777777" w:rsidR="00B2679D" w:rsidRPr="001D2954" w:rsidRDefault="00B2679D" w:rsidP="00B2679D">
            <w:pPr>
              <w:jc w:val="center"/>
            </w:pPr>
            <w:r w:rsidRPr="001D2954">
              <w:t>23,24%</w:t>
            </w:r>
          </w:p>
        </w:tc>
        <w:tc>
          <w:tcPr>
            <w:tcW w:w="1594" w:type="dxa"/>
            <w:hideMark/>
          </w:tcPr>
          <w:p w14:paraId="45069B1E" w14:textId="77777777" w:rsidR="00B2679D" w:rsidRPr="001D2954" w:rsidRDefault="00B2679D" w:rsidP="00B2679D">
            <w:pPr>
              <w:jc w:val="center"/>
            </w:pPr>
            <w:r w:rsidRPr="001D2954">
              <w:t>39,01%</w:t>
            </w:r>
          </w:p>
        </w:tc>
      </w:tr>
      <w:tr w:rsidR="00B2679D" w:rsidRPr="008B45A0" w14:paraId="5E032513" w14:textId="77777777" w:rsidTr="006B5239">
        <w:trPr>
          <w:trHeight w:val="510"/>
        </w:trPr>
        <w:tc>
          <w:tcPr>
            <w:tcW w:w="4804" w:type="dxa"/>
          </w:tcPr>
          <w:p w14:paraId="3B7DEB53" w14:textId="77777777" w:rsidR="00B2679D" w:rsidRPr="0017156D" w:rsidRDefault="00B2679D" w:rsidP="00B2679D">
            <w:r w:rsidRPr="0017156D">
              <w:t>Ποσοστιαία κατανομή του προϋπ/σμού (ΔΔ) ενταγμένων έργων ανά κατηγορία Περιφερειών</w:t>
            </w:r>
          </w:p>
        </w:tc>
        <w:tc>
          <w:tcPr>
            <w:tcW w:w="1522" w:type="dxa"/>
            <w:hideMark/>
          </w:tcPr>
          <w:p w14:paraId="68B99BE0" w14:textId="77777777" w:rsidR="00B2679D" w:rsidRPr="001D2954" w:rsidRDefault="00B2679D" w:rsidP="00B2679D">
            <w:pPr>
              <w:jc w:val="center"/>
            </w:pPr>
            <w:r w:rsidRPr="001D2954">
              <w:t>40,73%</w:t>
            </w:r>
          </w:p>
        </w:tc>
        <w:tc>
          <w:tcPr>
            <w:tcW w:w="1522" w:type="dxa"/>
            <w:hideMark/>
          </w:tcPr>
          <w:p w14:paraId="339DE094" w14:textId="77777777" w:rsidR="00B2679D" w:rsidRPr="001D2954" w:rsidRDefault="00B2679D" w:rsidP="00B2679D">
            <w:pPr>
              <w:jc w:val="center"/>
            </w:pPr>
            <w:r w:rsidRPr="001D2954">
              <w:t>27,38%</w:t>
            </w:r>
          </w:p>
        </w:tc>
        <w:tc>
          <w:tcPr>
            <w:tcW w:w="1594" w:type="dxa"/>
            <w:hideMark/>
          </w:tcPr>
          <w:p w14:paraId="4ABD5F70" w14:textId="77777777" w:rsidR="00B2679D" w:rsidRPr="001D2954" w:rsidRDefault="00B2679D" w:rsidP="00B2679D">
            <w:pPr>
              <w:jc w:val="center"/>
            </w:pPr>
            <w:r w:rsidRPr="001D2954">
              <w:t>31,90%</w:t>
            </w:r>
          </w:p>
        </w:tc>
      </w:tr>
      <w:tr w:rsidR="00B2679D" w:rsidRPr="008B45A0" w14:paraId="4C31458C" w14:textId="77777777" w:rsidTr="006B5239">
        <w:trPr>
          <w:trHeight w:val="690"/>
        </w:trPr>
        <w:tc>
          <w:tcPr>
            <w:tcW w:w="4804" w:type="dxa"/>
          </w:tcPr>
          <w:p w14:paraId="39B23E7E" w14:textId="77777777" w:rsidR="00B2679D" w:rsidRPr="0017156D" w:rsidRDefault="00B2679D" w:rsidP="00B2679D">
            <w:r w:rsidRPr="0017156D">
              <w:t>Ποσοστιαία κατανομή πληρωμών ΕΛΚΕ ανά κατηγορία Περιφερειών</w:t>
            </w:r>
          </w:p>
        </w:tc>
        <w:tc>
          <w:tcPr>
            <w:tcW w:w="1522" w:type="dxa"/>
            <w:hideMark/>
          </w:tcPr>
          <w:p w14:paraId="06143388" w14:textId="77777777" w:rsidR="00B2679D" w:rsidRPr="001D2954" w:rsidRDefault="00B2679D" w:rsidP="00B2679D">
            <w:pPr>
              <w:jc w:val="center"/>
            </w:pPr>
            <w:r w:rsidRPr="001D2954">
              <w:t>41,78%</w:t>
            </w:r>
          </w:p>
        </w:tc>
        <w:tc>
          <w:tcPr>
            <w:tcW w:w="1522" w:type="dxa"/>
            <w:hideMark/>
          </w:tcPr>
          <w:p w14:paraId="50098E05" w14:textId="77777777" w:rsidR="00B2679D" w:rsidRPr="001D2954" w:rsidRDefault="00B2679D" w:rsidP="00B2679D">
            <w:pPr>
              <w:jc w:val="center"/>
            </w:pPr>
            <w:r w:rsidRPr="001D2954">
              <w:t>19,87%</w:t>
            </w:r>
          </w:p>
        </w:tc>
        <w:tc>
          <w:tcPr>
            <w:tcW w:w="1594" w:type="dxa"/>
            <w:hideMark/>
          </w:tcPr>
          <w:p w14:paraId="199A36B4" w14:textId="77777777" w:rsidR="00B2679D" w:rsidRPr="001D2954" w:rsidRDefault="00B2679D" w:rsidP="00B2679D">
            <w:pPr>
              <w:jc w:val="center"/>
            </w:pPr>
            <w:r w:rsidRPr="001D2954">
              <w:t>38,36%</w:t>
            </w:r>
          </w:p>
        </w:tc>
      </w:tr>
      <w:tr w:rsidR="00B2679D" w:rsidRPr="008B45A0" w14:paraId="4680BE2C" w14:textId="77777777" w:rsidTr="006B5239">
        <w:trPr>
          <w:trHeight w:val="510"/>
        </w:trPr>
        <w:tc>
          <w:tcPr>
            <w:tcW w:w="4804" w:type="dxa"/>
          </w:tcPr>
          <w:p w14:paraId="1945E181" w14:textId="77777777" w:rsidR="00B2679D" w:rsidRPr="0017156D" w:rsidRDefault="00B2679D" w:rsidP="00B2679D">
            <w:r w:rsidRPr="0017156D">
              <w:t>Ποσοστιαία κατανομή καταχωρημένων πληρωμών στο ΟΠΣ ανά κατηγορία Περιφερειών</w:t>
            </w:r>
          </w:p>
        </w:tc>
        <w:tc>
          <w:tcPr>
            <w:tcW w:w="1522" w:type="dxa"/>
            <w:hideMark/>
          </w:tcPr>
          <w:p w14:paraId="28E8DCF1" w14:textId="77777777" w:rsidR="00B2679D" w:rsidRPr="001D2954" w:rsidRDefault="00B2679D" w:rsidP="00B2679D">
            <w:pPr>
              <w:jc w:val="center"/>
            </w:pPr>
            <w:r w:rsidRPr="001D2954">
              <w:t>0,00%</w:t>
            </w:r>
          </w:p>
        </w:tc>
        <w:tc>
          <w:tcPr>
            <w:tcW w:w="1522" w:type="dxa"/>
            <w:hideMark/>
          </w:tcPr>
          <w:p w14:paraId="0870E38B" w14:textId="77777777" w:rsidR="00B2679D" w:rsidRPr="001D2954" w:rsidRDefault="00B2679D" w:rsidP="00B2679D">
            <w:pPr>
              <w:jc w:val="center"/>
            </w:pPr>
            <w:r w:rsidRPr="001D2954">
              <w:t>0,00%</w:t>
            </w:r>
          </w:p>
        </w:tc>
        <w:tc>
          <w:tcPr>
            <w:tcW w:w="1594" w:type="dxa"/>
            <w:hideMark/>
          </w:tcPr>
          <w:p w14:paraId="6DD604BD" w14:textId="77777777" w:rsidR="00B2679D" w:rsidRPr="001D2954" w:rsidRDefault="00B2679D" w:rsidP="00B2679D">
            <w:pPr>
              <w:jc w:val="center"/>
            </w:pPr>
            <w:r w:rsidRPr="001D2954">
              <w:t>100,00%</w:t>
            </w:r>
          </w:p>
        </w:tc>
      </w:tr>
    </w:tbl>
    <w:p w14:paraId="540C6D08" w14:textId="77777777" w:rsidR="00FF49F6" w:rsidRDefault="00FF49F6" w:rsidP="00FF49F6">
      <w:pPr>
        <w:pStyle w:val="Caption"/>
      </w:pPr>
    </w:p>
    <w:p w14:paraId="7BBFBDF2" w14:textId="77777777" w:rsidR="00FF49F6" w:rsidRDefault="00FF49F6" w:rsidP="00FF49F6">
      <w:pPr>
        <w:pStyle w:val="Caption"/>
      </w:pPr>
    </w:p>
    <w:p w14:paraId="05E6D84A" w14:textId="77777777" w:rsidR="00FF49F6" w:rsidRDefault="00FF49F6" w:rsidP="00FF49F6">
      <w:pPr>
        <w:pStyle w:val="Caption"/>
      </w:pPr>
    </w:p>
    <w:p w14:paraId="04044D9A" w14:textId="77777777" w:rsidR="003D262C" w:rsidRDefault="003D262C" w:rsidP="003D262C"/>
    <w:p w14:paraId="0E109EB6" w14:textId="77777777" w:rsidR="00FF49F6" w:rsidRPr="00FF49F6" w:rsidRDefault="003D262C" w:rsidP="00FF49F6">
      <w:pPr>
        <w:pStyle w:val="Caption"/>
      </w:pPr>
      <w:r>
        <w:t>Πίνακας 3</w:t>
      </w:r>
      <w:r w:rsidR="00FF49F6">
        <w:t xml:space="preserve">-18: Περιφερειακή κατανομή και συσχετισμός εντάξεων-πληρωμών </w:t>
      </w:r>
      <w:r w:rsidR="00FF49F6" w:rsidRPr="0061319E">
        <w:t xml:space="preserve">στο πλαίσιο </w:t>
      </w:r>
      <w:r w:rsidR="00FF49F6" w:rsidRPr="00FF49F6">
        <w:t>δράσεων για τα Ευρωπαϊκά Δίκτυα ERA NETS</w:t>
      </w:r>
    </w:p>
    <w:tbl>
      <w:tblPr>
        <w:tblStyle w:val="TableGrid1"/>
        <w:tblW w:w="960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96"/>
        <w:gridCol w:w="2006"/>
        <w:gridCol w:w="1541"/>
        <w:gridCol w:w="965"/>
        <w:gridCol w:w="1727"/>
        <w:gridCol w:w="970"/>
      </w:tblGrid>
      <w:tr w:rsidR="00FF49F6" w:rsidRPr="00DF43D2" w14:paraId="495CEAA6" w14:textId="77777777" w:rsidTr="00FF49F6">
        <w:trPr>
          <w:trHeight w:val="825"/>
          <w:tblHeader/>
          <w:jc w:val="center"/>
        </w:trPr>
        <w:tc>
          <w:tcPr>
            <w:tcW w:w="2396" w:type="dxa"/>
            <w:shd w:val="clear" w:color="auto" w:fill="800000"/>
            <w:vAlign w:val="center"/>
          </w:tcPr>
          <w:p w14:paraId="2EA565D0" w14:textId="77777777" w:rsidR="00FF49F6" w:rsidRPr="00A3379D" w:rsidRDefault="00FF49F6" w:rsidP="00FF49F6">
            <w:pPr>
              <w:jc w:val="center"/>
              <w:rPr>
                <w:b/>
                <w:sz w:val="16"/>
                <w:szCs w:val="16"/>
              </w:rPr>
            </w:pPr>
            <w:r>
              <w:rPr>
                <w:b/>
                <w:sz w:val="16"/>
                <w:szCs w:val="16"/>
              </w:rPr>
              <w:t>Περιφέρεια</w:t>
            </w:r>
          </w:p>
        </w:tc>
        <w:tc>
          <w:tcPr>
            <w:tcW w:w="2006" w:type="dxa"/>
            <w:shd w:val="clear" w:color="auto" w:fill="800000"/>
            <w:vAlign w:val="center"/>
          </w:tcPr>
          <w:p w14:paraId="1A3FB129" w14:textId="77777777" w:rsidR="00FF49F6" w:rsidRPr="00A3379D" w:rsidRDefault="00FF49F6" w:rsidP="00FF49F6">
            <w:pPr>
              <w:jc w:val="center"/>
              <w:rPr>
                <w:rFonts w:cs="Calibri"/>
                <w:b/>
                <w:bCs/>
                <w:color w:val="C00000"/>
                <w:sz w:val="16"/>
                <w:szCs w:val="16"/>
              </w:rPr>
            </w:pPr>
            <w:r w:rsidRPr="00A3379D">
              <w:rPr>
                <w:rFonts w:cs="Calibri"/>
                <w:b/>
                <w:bCs/>
                <w:sz w:val="16"/>
                <w:szCs w:val="16"/>
              </w:rPr>
              <w:t>Εντάξεις (Δ.Δ)</w:t>
            </w:r>
          </w:p>
        </w:tc>
        <w:tc>
          <w:tcPr>
            <w:tcW w:w="1541" w:type="dxa"/>
            <w:shd w:val="clear" w:color="auto" w:fill="800000"/>
            <w:vAlign w:val="center"/>
            <w:hideMark/>
          </w:tcPr>
          <w:p w14:paraId="187C2825" w14:textId="77777777" w:rsidR="00FF49F6" w:rsidRPr="00A3379D" w:rsidRDefault="00FF49F6" w:rsidP="00FF49F6">
            <w:pPr>
              <w:jc w:val="center"/>
              <w:rPr>
                <w:b/>
                <w:sz w:val="16"/>
                <w:szCs w:val="16"/>
              </w:rPr>
            </w:pPr>
            <w:r w:rsidRPr="00A3379D">
              <w:rPr>
                <w:b/>
                <w:sz w:val="16"/>
                <w:szCs w:val="16"/>
              </w:rPr>
              <w:t>Πληρωμές Ε.Λ. έως 31/12/2018</w:t>
            </w:r>
          </w:p>
        </w:tc>
        <w:tc>
          <w:tcPr>
            <w:tcW w:w="965" w:type="dxa"/>
            <w:shd w:val="clear" w:color="auto" w:fill="800000"/>
            <w:vAlign w:val="center"/>
            <w:hideMark/>
          </w:tcPr>
          <w:p w14:paraId="6E1CDA65" w14:textId="77777777" w:rsidR="00FF49F6" w:rsidRPr="0006411D" w:rsidRDefault="00FF49F6" w:rsidP="00FF49F6">
            <w:pPr>
              <w:jc w:val="center"/>
              <w:rPr>
                <w:b/>
                <w:i/>
                <w:sz w:val="16"/>
                <w:szCs w:val="16"/>
              </w:rPr>
            </w:pPr>
            <w:r w:rsidRPr="0006411D">
              <w:rPr>
                <w:b/>
                <w:i/>
                <w:sz w:val="16"/>
                <w:szCs w:val="16"/>
              </w:rPr>
              <w:t>%</w:t>
            </w:r>
          </w:p>
        </w:tc>
        <w:tc>
          <w:tcPr>
            <w:tcW w:w="1727" w:type="dxa"/>
            <w:shd w:val="clear" w:color="auto" w:fill="800000"/>
            <w:vAlign w:val="center"/>
            <w:hideMark/>
          </w:tcPr>
          <w:p w14:paraId="63F3556B" w14:textId="77777777" w:rsidR="00FF49F6" w:rsidRPr="00A3379D" w:rsidRDefault="00FF49F6" w:rsidP="00FF49F6">
            <w:pPr>
              <w:jc w:val="center"/>
              <w:rPr>
                <w:b/>
                <w:sz w:val="16"/>
                <w:szCs w:val="16"/>
              </w:rPr>
            </w:pPr>
            <w:r w:rsidRPr="00A3379D">
              <w:rPr>
                <w:b/>
                <w:sz w:val="16"/>
                <w:szCs w:val="16"/>
              </w:rPr>
              <w:t>Πληρωμές ΟΠΣ έως 31/12/2018</w:t>
            </w:r>
          </w:p>
        </w:tc>
        <w:tc>
          <w:tcPr>
            <w:tcW w:w="970" w:type="dxa"/>
            <w:shd w:val="clear" w:color="auto" w:fill="800000"/>
            <w:vAlign w:val="center"/>
            <w:hideMark/>
          </w:tcPr>
          <w:p w14:paraId="0920C61D" w14:textId="77777777" w:rsidR="00FF49F6" w:rsidRPr="0006411D" w:rsidRDefault="00FF49F6" w:rsidP="00FF49F6">
            <w:pPr>
              <w:jc w:val="center"/>
              <w:rPr>
                <w:b/>
                <w:i/>
                <w:sz w:val="16"/>
                <w:szCs w:val="16"/>
              </w:rPr>
            </w:pPr>
            <w:r w:rsidRPr="0006411D">
              <w:rPr>
                <w:b/>
                <w:i/>
                <w:sz w:val="16"/>
                <w:szCs w:val="16"/>
              </w:rPr>
              <w:t>%</w:t>
            </w:r>
          </w:p>
        </w:tc>
      </w:tr>
      <w:tr w:rsidR="003D262C" w:rsidRPr="001D2954" w14:paraId="4D36F732" w14:textId="77777777" w:rsidTr="00696052">
        <w:trPr>
          <w:trHeight w:val="285"/>
          <w:jc w:val="center"/>
        </w:trPr>
        <w:tc>
          <w:tcPr>
            <w:tcW w:w="2396" w:type="dxa"/>
            <w:vAlign w:val="center"/>
          </w:tcPr>
          <w:p w14:paraId="0CA2D147" w14:textId="77777777" w:rsidR="003D262C" w:rsidRPr="001D2954" w:rsidRDefault="003D262C" w:rsidP="003D262C">
            <w:r w:rsidRPr="001D2954">
              <w:t>Ανατολικής Μακεδονίας και Θράκης</w:t>
            </w:r>
          </w:p>
        </w:tc>
        <w:tc>
          <w:tcPr>
            <w:tcW w:w="2006" w:type="dxa"/>
          </w:tcPr>
          <w:p w14:paraId="5D4344A4" w14:textId="77777777" w:rsidR="003D262C" w:rsidRPr="001D2954" w:rsidRDefault="003D262C" w:rsidP="007074E2">
            <w:pPr>
              <w:jc w:val="center"/>
            </w:pPr>
            <w:r w:rsidRPr="001D2954">
              <w:t>0,00 €</w:t>
            </w:r>
          </w:p>
        </w:tc>
        <w:tc>
          <w:tcPr>
            <w:tcW w:w="1541" w:type="dxa"/>
          </w:tcPr>
          <w:p w14:paraId="78AD3C17" w14:textId="77777777" w:rsidR="003D262C" w:rsidRPr="001D2954" w:rsidRDefault="003D262C" w:rsidP="007074E2">
            <w:pPr>
              <w:jc w:val="center"/>
            </w:pPr>
            <w:r w:rsidRPr="001D2954">
              <w:t>0,00 €</w:t>
            </w:r>
          </w:p>
        </w:tc>
        <w:tc>
          <w:tcPr>
            <w:tcW w:w="965" w:type="dxa"/>
          </w:tcPr>
          <w:p w14:paraId="28E72981" w14:textId="77777777" w:rsidR="003D262C" w:rsidRPr="001D2954" w:rsidRDefault="003D262C" w:rsidP="007074E2">
            <w:pPr>
              <w:jc w:val="center"/>
              <w:rPr>
                <w:i/>
              </w:rPr>
            </w:pPr>
            <w:r w:rsidRPr="001D2954">
              <w:rPr>
                <w:i/>
              </w:rPr>
              <w:t>0,0%</w:t>
            </w:r>
          </w:p>
        </w:tc>
        <w:tc>
          <w:tcPr>
            <w:tcW w:w="1727" w:type="dxa"/>
          </w:tcPr>
          <w:p w14:paraId="47300A1D" w14:textId="77777777" w:rsidR="003D262C" w:rsidRPr="001D2954" w:rsidRDefault="003D262C" w:rsidP="007074E2">
            <w:pPr>
              <w:jc w:val="center"/>
            </w:pPr>
            <w:r w:rsidRPr="001D2954">
              <w:t>0,00 €</w:t>
            </w:r>
          </w:p>
        </w:tc>
        <w:tc>
          <w:tcPr>
            <w:tcW w:w="970" w:type="dxa"/>
          </w:tcPr>
          <w:p w14:paraId="1900C29E" w14:textId="77777777" w:rsidR="003D262C" w:rsidRPr="001D2954" w:rsidRDefault="003D262C" w:rsidP="007074E2">
            <w:pPr>
              <w:jc w:val="center"/>
              <w:rPr>
                <w:i/>
              </w:rPr>
            </w:pPr>
            <w:r w:rsidRPr="001D2954">
              <w:rPr>
                <w:i/>
              </w:rPr>
              <w:t>0,0%</w:t>
            </w:r>
          </w:p>
        </w:tc>
      </w:tr>
      <w:tr w:rsidR="003D262C" w:rsidRPr="001D2954" w14:paraId="36FFA103" w14:textId="77777777" w:rsidTr="00696052">
        <w:trPr>
          <w:trHeight w:val="255"/>
          <w:jc w:val="center"/>
        </w:trPr>
        <w:tc>
          <w:tcPr>
            <w:tcW w:w="2396" w:type="dxa"/>
            <w:vAlign w:val="center"/>
          </w:tcPr>
          <w:p w14:paraId="50B62429" w14:textId="77777777" w:rsidR="003D262C" w:rsidRPr="001D2954" w:rsidRDefault="003D262C" w:rsidP="003D262C">
            <w:r w:rsidRPr="001D2954">
              <w:t>Αττικής</w:t>
            </w:r>
          </w:p>
        </w:tc>
        <w:tc>
          <w:tcPr>
            <w:tcW w:w="2006" w:type="dxa"/>
          </w:tcPr>
          <w:p w14:paraId="7696216B" w14:textId="77777777" w:rsidR="003D262C" w:rsidRPr="001D2954" w:rsidRDefault="003D262C" w:rsidP="007074E2">
            <w:pPr>
              <w:jc w:val="center"/>
            </w:pPr>
            <w:r w:rsidRPr="001D2954">
              <w:t>1.861.723,65 €</w:t>
            </w:r>
          </w:p>
        </w:tc>
        <w:tc>
          <w:tcPr>
            <w:tcW w:w="1541" w:type="dxa"/>
          </w:tcPr>
          <w:p w14:paraId="788CEE9E" w14:textId="77777777" w:rsidR="003D262C" w:rsidRPr="001D2954" w:rsidRDefault="003D262C" w:rsidP="007074E2">
            <w:pPr>
              <w:jc w:val="center"/>
            </w:pPr>
            <w:r w:rsidRPr="001D2954">
              <w:t>467.236,44 €</w:t>
            </w:r>
          </w:p>
        </w:tc>
        <w:tc>
          <w:tcPr>
            <w:tcW w:w="965" w:type="dxa"/>
          </w:tcPr>
          <w:p w14:paraId="51AB2134" w14:textId="77777777" w:rsidR="003D262C" w:rsidRPr="001D2954" w:rsidRDefault="003D262C" w:rsidP="007074E2">
            <w:pPr>
              <w:jc w:val="center"/>
              <w:rPr>
                <w:i/>
              </w:rPr>
            </w:pPr>
            <w:r w:rsidRPr="001D2954">
              <w:rPr>
                <w:i/>
              </w:rPr>
              <w:t>25,1%</w:t>
            </w:r>
          </w:p>
        </w:tc>
        <w:tc>
          <w:tcPr>
            <w:tcW w:w="1727" w:type="dxa"/>
          </w:tcPr>
          <w:p w14:paraId="2D25A0D5" w14:textId="77777777" w:rsidR="003D262C" w:rsidRPr="001D2954" w:rsidRDefault="003D262C" w:rsidP="007074E2">
            <w:pPr>
              <w:jc w:val="center"/>
            </w:pPr>
            <w:r w:rsidRPr="001D2954">
              <w:t>0,00 €</w:t>
            </w:r>
          </w:p>
        </w:tc>
        <w:tc>
          <w:tcPr>
            <w:tcW w:w="970" w:type="dxa"/>
          </w:tcPr>
          <w:p w14:paraId="1797D629" w14:textId="77777777" w:rsidR="003D262C" w:rsidRPr="001D2954" w:rsidRDefault="003D262C" w:rsidP="007074E2">
            <w:pPr>
              <w:jc w:val="center"/>
              <w:rPr>
                <w:i/>
              </w:rPr>
            </w:pPr>
            <w:r w:rsidRPr="001D2954">
              <w:rPr>
                <w:i/>
              </w:rPr>
              <w:t>0%</w:t>
            </w:r>
          </w:p>
        </w:tc>
      </w:tr>
      <w:tr w:rsidR="003D262C" w:rsidRPr="001D2954" w14:paraId="4C1F1F80" w14:textId="77777777" w:rsidTr="00696052">
        <w:trPr>
          <w:trHeight w:val="255"/>
          <w:jc w:val="center"/>
        </w:trPr>
        <w:tc>
          <w:tcPr>
            <w:tcW w:w="2396" w:type="dxa"/>
            <w:vAlign w:val="center"/>
          </w:tcPr>
          <w:p w14:paraId="07D0B9D3" w14:textId="77777777" w:rsidR="003D262C" w:rsidRPr="001D2954" w:rsidRDefault="003D262C" w:rsidP="003D262C">
            <w:r w:rsidRPr="001D2954">
              <w:t>Βόρειο Αιγαίο</w:t>
            </w:r>
          </w:p>
        </w:tc>
        <w:tc>
          <w:tcPr>
            <w:tcW w:w="2006" w:type="dxa"/>
          </w:tcPr>
          <w:p w14:paraId="6D757CEF" w14:textId="77777777" w:rsidR="003D262C" w:rsidRPr="001D2954" w:rsidRDefault="003D262C" w:rsidP="007074E2">
            <w:pPr>
              <w:jc w:val="center"/>
            </w:pPr>
            <w:r w:rsidRPr="001D2954">
              <w:t>79.977,56 €</w:t>
            </w:r>
          </w:p>
        </w:tc>
        <w:tc>
          <w:tcPr>
            <w:tcW w:w="1541" w:type="dxa"/>
          </w:tcPr>
          <w:p w14:paraId="4F46E03F" w14:textId="77777777" w:rsidR="003D262C" w:rsidRPr="001D2954" w:rsidRDefault="003D262C" w:rsidP="007074E2">
            <w:pPr>
              <w:jc w:val="center"/>
            </w:pPr>
            <w:r w:rsidRPr="001D2954">
              <w:t>0,00 €</w:t>
            </w:r>
          </w:p>
        </w:tc>
        <w:tc>
          <w:tcPr>
            <w:tcW w:w="965" w:type="dxa"/>
          </w:tcPr>
          <w:p w14:paraId="6D15C1CD" w14:textId="77777777" w:rsidR="003D262C" w:rsidRPr="001D2954" w:rsidRDefault="003D262C" w:rsidP="007074E2">
            <w:pPr>
              <w:jc w:val="center"/>
              <w:rPr>
                <w:i/>
              </w:rPr>
            </w:pPr>
            <w:r w:rsidRPr="001D2954">
              <w:rPr>
                <w:i/>
              </w:rPr>
              <w:t>0,0%</w:t>
            </w:r>
          </w:p>
        </w:tc>
        <w:tc>
          <w:tcPr>
            <w:tcW w:w="1727" w:type="dxa"/>
          </w:tcPr>
          <w:p w14:paraId="76B8CB68" w14:textId="77777777" w:rsidR="003D262C" w:rsidRPr="001D2954" w:rsidRDefault="003D262C" w:rsidP="007074E2">
            <w:pPr>
              <w:jc w:val="center"/>
            </w:pPr>
            <w:r w:rsidRPr="001D2954">
              <w:t>0,00 €</w:t>
            </w:r>
          </w:p>
        </w:tc>
        <w:tc>
          <w:tcPr>
            <w:tcW w:w="970" w:type="dxa"/>
          </w:tcPr>
          <w:p w14:paraId="2A605163" w14:textId="77777777" w:rsidR="003D262C" w:rsidRPr="001D2954" w:rsidRDefault="003D262C" w:rsidP="007074E2">
            <w:pPr>
              <w:jc w:val="center"/>
              <w:rPr>
                <w:i/>
              </w:rPr>
            </w:pPr>
            <w:r w:rsidRPr="001D2954">
              <w:rPr>
                <w:i/>
              </w:rPr>
              <w:t>0%</w:t>
            </w:r>
          </w:p>
        </w:tc>
      </w:tr>
      <w:tr w:rsidR="003D262C" w:rsidRPr="001D2954" w14:paraId="13DBD76E" w14:textId="77777777" w:rsidTr="00696052">
        <w:trPr>
          <w:trHeight w:val="255"/>
          <w:jc w:val="center"/>
        </w:trPr>
        <w:tc>
          <w:tcPr>
            <w:tcW w:w="2396" w:type="dxa"/>
            <w:vAlign w:val="center"/>
          </w:tcPr>
          <w:p w14:paraId="610857DA" w14:textId="77777777" w:rsidR="003D262C" w:rsidRPr="001D2954" w:rsidRDefault="003D262C" w:rsidP="003D262C">
            <w:r w:rsidRPr="001D2954">
              <w:t>Δυτικής Ελλάδας</w:t>
            </w:r>
          </w:p>
        </w:tc>
        <w:tc>
          <w:tcPr>
            <w:tcW w:w="2006" w:type="dxa"/>
          </w:tcPr>
          <w:p w14:paraId="181F24AF" w14:textId="77777777" w:rsidR="003D262C" w:rsidRPr="001D2954" w:rsidRDefault="003D262C" w:rsidP="007074E2">
            <w:pPr>
              <w:jc w:val="center"/>
            </w:pPr>
            <w:r w:rsidRPr="001D2954">
              <w:t>478.099,16 €</w:t>
            </w:r>
          </w:p>
        </w:tc>
        <w:tc>
          <w:tcPr>
            <w:tcW w:w="1541" w:type="dxa"/>
          </w:tcPr>
          <w:p w14:paraId="7DCF02EB" w14:textId="77777777" w:rsidR="003D262C" w:rsidRPr="001D2954" w:rsidRDefault="003D262C" w:rsidP="007074E2">
            <w:pPr>
              <w:jc w:val="center"/>
            </w:pPr>
            <w:r w:rsidRPr="001D2954">
              <w:t>201.312,08 €</w:t>
            </w:r>
          </w:p>
        </w:tc>
        <w:tc>
          <w:tcPr>
            <w:tcW w:w="965" w:type="dxa"/>
          </w:tcPr>
          <w:p w14:paraId="09AFFE2A" w14:textId="77777777" w:rsidR="003D262C" w:rsidRPr="001D2954" w:rsidRDefault="003D262C" w:rsidP="007074E2">
            <w:pPr>
              <w:jc w:val="center"/>
              <w:rPr>
                <w:i/>
              </w:rPr>
            </w:pPr>
            <w:r w:rsidRPr="001D2954">
              <w:rPr>
                <w:i/>
              </w:rPr>
              <w:t>42,1%</w:t>
            </w:r>
          </w:p>
        </w:tc>
        <w:tc>
          <w:tcPr>
            <w:tcW w:w="1727" w:type="dxa"/>
          </w:tcPr>
          <w:p w14:paraId="3FB6506C" w14:textId="77777777" w:rsidR="003D262C" w:rsidRPr="001D2954" w:rsidRDefault="003D262C" w:rsidP="007074E2">
            <w:pPr>
              <w:jc w:val="center"/>
            </w:pPr>
            <w:r w:rsidRPr="001D2954">
              <w:t>40.034,50 €</w:t>
            </w:r>
          </w:p>
        </w:tc>
        <w:tc>
          <w:tcPr>
            <w:tcW w:w="970" w:type="dxa"/>
          </w:tcPr>
          <w:p w14:paraId="50381DCB" w14:textId="77777777" w:rsidR="003D262C" w:rsidRPr="001D2954" w:rsidRDefault="003D262C" w:rsidP="007074E2">
            <w:pPr>
              <w:jc w:val="center"/>
              <w:rPr>
                <w:i/>
              </w:rPr>
            </w:pPr>
            <w:r w:rsidRPr="001D2954">
              <w:rPr>
                <w:i/>
              </w:rPr>
              <w:t>8%</w:t>
            </w:r>
          </w:p>
        </w:tc>
      </w:tr>
      <w:tr w:rsidR="003D262C" w:rsidRPr="001D2954" w14:paraId="40930D15" w14:textId="77777777" w:rsidTr="00696052">
        <w:trPr>
          <w:trHeight w:val="255"/>
          <w:jc w:val="center"/>
        </w:trPr>
        <w:tc>
          <w:tcPr>
            <w:tcW w:w="2396" w:type="dxa"/>
            <w:vAlign w:val="center"/>
          </w:tcPr>
          <w:p w14:paraId="73E452E7" w14:textId="77777777" w:rsidR="003D262C" w:rsidRPr="001D2954" w:rsidRDefault="003D262C" w:rsidP="003D262C">
            <w:r w:rsidRPr="001D2954">
              <w:t>Δυτικής Μακεδονίας</w:t>
            </w:r>
          </w:p>
        </w:tc>
        <w:tc>
          <w:tcPr>
            <w:tcW w:w="2006" w:type="dxa"/>
          </w:tcPr>
          <w:p w14:paraId="194D4DC0" w14:textId="77777777" w:rsidR="003D262C" w:rsidRPr="001D2954" w:rsidRDefault="003D262C" w:rsidP="007074E2">
            <w:pPr>
              <w:jc w:val="center"/>
            </w:pPr>
            <w:r w:rsidRPr="001D2954">
              <w:t>116.092,00 €</w:t>
            </w:r>
          </w:p>
        </w:tc>
        <w:tc>
          <w:tcPr>
            <w:tcW w:w="1541" w:type="dxa"/>
          </w:tcPr>
          <w:p w14:paraId="45AC6C88" w14:textId="77777777" w:rsidR="003D262C" w:rsidRPr="001D2954" w:rsidRDefault="003D262C" w:rsidP="007074E2">
            <w:pPr>
              <w:jc w:val="center"/>
            </w:pPr>
            <w:r w:rsidRPr="001D2954">
              <w:t>0,00 €</w:t>
            </w:r>
          </w:p>
        </w:tc>
        <w:tc>
          <w:tcPr>
            <w:tcW w:w="965" w:type="dxa"/>
          </w:tcPr>
          <w:p w14:paraId="02CC7693" w14:textId="77777777" w:rsidR="003D262C" w:rsidRPr="001D2954" w:rsidRDefault="003D262C" w:rsidP="007074E2">
            <w:pPr>
              <w:jc w:val="center"/>
              <w:rPr>
                <w:i/>
              </w:rPr>
            </w:pPr>
            <w:r w:rsidRPr="001D2954">
              <w:rPr>
                <w:i/>
              </w:rPr>
              <w:t>0,0%</w:t>
            </w:r>
          </w:p>
        </w:tc>
        <w:tc>
          <w:tcPr>
            <w:tcW w:w="1727" w:type="dxa"/>
          </w:tcPr>
          <w:p w14:paraId="78ED9EB8" w14:textId="77777777" w:rsidR="003D262C" w:rsidRPr="001D2954" w:rsidRDefault="003D262C" w:rsidP="007074E2">
            <w:pPr>
              <w:jc w:val="center"/>
            </w:pPr>
            <w:r w:rsidRPr="001D2954">
              <w:t>0,00 €</w:t>
            </w:r>
          </w:p>
        </w:tc>
        <w:tc>
          <w:tcPr>
            <w:tcW w:w="970" w:type="dxa"/>
          </w:tcPr>
          <w:p w14:paraId="4EEEF753" w14:textId="77777777" w:rsidR="003D262C" w:rsidRPr="001D2954" w:rsidRDefault="003D262C" w:rsidP="007074E2">
            <w:pPr>
              <w:jc w:val="center"/>
              <w:rPr>
                <w:i/>
              </w:rPr>
            </w:pPr>
            <w:r w:rsidRPr="001D2954">
              <w:rPr>
                <w:i/>
              </w:rPr>
              <w:t>0%</w:t>
            </w:r>
          </w:p>
        </w:tc>
      </w:tr>
      <w:tr w:rsidR="003D262C" w:rsidRPr="001D2954" w14:paraId="5C26EBEF" w14:textId="77777777" w:rsidTr="00696052">
        <w:trPr>
          <w:trHeight w:val="255"/>
          <w:jc w:val="center"/>
        </w:trPr>
        <w:tc>
          <w:tcPr>
            <w:tcW w:w="2396" w:type="dxa"/>
            <w:vAlign w:val="center"/>
          </w:tcPr>
          <w:p w14:paraId="6469C7FA" w14:textId="77777777" w:rsidR="003D262C" w:rsidRPr="001D2954" w:rsidRDefault="003D262C" w:rsidP="003D262C">
            <w:r w:rsidRPr="001D2954">
              <w:t>Ήπειρος</w:t>
            </w:r>
          </w:p>
        </w:tc>
        <w:tc>
          <w:tcPr>
            <w:tcW w:w="2006" w:type="dxa"/>
          </w:tcPr>
          <w:p w14:paraId="4929AA7F" w14:textId="77777777" w:rsidR="003D262C" w:rsidRPr="001D2954" w:rsidRDefault="003D262C" w:rsidP="007074E2">
            <w:pPr>
              <w:jc w:val="center"/>
            </w:pPr>
            <w:r w:rsidRPr="001D2954">
              <w:t>0,00 €</w:t>
            </w:r>
          </w:p>
        </w:tc>
        <w:tc>
          <w:tcPr>
            <w:tcW w:w="1541" w:type="dxa"/>
          </w:tcPr>
          <w:p w14:paraId="5E7E9A75" w14:textId="77777777" w:rsidR="003D262C" w:rsidRPr="001D2954" w:rsidRDefault="003D262C" w:rsidP="007074E2">
            <w:pPr>
              <w:jc w:val="center"/>
            </w:pPr>
            <w:r w:rsidRPr="001D2954">
              <w:t>0,00 €</w:t>
            </w:r>
          </w:p>
        </w:tc>
        <w:tc>
          <w:tcPr>
            <w:tcW w:w="965" w:type="dxa"/>
          </w:tcPr>
          <w:p w14:paraId="39F86FEB" w14:textId="77777777" w:rsidR="003D262C" w:rsidRPr="001D2954" w:rsidRDefault="003D262C" w:rsidP="007074E2">
            <w:pPr>
              <w:jc w:val="center"/>
              <w:rPr>
                <w:i/>
              </w:rPr>
            </w:pPr>
            <w:r w:rsidRPr="001D2954">
              <w:rPr>
                <w:i/>
              </w:rPr>
              <w:t>0,0%</w:t>
            </w:r>
          </w:p>
        </w:tc>
        <w:tc>
          <w:tcPr>
            <w:tcW w:w="1727" w:type="dxa"/>
          </w:tcPr>
          <w:p w14:paraId="0AEA560D" w14:textId="77777777" w:rsidR="003D262C" w:rsidRPr="001D2954" w:rsidRDefault="003D262C" w:rsidP="007074E2">
            <w:pPr>
              <w:jc w:val="center"/>
            </w:pPr>
            <w:r w:rsidRPr="001D2954">
              <w:t>0,00 €</w:t>
            </w:r>
          </w:p>
        </w:tc>
        <w:tc>
          <w:tcPr>
            <w:tcW w:w="970" w:type="dxa"/>
          </w:tcPr>
          <w:p w14:paraId="5AF3F5BB" w14:textId="77777777" w:rsidR="003D262C" w:rsidRPr="001D2954" w:rsidRDefault="003D262C" w:rsidP="007074E2">
            <w:pPr>
              <w:jc w:val="center"/>
              <w:rPr>
                <w:i/>
              </w:rPr>
            </w:pPr>
            <w:r w:rsidRPr="001D2954">
              <w:rPr>
                <w:i/>
              </w:rPr>
              <w:t>0,0%</w:t>
            </w:r>
          </w:p>
        </w:tc>
      </w:tr>
      <w:tr w:rsidR="003D262C" w:rsidRPr="001D2954" w14:paraId="319D5D31" w14:textId="77777777" w:rsidTr="00696052">
        <w:trPr>
          <w:trHeight w:val="255"/>
          <w:jc w:val="center"/>
        </w:trPr>
        <w:tc>
          <w:tcPr>
            <w:tcW w:w="2396" w:type="dxa"/>
            <w:vAlign w:val="center"/>
          </w:tcPr>
          <w:p w14:paraId="5C362A55" w14:textId="77777777" w:rsidR="003D262C" w:rsidRPr="001D2954" w:rsidRDefault="003D262C" w:rsidP="003D262C">
            <w:r w:rsidRPr="001D2954">
              <w:t>Θεσσαλίας</w:t>
            </w:r>
          </w:p>
        </w:tc>
        <w:tc>
          <w:tcPr>
            <w:tcW w:w="2006" w:type="dxa"/>
          </w:tcPr>
          <w:p w14:paraId="2502D80C" w14:textId="77777777" w:rsidR="003D262C" w:rsidRPr="001D2954" w:rsidRDefault="003D262C" w:rsidP="007074E2">
            <w:pPr>
              <w:jc w:val="center"/>
            </w:pPr>
            <w:r w:rsidRPr="001D2954">
              <w:t>99.900,00 €</w:t>
            </w:r>
          </w:p>
        </w:tc>
        <w:tc>
          <w:tcPr>
            <w:tcW w:w="1541" w:type="dxa"/>
          </w:tcPr>
          <w:p w14:paraId="7926FDAD" w14:textId="77777777" w:rsidR="003D262C" w:rsidRPr="001D2954" w:rsidRDefault="003D262C" w:rsidP="007074E2">
            <w:pPr>
              <w:jc w:val="center"/>
            </w:pPr>
            <w:r w:rsidRPr="001D2954">
              <w:t>0,00 €</w:t>
            </w:r>
          </w:p>
        </w:tc>
        <w:tc>
          <w:tcPr>
            <w:tcW w:w="965" w:type="dxa"/>
          </w:tcPr>
          <w:p w14:paraId="67DED453" w14:textId="77777777" w:rsidR="003D262C" w:rsidRPr="001D2954" w:rsidRDefault="003D262C" w:rsidP="007074E2">
            <w:pPr>
              <w:jc w:val="center"/>
              <w:rPr>
                <w:i/>
              </w:rPr>
            </w:pPr>
            <w:r w:rsidRPr="001D2954">
              <w:rPr>
                <w:i/>
              </w:rPr>
              <w:t>0,0%</w:t>
            </w:r>
          </w:p>
        </w:tc>
        <w:tc>
          <w:tcPr>
            <w:tcW w:w="1727" w:type="dxa"/>
          </w:tcPr>
          <w:p w14:paraId="6A84655E" w14:textId="77777777" w:rsidR="003D262C" w:rsidRPr="001D2954" w:rsidRDefault="003D262C" w:rsidP="007074E2">
            <w:pPr>
              <w:jc w:val="center"/>
            </w:pPr>
            <w:r w:rsidRPr="001D2954">
              <w:t>0,00 €</w:t>
            </w:r>
          </w:p>
        </w:tc>
        <w:tc>
          <w:tcPr>
            <w:tcW w:w="970" w:type="dxa"/>
          </w:tcPr>
          <w:p w14:paraId="7431B298" w14:textId="77777777" w:rsidR="003D262C" w:rsidRPr="001D2954" w:rsidRDefault="003D262C" w:rsidP="007074E2">
            <w:pPr>
              <w:jc w:val="center"/>
              <w:rPr>
                <w:i/>
              </w:rPr>
            </w:pPr>
            <w:r w:rsidRPr="001D2954">
              <w:rPr>
                <w:i/>
              </w:rPr>
              <w:t>0%</w:t>
            </w:r>
          </w:p>
        </w:tc>
      </w:tr>
      <w:tr w:rsidR="003D262C" w:rsidRPr="001D2954" w14:paraId="57B37E62" w14:textId="77777777" w:rsidTr="00696052">
        <w:trPr>
          <w:trHeight w:val="255"/>
          <w:jc w:val="center"/>
        </w:trPr>
        <w:tc>
          <w:tcPr>
            <w:tcW w:w="2396" w:type="dxa"/>
            <w:vAlign w:val="center"/>
          </w:tcPr>
          <w:p w14:paraId="7D0CF0E5" w14:textId="77777777" w:rsidR="003D262C" w:rsidRPr="001D2954" w:rsidRDefault="003D262C" w:rsidP="003D262C">
            <w:r w:rsidRPr="001D2954">
              <w:t>Ιόνια Νησιά</w:t>
            </w:r>
          </w:p>
        </w:tc>
        <w:tc>
          <w:tcPr>
            <w:tcW w:w="2006" w:type="dxa"/>
          </w:tcPr>
          <w:p w14:paraId="7482880F" w14:textId="77777777" w:rsidR="003D262C" w:rsidRPr="001D2954" w:rsidRDefault="003D262C" w:rsidP="007074E2">
            <w:pPr>
              <w:jc w:val="center"/>
            </w:pPr>
            <w:r w:rsidRPr="001D2954">
              <w:t>0,00 €</w:t>
            </w:r>
          </w:p>
        </w:tc>
        <w:tc>
          <w:tcPr>
            <w:tcW w:w="1541" w:type="dxa"/>
          </w:tcPr>
          <w:p w14:paraId="4EAAA5DA" w14:textId="77777777" w:rsidR="003D262C" w:rsidRPr="001D2954" w:rsidRDefault="003D262C" w:rsidP="007074E2">
            <w:pPr>
              <w:jc w:val="center"/>
            </w:pPr>
            <w:r w:rsidRPr="001D2954">
              <w:t>0,00 €</w:t>
            </w:r>
          </w:p>
        </w:tc>
        <w:tc>
          <w:tcPr>
            <w:tcW w:w="965" w:type="dxa"/>
          </w:tcPr>
          <w:p w14:paraId="03A98686" w14:textId="77777777" w:rsidR="003D262C" w:rsidRPr="001D2954" w:rsidRDefault="003D262C" w:rsidP="007074E2">
            <w:pPr>
              <w:jc w:val="center"/>
              <w:rPr>
                <w:i/>
              </w:rPr>
            </w:pPr>
            <w:r w:rsidRPr="001D2954">
              <w:rPr>
                <w:i/>
              </w:rPr>
              <w:t>0,0%</w:t>
            </w:r>
          </w:p>
        </w:tc>
        <w:tc>
          <w:tcPr>
            <w:tcW w:w="1727" w:type="dxa"/>
          </w:tcPr>
          <w:p w14:paraId="199A6C7E" w14:textId="77777777" w:rsidR="003D262C" w:rsidRPr="001D2954" w:rsidRDefault="003D262C" w:rsidP="007074E2">
            <w:pPr>
              <w:jc w:val="center"/>
            </w:pPr>
            <w:r w:rsidRPr="001D2954">
              <w:t>0,00 €</w:t>
            </w:r>
          </w:p>
        </w:tc>
        <w:tc>
          <w:tcPr>
            <w:tcW w:w="970" w:type="dxa"/>
          </w:tcPr>
          <w:p w14:paraId="5440DEE3" w14:textId="77777777" w:rsidR="003D262C" w:rsidRPr="001D2954" w:rsidRDefault="003D262C" w:rsidP="007074E2">
            <w:pPr>
              <w:jc w:val="center"/>
              <w:rPr>
                <w:i/>
              </w:rPr>
            </w:pPr>
            <w:r w:rsidRPr="001D2954">
              <w:rPr>
                <w:i/>
              </w:rPr>
              <w:t>0,0%</w:t>
            </w:r>
          </w:p>
        </w:tc>
      </w:tr>
      <w:tr w:rsidR="003D262C" w:rsidRPr="001D2954" w14:paraId="5E3A76F9" w14:textId="77777777" w:rsidTr="00696052">
        <w:trPr>
          <w:trHeight w:val="255"/>
          <w:jc w:val="center"/>
        </w:trPr>
        <w:tc>
          <w:tcPr>
            <w:tcW w:w="2396" w:type="dxa"/>
            <w:vAlign w:val="center"/>
          </w:tcPr>
          <w:p w14:paraId="1C04603A" w14:textId="77777777" w:rsidR="003D262C" w:rsidRPr="001D2954" w:rsidRDefault="003D262C" w:rsidP="003D262C">
            <w:r w:rsidRPr="001D2954">
              <w:t>Κεντρικής Μακεδονίας</w:t>
            </w:r>
          </w:p>
        </w:tc>
        <w:tc>
          <w:tcPr>
            <w:tcW w:w="2006" w:type="dxa"/>
          </w:tcPr>
          <w:p w14:paraId="6EEC56C0" w14:textId="77777777" w:rsidR="003D262C" w:rsidRPr="001D2954" w:rsidRDefault="003D262C" w:rsidP="007074E2">
            <w:pPr>
              <w:jc w:val="center"/>
            </w:pPr>
            <w:r w:rsidRPr="001D2954">
              <w:t>880.064,53 €</w:t>
            </w:r>
          </w:p>
        </w:tc>
        <w:tc>
          <w:tcPr>
            <w:tcW w:w="1541" w:type="dxa"/>
          </w:tcPr>
          <w:p w14:paraId="7BC9011A" w14:textId="77777777" w:rsidR="003D262C" w:rsidRPr="001D2954" w:rsidRDefault="003D262C" w:rsidP="007074E2">
            <w:pPr>
              <w:jc w:val="center"/>
            </w:pPr>
            <w:r w:rsidRPr="001D2954">
              <w:t>227.681,23 €</w:t>
            </w:r>
          </w:p>
        </w:tc>
        <w:tc>
          <w:tcPr>
            <w:tcW w:w="965" w:type="dxa"/>
          </w:tcPr>
          <w:p w14:paraId="693C3E4D" w14:textId="77777777" w:rsidR="003D262C" w:rsidRPr="001D2954" w:rsidRDefault="003D262C" w:rsidP="007074E2">
            <w:pPr>
              <w:jc w:val="center"/>
              <w:rPr>
                <w:i/>
              </w:rPr>
            </w:pPr>
            <w:r w:rsidRPr="001D2954">
              <w:rPr>
                <w:i/>
              </w:rPr>
              <w:t>25,9%</w:t>
            </w:r>
          </w:p>
        </w:tc>
        <w:tc>
          <w:tcPr>
            <w:tcW w:w="1727" w:type="dxa"/>
          </w:tcPr>
          <w:p w14:paraId="472EF38D" w14:textId="77777777" w:rsidR="003D262C" w:rsidRPr="001D2954" w:rsidRDefault="003D262C" w:rsidP="007074E2">
            <w:pPr>
              <w:jc w:val="center"/>
            </w:pPr>
            <w:r w:rsidRPr="001D2954">
              <w:t>3.419,14 €</w:t>
            </w:r>
          </w:p>
        </w:tc>
        <w:tc>
          <w:tcPr>
            <w:tcW w:w="970" w:type="dxa"/>
          </w:tcPr>
          <w:p w14:paraId="6F42516B" w14:textId="77777777" w:rsidR="003D262C" w:rsidRPr="001D2954" w:rsidRDefault="003D262C" w:rsidP="007074E2">
            <w:pPr>
              <w:jc w:val="center"/>
              <w:rPr>
                <w:i/>
              </w:rPr>
            </w:pPr>
            <w:r w:rsidRPr="001D2954">
              <w:rPr>
                <w:i/>
              </w:rPr>
              <w:t>0%</w:t>
            </w:r>
          </w:p>
        </w:tc>
      </w:tr>
      <w:tr w:rsidR="003D262C" w:rsidRPr="001D2954" w14:paraId="337F7511" w14:textId="77777777" w:rsidTr="00696052">
        <w:trPr>
          <w:trHeight w:val="255"/>
          <w:jc w:val="center"/>
        </w:trPr>
        <w:tc>
          <w:tcPr>
            <w:tcW w:w="2396" w:type="dxa"/>
            <w:vAlign w:val="center"/>
          </w:tcPr>
          <w:p w14:paraId="03F3071A" w14:textId="77777777" w:rsidR="003D262C" w:rsidRPr="001D2954" w:rsidRDefault="003D262C" w:rsidP="003D262C">
            <w:r w:rsidRPr="001D2954">
              <w:t>Κρήτης</w:t>
            </w:r>
          </w:p>
        </w:tc>
        <w:tc>
          <w:tcPr>
            <w:tcW w:w="2006" w:type="dxa"/>
          </w:tcPr>
          <w:p w14:paraId="1D641F5A" w14:textId="77777777" w:rsidR="003D262C" w:rsidRPr="001D2954" w:rsidRDefault="003D262C" w:rsidP="007074E2">
            <w:pPr>
              <w:jc w:val="center"/>
            </w:pPr>
            <w:r w:rsidRPr="001D2954">
              <w:t>1.039.214,31 €</w:t>
            </w:r>
          </w:p>
        </w:tc>
        <w:tc>
          <w:tcPr>
            <w:tcW w:w="1541" w:type="dxa"/>
          </w:tcPr>
          <w:p w14:paraId="25138E4C" w14:textId="77777777" w:rsidR="003D262C" w:rsidRPr="001D2954" w:rsidRDefault="003D262C" w:rsidP="007074E2">
            <w:pPr>
              <w:jc w:val="center"/>
            </w:pPr>
            <w:r w:rsidRPr="001D2954">
              <w:t>222.224,92 €</w:t>
            </w:r>
          </w:p>
        </w:tc>
        <w:tc>
          <w:tcPr>
            <w:tcW w:w="965" w:type="dxa"/>
          </w:tcPr>
          <w:p w14:paraId="7A46C1D6" w14:textId="77777777" w:rsidR="003D262C" w:rsidRPr="001D2954" w:rsidRDefault="003D262C" w:rsidP="007074E2">
            <w:pPr>
              <w:jc w:val="center"/>
              <w:rPr>
                <w:i/>
              </w:rPr>
            </w:pPr>
            <w:r w:rsidRPr="001D2954">
              <w:rPr>
                <w:i/>
              </w:rPr>
              <w:t>21,4%</w:t>
            </w:r>
          </w:p>
        </w:tc>
        <w:tc>
          <w:tcPr>
            <w:tcW w:w="1727" w:type="dxa"/>
          </w:tcPr>
          <w:p w14:paraId="078732D8" w14:textId="77777777" w:rsidR="003D262C" w:rsidRPr="001D2954" w:rsidRDefault="003D262C" w:rsidP="007074E2">
            <w:pPr>
              <w:jc w:val="center"/>
            </w:pPr>
            <w:r w:rsidRPr="001D2954">
              <w:t>0,00 €</w:t>
            </w:r>
          </w:p>
        </w:tc>
        <w:tc>
          <w:tcPr>
            <w:tcW w:w="970" w:type="dxa"/>
          </w:tcPr>
          <w:p w14:paraId="68B644EF" w14:textId="77777777" w:rsidR="003D262C" w:rsidRPr="001D2954" w:rsidRDefault="003D262C" w:rsidP="007074E2">
            <w:pPr>
              <w:jc w:val="center"/>
              <w:rPr>
                <w:i/>
              </w:rPr>
            </w:pPr>
            <w:r w:rsidRPr="001D2954">
              <w:rPr>
                <w:i/>
              </w:rPr>
              <w:t>0%</w:t>
            </w:r>
          </w:p>
        </w:tc>
      </w:tr>
      <w:tr w:rsidR="003D262C" w:rsidRPr="001D2954" w14:paraId="1BE85F5D" w14:textId="77777777" w:rsidTr="00696052">
        <w:trPr>
          <w:trHeight w:val="255"/>
          <w:jc w:val="center"/>
        </w:trPr>
        <w:tc>
          <w:tcPr>
            <w:tcW w:w="2396" w:type="dxa"/>
            <w:vAlign w:val="center"/>
          </w:tcPr>
          <w:p w14:paraId="3BBAEAC3" w14:textId="77777777" w:rsidR="003D262C" w:rsidRPr="001D2954" w:rsidRDefault="003D262C" w:rsidP="003D262C">
            <w:r w:rsidRPr="001D2954">
              <w:t>Ν. Αιγαίο</w:t>
            </w:r>
          </w:p>
        </w:tc>
        <w:tc>
          <w:tcPr>
            <w:tcW w:w="2006" w:type="dxa"/>
          </w:tcPr>
          <w:p w14:paraId="0CCD0FAA" w14:textId="77777777" w:rsidR="003D262C" w:rsidRPr="001D2954" w:rsidRDefault="003D262C" w:rsidP="007074E2">
            <w:pPr>
              <w:jc w:val="center"/>
            </w:pPr>
            <w:r w:rsidRPr="001D2954">
              <w:t>0,00 €</w:t>
            </w:r>
          </w:p>
        </w:tc>
        <w:tc>
          <w:tcPr>
            <w:tcW w:w="1541" w:type="dxa"/>
          </w:tcPr>
          <w:p w14:paraId="31DE918C" w14:textId="77777777" w:rsidR="003D262C" w:rsidRPr="001D2954" w:rsidRDefault="003D262C" w:rsidP="007074E2">
            <w:pPr>
              <w:jc w:val="center"/>
            </w:pPr>
            <w:r w:rsidRPr="001D2954">
              <w:t>0,00 €</w:t>
            </w:r>
          </w:p>
        </w:tc>
        <w:tc>
          <w:tcPr>
            <w:tcW w:w="965" w:type="dxa"/>
          </w:tcPr>
          <w:p w14:paraId="428288D1" w14:textId="77777777" w:rsidR="003D262C" w:rsidRPr="001D2954" w:rsidRDefault="003D262C" w:rsidP="007074E2">
            <w:pPr>
              <w:jc w:val="center"/>
              <w:rPr>
                <w:i/>
              </w:rPr>
            </w:pPr>
            <w:r w:rsidRPr="001D2954">
              <w:rPr>
                <w:i/>
              </w:rPr>
              <w:t>0,0%</w:t>
            </w:r>
          </w:p>
        </w:tc>
        <w:tc>
          <w:tcPr>
            <w:tcW w:w="1727" w:type="dxa"/>
          </w:tcPr>
          <w:p w14:paraId="24C7956A" w14:textId="77777777" w:rsidR="003D262C" w:rsidRPr="001D2954" w:rsidRDefault="003D262C" w:rsidP="007074E2">
            <w:pPr>
              <w:jc w:val="center"/>
            </w:pPr>
            <w:r w:rsidRPr="001D2954">
              <w:t>0,00 €</w:t>
            </w:r>
          </w:p>
        </w:tc>
        <w:tc>
          <w:tcPr>
            <w:tcW w:w="970" w:type="dxa"/>
          </w:tcPr>
          <w:p w14:paraId="17BBD508" w14:textId="77777777" w:rsidR="003D262C" w:rsidRPr="001D2954" w:rsidRDefault="003D262C" w:rsidP="007074E2">
            <w:pPr>
              <w:jc w:val="center"/>
              <w:rPr>
                <w:i/>
              </w:rPr>
            </w:pPr>
            <w:r w:rsidRPr="001D2954">
              <w:rPr>
                <w:i/>
              </w:rPr>
              <w:t>0,0%</w:t>
            </w:r>
          </w:p>
        </w:tc>
      </w:tr>
      <w:tr w:rsidR="003D262C" w:rsidRPr="001D2954" w14:paraId="08A32D95" w14:textId="77777777" w:rsidTr="00696052">
        <w:trPr>
          <w:trHeight w:val="255"/>
          <w:jc w:val="center"/>
        </w:trPr>
        <w:tc>
          <w:tcPr>
            <w:tcW w:w="2396" w:type="dxa"/>
            <w:vAlign w:val="center"/>
          </w:tcPr>
          <w:p w14:paraId="3C9F22E4" w14:textId="77777777" w:rsidR="003D262C" w:rsidRPr="001D2954" w:rsidRDefault="003D262C" w:rsidP="003D262C">
            <w:r w:rsidRPr="001D2954">
              <w:t>Πελοπόννησος</w:t>
            </w:r>
          </w:p>
        </w:tc>
        <w:tc>
          <w:tcPr>
            <w:tcW w:w="2006" w:type="dxa"/>
          </w:tcPr>
          <w:p w14:paraId="400A4FD5" w14:textId="77777777" w:rsidR="003D262C" w:rsidRPr="001D2954" w:rsidRDefault="003D262C" w:rsidP="007074E2">
            <w:pPr>
              <w:jc w:val="center"/>
            </w:pPr>
            <w:r w:rsidRPr="001D2954">
              <w:t>0,00 €</w:t>
            </w:r>
          </w:p>
        </w:tc>
        <w:tc>
          <w:tcPr>
            <w:tcW w:w="1541" w:type="dxa"/>
          </w:tcPr>
          <w:p w14:paraId="66A57166" w14:textId="77777777" w:rsidR="003D262C" w:rsidRPr="001D2954" w:rsidRDefault="003D262C" w:rsidP="007074E2">
            <w:pPr>
              <w:jc w:val="center"/>
            </w:pPr>
            <w:r w:rsidRPr="001D2954">
              <w:t>0,00 €</w:t>
            </w:r>
          </w:p>
        </w:tc>
        <w:tc>
          <w:tcPr>
            <w:tcW w:w="965" w:type="dxa"/>
          </w:tcPr>
          <w:p w14:paraId="73FC39C8" w14:textId="77777777" w:rsidR="003D262C" w:rsidRPr="001D2954" w:rsidRDefault="003D262C" w:rsidP="007074E2">
            <w:pPr>
              <w:jc w:val="center"/>
              <w:rPr>
                <w:i/>
              </w:rPr>
            </w:pPr>
            <w:r w:rsidRPr="001D2954">
              <w:rPr>
                <w:i/>
              </w:rPr>
              <w:t>0,0%</w:t>
            </w:r>
          </w:p>
        </w:tc>
        <w:tc>
          <w:tcPr>
            <w:tcW w:w="1727" w:type="dxa"/>
          </w:tcPr>
          <w:p w14:paraId="2E41A4CB" w14:textId="77777777" w:rsidR="003D262C" w:rsidRPr="001D2954" w:rsidRDefault="003D262C" w:rsidP="007074E2">
            <w:pPr>
              <w:jc w:val="center"/>
            </w:pPr>
            <w:r w:rsidRPr="001D2954">
              <w:t>0,00 €</w:t>
            </w:r>
          </w:p>
        </w:tc>
        <w:tc>
          <w:tcPr>
            <w:tcW w:w="970" w:type="dxa"/>
          </w:tcPr>
          <w:p w14:paraId="275BD265" w14:textId="77777777" w:rsidR="003D262C" w:rsidRPr="001D2954" w:rsidRDefault="003D262C" w:rsidP="007074E2">
            <w:pPr>
              <w:jc w:val="center"/>
              <w:rPr>
                <w:i/>
              </w:rPr>
            </w:pPr>
            <w:r w:rsidRPr="001D2954">
              <w:rPr>
                <w:i/>
              </w:rPr>
              <w:t>0,0%</w:t>
            </w:r>
          </w:p>
        </w:tc>
      </w:tr>
      <w:tr w:rsidR="003D262C" w:rsidRPr="001D2954" w14:paraId="5E014F5F" w14:textId="77777777" w:rsidTr="00696052">
        <w:trPr>
          <w:trHeight w:val="255"/>
          <w:jc w:val="center"/>
        </w:trPr>
        <w:tc>
          <w:tcPr>
            <w:tcW w:w="2396" w:type="dxa"/>
            <w:vAlign w:val="center"/>
          </w:tcPr>
          <w:p w14:paraId="77186C24" w14:textId="77777777" w:rsidR="003D262C" w:rsidRPr="001D2954" w:rsidRDefault="003D262C" w:rsidP="003D262C">
            <w:r w:rsidRPr="001D2954">
              <w:t>Στερεά Ελλάδα</w:t>
            </w:r>
          </w:p>
        </w:tc>
        <w:tc>
          <w:tcPr>
            <w:tcW w:w="2006" w:type="dxa"/>
          </w:tcPr>
          <w:p w14:paraId="7EF99810" w14:textId="77777777" w:rsidR="003D262C" w:rsidRPr="001D2954" w:rsidRDefault="003D262C" w:rsidP="007074E2">
            <w:pPr>
              <w:jc w:val="center"/>
            </w:pPr>
            <w:r w:rsidRPr="001D2954">
              <w:t>16.250,00 €</w:t>
            </w:r>
          </w:p>
        </w:tc>
        <w:tc>
          <w:tcPr>
            <w:tcW w:w="1541" w:type="dxa"/>
          </w:tcPr>
          <w:p w14:paraId="484B88BC" w14:textId="77777777" w:rsidR="003D262C" w:rsidRPr="001D2954" w:rsidRDefault="003D262C" w:rsidP="007074E2">
            <w:pPr>
              <w:jc w:val="center"/>
            </w:pPr>
            <w:r w:rsidRPr="001D2954">
              <w:t>0,00 €</w:t>
            </w:r>
          </w:p>
        </w:tc>
        <w:tc>
          <w:tcPr>
            <w:tcW w:w="965" w:type="dxa"/>
          </w:tcPr>
          <w:p w14:paraId="14C975EE" w14:textId="77777777" w:rsidR="003D262C" w:rsidRPr="001D2954" w:rsidRDefault="003D262C" w:rsidP="007074E2">
            <w:pPr>
              <w:jc w:val="center"/>
              <w:rPr>
                <w:i/>
              </w:rPr>
            </w:pPr>
            <w:r w:rsidRPr="001D2954">
              <w:rPr>
                <w:i/>
              </w:rPr>
              <w:t>0,0%</w:t>
            </w:r>
          </w:p>
        </w:tc>
        <w:tc>
          <w:tcPr>
            <w:tcW w:w="1727" w:type="dxa"/>
          </w:tcPr>
          <w:p w14:paraId="0FBDF8F1" w14:textId="77777777" w:rsidR="003D262C" w:rsidRPr="001D2954" w:rsidRDefault="003D262C" w:rsidP="007074E2">
            <w:pPr>
              <w:jc w:val="center"/>
            </w:pPr>
            <w:r w:rsidRPr="001D2954">
              <w:t>0,00 €</w:t>
            </w:r>
          </w:p>
        </w:tc>
        <w:tc>
          <w:tcPr>
            <w:tcW w:w="970" w:type="dxa"/>
          </w:tcPr>
          <w:p w14:paraId="0603E1FD" w14:textId="77777777" w:rsidR="003D262C" w:rsidRPr="001D2954" w:rsidRDefault="003D262C" w:rsidP="007074E2">
            <w:pPr>
              <w:jc w:val="center"/>
              <w:rPr>
                <w:i/>
              </w:rPr>
            </w:pPr>
            <w:r w:rsidRPr="001D2954">
              <w:rPr>
                <w:i/>
              </w:rPr>
              <w:t>0%</w:t>
            </w:r>
          </w:p>
        </w:tc>
      </w:tr>
      <w:tr w:rsidR="003D262C" w:rsidRPr="00ED30D5" w14:paraId="573F5B59" w14:textId="77777777" w:rsidTr="00696052">
        <w:trPr>
          <w:trHeight w:val="255"/>
          <w:jc w:val="center"/>
        </w:trPr>
        <w:tc>
          <w:tcPr>
            <w:tcW w:w="2396" w:type="dxa"/>
            <w:vAlign w:val="center"/>
          </w:tcPr>
          <w:p w14:paraId="734ECCA5" w14:textId="77777777" w:rsidR="003D262C" w:rsidRPr="001D2954" w:rsidRDefault="003D262C" w:rsidP="003D262C">
            <w:pPr>
              <w:rPr>
                <w:b/>
              </w:rPr>
            </w:pPr>
            <w:r w:rsidRPr="001D2954">
              <w:rPr>
                <w:b/>
              </w:rPr>
              <w:t>ΣΥΝΟΛΟ</w:t>
            </w:r>
          </w:p>
        </w:tc>
        <w:tc>
          <w:tcPr>
            <w:tcW w:w="2006" w:type="dxa"/>
          </w:tcPr>
          <w:p w14:paraId="310DCDAE" w14:textId="77777777" w:rsidR="003D262C" w:rsidRPr="001D2954" w:rsidRDefault="003D262C" w:rsidP="007074E2">
            <w:pPr>
              <w:jc w:val="center"/>
              <w:rPr>
                <w:b/>
              </w:rPr>
            </w:pPr>
            <w:r w:rsidRPr="001D2954">
              <w:rPr>
                <w:b/>
              </w:rPr>
              <w:t>4.571.321,21 €</w:t>
            </w:r>
          </w:p>
        </w:tc>
        <w:tc>
          <w:tcPr>
            <w:tcW w:w="1541" w:type="dxa"/>
          </w:tcPr>
          <w:p w14:paraId="799849E0" w14:textId="77777777" w:rsidR="003D262C" w:rsidRPr="001D2954" w:rsidRDefault="003D262C" w:rsidP="007074E2">
            <w:pPr>
              <w:jc w:val="center"/>
              <w:rPr>
                <w:b/>
              </w:rPr>
            </w:pPr>
            <w:r w:rsidRPr="001D2954">
              <w:rPr>
                <w:b/>
              </w:rPr>
              <w:t>1.118.454,67 €</w:t>
            </w:r>
          </w:p>
        </w:tc>
        <w:tc>
          <w:tcPr>
            <w:tcW w:w="965" w:type="dxa"/>
          </w:tcPr>
          <w:p w14:paraId="62570305" w14:textId="77777777" w:rsidR="003D262C" w:rsidRPr="001D2954" w:rsidRDefault="003D262C" w:rsidP="007074E2">
            <w:pPr>
              <w:jc w:val="center"/>
              <w:rPr>
                <w:b/>
                <w:i/>
              </w:rPr>
            </w:pPr>
            <w:r w:rsidRPr="001D2954">
              <w:rPr>
                <w:b/>
                <w:i/>
              </w:rPr>
              <w:t>24,5%</w:t>
            </w:r>
          </w:p>
        </w:tc>
        <w:tc>
          <w:tcPr>
            <w:tcW w:w="1727" w:type="dxa"/>
          </w:tcPr>
          <w:p w14:paraId="3F1BBF57" w14:textId="77777777" w:rsidR="003D262C" w:rsidRPr="001D2954" w:rsidRDefault="003D262C" w:rsidP="007074E2">
            <w:pPr>
              <w:jc w:val="center"/>
              <w:rPr>
                <w:b/>
              </w:rPr>
            </w:pPr>
            <w:r w:rsidRPr="001D2954">
              <w:rPr>
                <w:b/>
              </w:rPr>
              <w:t>43.453,64 €</w:t>
            </w:r>
          </w:p>
        </w:tc>
        <w:tc>
          <w:tcPr>
            <w:tcW w:w="970" w:type="dxa"/>
          </w:tcPr>
          <w:p w14:paraId="2688555B" w14:textId="77777777" w:rsidR="003D262C" w:rsidRPr="001D2954" w:rsidRDefault="003D262C" w:rsidP="007074E2">
            <w:pPr>
              <w:jc w:val="center"/>
              <w:rPr>
                <w:b/>
                <w:i/>
              </w:rPr>
            </w:pPr>
            <w:r w:rsidRPr="001D2954">
              <w:rPr>
                <w:b/>
                <w:i/>
              </w:rPr>
              <w:t>1%</w:t>
            </w:r>
          </w:p>
        </w:tc>
      </w:tr>
    </w:tbl>
    <w:p w14:paraId="0628042E" w14:textId="77777777" w:rsidR="003770DC" w:rsidRPr="001D2954" w:rsidRDefault="003770DC" w:rsidP="003770DC">
      <w:r w:rsidRPr="001D2954">
        <w:t>Ως προς τους Τομείς Προτεραιότητας της RIS3, από την επεξεργασία των διατιθέμενων στοιχείων για την πρώτη πρόσκληση «Δράση Εθνικής Εμβέλειας «Ευρωπαϊκή Ε&amp;Τ Συνεργασία - Πράξη Επιχορήγησης Ελληνικών φορέων που συμμετείχαν επιτυχώς σε Κοινές Προκηρύξεις Υποβολής Προτάσεων των Ευρωπαϊκών Δικτύων ERA NETS»» προκύπτουν τα εξής:</w:t>
      </w:r>
    </w:p>
    <w:p w14:paraId="48351A33" w14:textId="77777777" w:rsidR="003770DC" w:rsidRPr="001D2954" w:rsidRDefault="003770DC" w:rsidP="003770DC">
      <w:r w:rsidRPr="001D2954">
        <w:t>Ο μεγαλύτερος αριθμός των ενταγμένων έργων αφορά στον τομέα της «Αγροδιατροφής» (32 πράξεις).</w:t>
      </w:r>
    </w:p>
    <w:p w14:paraId="383AE6ED" w14:textId="77777777" w:rsidR="003770DC" w:rsidRPr="001D2954" w:rsidRDefault="003770DC" w:rsidP="003770DC">
      <w:r w:rsidRPr="001D2954">
        <w:t>Δεν υπάρχει κανένα ενταγμένο έργο στους τομείς προτεραιότητας «Μεταφορές και Εφοδιαστική Αλυδίσα (Logistics», «Υλικά-Κατασκευές» και «Πολιτισμός - Τουρισμός -Πολιτιστικές και Δημιουργικές Βιομηχανίες».</w:t>
      </w:r>
    </w:p>
    <w:p w14:paraId="46B9E81E" w14:textId="77777777" w:rsidR="003770DC" w:rsidRPr="001D2954" w:rsidRDefault="003770DC" w:rsidP="003770DC">
      <w:r w:rsidRPr="001D2954">
        <w:t>Το μεγαλύτερο μέρος του προϋπολογισμού των ενταγμένων έργων αφορά στον τομέα «Βιοεπιστήμες / Υγεία &amp; Φάρμακα» (41,47%). Ακολουθούν οι τομείς «Ενέργεια» (24,28%), «Περιβάλλον και βιώσιμη ανάπτυξη - Κλιματική Αλλαγή» (12,99%) και «Αγροδιατροφή» (12,61%).</w:t>
      </w:r>
    </w:p>
    <w:p w14:paraId="650A8E74" w14:textId="77777777" w:rsidR="003770DC" w:rsidRPr="001D2954" w:rsidRDefault="003770DC" w:rsidP="003770DC">
      <w:r w:rsidRPr="001D2954">
        <w:t>Για όλες οι κατηγορίες Περιφερειών, το μεγαλύτερο ποσοστό του προϋπολογισμού των ενταγμένων έργων τους (40% περίπου) αφορά στον τομέα προτεραιότητας «Βιοεπιστήμες / Υγεία &amp; Φάρμακα» και ακολούθως στον τομέα προτεραιότητας «Ενέργεια», με εξαίρεση τις περισσότερο ανεπτυγμένες Περιφέρειες για τις οποίες έπεται ο τομέας «Αγροδιατροφή».</w:t>
      </w:r>
    </w:p>
    <w:p w14:paraId="06BE5CF3" w14:textId="2C5BA0A8" w:rsidR="00524AAA" w:rsidRDefault="00524AAA" w:rsidP="003770DC">
      <w:pPr>
        <w:spacing w:after="160" w:line="259" w:lineRule="auto"/>
      </w:pPr>
      <w:r w:rsidRPr="001D2954">
        <w:t xml:space="preserve">Σε επίπεδο πληρωμών ΕΛΚΕ, μέχρι το τέλος του 2018 καταβλήθηκε </w:t>
      </w:r>
      <w:r w:rsidR="00B2679D" w:rsidRPr="001D2954">
        <w:t xml:space="preserve">και για τις δύο δράσεις το ποσό των 1,47 εκατ. </w:t>
      </w:r>
      <w:r w:rsidR="00B2679D" w:rsidRPr="001D2954">
        <w:rPr>
          <w:rFonts w:ascii="Calibri" w:hAnsi="Calibri"/>
        </w:rPr>
        <w:t>€</w:t>
      </w:r>
      <w:r w:rsidR="00B2679D" w:rsidRPr="001D2954">
        <w:t xml:space="preserve">, ποσοστό 24,5% του προϋπολογισμού δημόσιας δαπάνης (4,57 εκατ. </w:t>
      </w:r>
      <w:r w:rsidR="00B2679D" w:rsidRPr="001D2954">
        <w:rPr>
          <w:rFonts w:ascii="Calibri" w:hAnsi="Calibri"/>
        </w:rPr>
        <w:t>€</w:t>
      </w:r>
      <w:r w:rsidR="00B2679D" w:rsidRPr="001D2954">
        <w:t xml:space="preserve">,). Μεγαλύτερο ποσοστό απορρόφησης παρουσίασε η Περιφέρεια Δ. Ελλάδας (201 χιλ. </w:t>
      </w:r>
      <w:r w:rsidR="00B2679D" w:rsidRPr="001D2954">
        <w:rPr>
          <w:rFonts w:ascii="Calibri" w:hAnsi="Calibri"/>
        </w:rPr>
        <w:t>€</w:t>
      </w:r>
      <w:r w:rsidR="00B2679D" w:rsidRPr="001D2954">
        <w:t>, 42,1%). Σε επίπεδο πληρωμών ΟΠΣ, το ποσό που καταχωρήθηκε στο Σύστη</w:t>
      </w:r>
      <w:r w:rsidR="00A3742F" w:rsidRPr="001D2954">
        <w:t>μ</w:t>
      </w:r>
      <w:r w:rsidR="00B2679D" w:rsidRPr="001D2954">
        <w:t xml:space="preserve">α ανήλθε μόλις στις 43,4 χιλ. </w:t>
      </w:r>
      <w:r w:rsidR="00B2679D" w:rsidRPr="001D2954">
        <w:rPr>
          <w:rFonts w:ascii="Calibri" w:hAnsi="Calibri"/>
        </w:rPr>
        <w:t>€</w:t>
      </w:r>
      <w:r w:rsidR="00B2679D" w:rsidRPr="001D2954">
        <w:t>, ποσοστό 1% του προϋπολογισμού δημόσιας δαπάνης των έργων των δύο δράσεων.</w:t>
      </w:r>
    </w:p>
    <w:p w14:paraId="500095D1" w14:textId="77777777" w:rsidR="00524AAA" w:rsidRDefault="00524AAA" w:rsidP="003770DC">
      <w:pPr>
        <w:spacing w:after="160" w:line="259" w:lineRule="auto"/>
        <w:sectPr w:rsidR="00524AAA" w:rsidSect="005476F0">
          <w:footerReference w:type="default" r:id="rId30"/>
          <w:pgSz w:w="12240" w:h="15840"/>
          <w:pgMar w:top="1440" w:right="1247" w:bottom="1440" w:left="1247" w:header="720" w:footer="720" w:gutter="0"/>
          <w:cols w:space="720"/>
          <w:docGrid w:linePitch="360"/>
        </w:sectPr>
      </w:pPr>
    </w:p>
    <w:p w14:paraId="41804DF7" w14:textId="77777777" w:rsidR="003770DC" w:rsidRPr="0061319E" w:rsidRDefault="00ED6AB2" w:rsidP="00ED6AB2">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3D262C">
        <w:rPr>
          <w:noProof/>
        </w:rPr>
        <w:t>19</w:t>
      </w:r>
      <w:r w:rsidR="00C80E86" w:rsidRPr="00C80E86">
        <w:rPr>
          <w:noProof/>
        </w:rPr>
        <w:t>:</w:t>
      </w:r>
      <w:r>
        <w:t xml:space="preserve"> </w:t>
      </w:r>
      <w:r w:rsidR="003770DC" w:rsidRPr="0061319E">
        <w:t xml:space="preserve">Στοιχεία εντάξεων και πληρωμών (έως 31.12.2018) δράσεων που </w:t>
      </w:r>
      <w:r w:rsidR="00B2679D">
        <w:t xml:space="preserve">υλοποιούνται στο πλαίσιο των </w:t>
      </w:r>
      <w:r w:rsidR="003770DC" w:rsidRPr="0061319E">
        <w:t xml:space="preserve"> Ευρωπαϊκ</w:t>
      </w:r>
      <w:r w:rsidR="00B2679D">
        <w:t>ών</w:t>
      </w:r>
      <w:r w:rsidR="003770DC" w:rsidRPr="0061319E">
        <w:t xml:space="preserve"> </w:t>
      </w:r>
      <w:r w:rsidR="00B2679D" w:rsidRPr="0061319E">
        <w:t>Δικτυ</w:t>
      </w:r>
      <w:r w:rsidR="00B2679D">
        <w:t>ών</w:t>
      </w:r>
      <w:r w:rsidR="003770DC" w:rsidRPr="0061319E">
        <w:t xml:space="preserve"> ERA NETS ανά Τομέα Προτεραιότητας της RIS3</w:t>
      </w:r>
    </w:p>
    <w:p w14:paraId="723BCACE" w14:textId="0802F24C" w:rsidR="003770DC" w:rsidRDefault="00CE5F86" w:rsidP="003770DC">
      <w:pPr>
        <w:spacing w:after="160" w:line="259" w:lineRule="auto"/>
      </w:pPr>
      <w:r w:rsidRPr="00CE5F86">
        <w:rPr>
          <w:noProof/>
          <w:lang w:eastAsia="el-GR"/>
        </w:rPr>
        <w:drawing>
          <wp:inline distT="0" distB="0" distL="0" distR="0" wp14:anchorId="16009C5C" wp14:editId="0851BF3F">
            <wp:extent cx="8229600" cy="170112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29600" cy="1701122"/>
                    </a:xfrm>
                    <a:prstGeom prst="rect">
                      <a:avLst/>
                    </a:prstGeom>
                    <a:noFill/>
                    <a:ln>
                      <a:noFill/>
                    </a:ln>
                  </pic:spPr>
                </pic:pic>
              </a:graphicData>
            </a:graphic>
          </wp:inline>
        </w:drawing>
      </w:r>
    </w:p>
    <w:p w14:paraId="7AE02503" w14:textId="77777777" w:rsidR="003770DC" w:rsidRDefault="00ED6AB2" w:rsidP="00ED6AB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3D262C">
        <w:rPr>
          <w:noProof/>
        </w:rPr>
        <w:t>20</w:t>
      </w:r>
      <w:r w:rsidR="00C80E86" w:rsidRPr="00A332A9">
        <w:rPr>
          <w:noProof/>
        </w:rPr>
        <w:t>:</w:t>
      </w:r>
      <w:r>
        <w:t xml:space="preserve"> </w:t>
      </w:r>
      <w:r w:rsidR="003770DC" w:rsidRPr="0061319E">
        <w:t xml:space="preserve">Ποσοστιαία κατανομή των εντάξεων και πληρωμών (έως 31.12.2018) </w:t>
      </w:r>
      <w:r w:rsidR="00B2679D" w:rsidRPr="0061319E">
        <w:t xml:space="preserve">δράσεων που </w:t>
      </w:r>
      <w:r w:rsidR="00B2679D">
        <w:t xml:space="preserve">υλοποιούνται στο πλαίσιο των </w:t>
      </w:r>
      <w:r w:rsidR="00B2679D" w:rsidRPr="0061319E">
        <w:t xml:space="preserve"> Ευρωπαϊκ</w:t>
      </w:r>
      <w:r w:rsidR="00B2679D">
        <w:t>ών</w:t>
      </w:r>
      <w:r w:rsidR="00B2679D" w:rsidRPr="0061319E">
        <w:t xml:space="preserve"> Δικτυ</w:t>
      </w:r>
      <w:r w:rsidR="00B2679D">
        <w:t xml:space="preserve">ών </w:t>
      </w:r>
      <w:r w:rsidR="003770DC" w:rsidRPr="0061319E">
        <w:t>ERA NETS ανά Τομέα Προτεραιότητας της RIS3</w:t>
      </w:r>
    </w:p>
    <w:p w14:paraId="03F8DEC0" w14:textId="77777777" w:rsidR="00C95E85" w:rsidRPr="00C95E85" w:rsidRDefault="00C95E85" w:rsidP="00C95E85">
      <w:r w:rsidRPr="00C95E85">
        <w:rPr>
          <w:noProof/>
          <w:lang w:eastAsia="el-GR"/>
        </w:rPr>
        <w:drawing>
          <wp:inline distT="0" distB="0" distL="0" distR="0" wp14:anchorId="222A7A3F" wp14:editId="52A0905D">
            <wp:extent cx="8226736" cy="2038350"/>
            <wp:effectExtent l="0" t="0" r="317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31155" cy="2039445"/>
                    </a:xfrm>
                    <a:prstGeom prst="rect">
                      <a:avLst/>
                    </a:prstGeom>
                    <a:noFill/>
                    <a:ln>
                      <a:noFill/>
                    </a:ln>
                  </pic:spPr>
                </pic:pic>
              </a:graphicData>
            </a:graphic>
          </wp:inline>
        </w:drawing>
      </w:r>
    </w:p>
    <w:p w14:paraId="1F686EB9" w14:textId="77777777" w:rsidR="00C95E85" w:rsidRDefault="00C95E85" w:rsidP="003770DC">
      <w:pPr>
        <w:spacing w:after="160" w:line="259" w:lineRule="auto"/>
        <w:rPr>
          <w:noProof/>
          <w:lang w:eastAsia="el-GR"/>
        </w:rPr>
      </w:pPr>
    </w:p>
    <w:p w14:paraId="046C83F4" w14:textId="77777777" w:rsidR="00C95E85" w:rsidRDefault="00C95E85" w:rsidP="003770DC">
      <w:pPr>
        <w:spacing w:after="160" w:line="259" w:lineRule="auto"/>
        <w:rPr>
          <w:noProof/>
          <w:lang w:eastAsia="el-GR"/>
        </w:rPr>
      </w:pPr>
    </w:p>
    <w:p w14:paraId="520EEBD3" w14:textId="77777777" w:rsidR="00C95E85" w:rsidRDefault="00C95E85" w:rsidP="003770DC">
      <w:pPr>
        <w:spacing w:after="160" w:line="259" w:lineRule="auto"/>
        <w:sectPr w:rsidR="00C95E85" w:rsidSect="003D021E">
          <w:footerReference w:type="default" r:id="rId33"/>
          <w:pgSz w:w="15840" w:h="12240" w:orient="landscape"/>
          <w:pgMar w:top="1440" w:right="1440" w:bottom="1440" w:left="1440" w:header="720" w:footer="720" w:gutter="0"/>
          <w:cols w:space="720"/>
          <w:docGrid w:linePitch="360"/>
        </w:sectPr>
      </w:pPr>
    </w:p>
    <w:p w14:paraId="2179E2BC" w14:textId="77777777" w:rsidR="003770DC" w:rsidRPr="00FE2C14" w:rsidRDefault="003770DC" w:rsidP="003770DC">
      <w:pPr>
        <w:pStyle w:val="Heading4"/>
      </w:pPr>
      <w:bookmarkStart w:id="15" w:name="_Toc22645404"/>
      <w:r w:rsidRPr="00FE2C14">
        <w:lastRenderedPageBreak/>
        <w:t>Διμερείς Ε&amp;Τ Συνεργασίες</w:t>
      </w:r>
      <w:bookmarkEnd w:id="15"/>
    </w:p>
    <w:p w14:paraId="5BFBFB0C" w14:textId="77777777" w:rsidR="003770DC" w:rsidRPr="00DF43D2" w:rsidRDefault="003770DC" w:rsidP="003770DC">
      <w:r w:rsidRPr="00DF43D2">
        <w:t xml:space="preserve">Οι Διμερείς Ε&amp;Τ Συνεργασίες αφορούν στην ενίσχυση έργων έρευνας, τεχνολογικής </w:t>
      </w:r>
      <w:r w:rsidRPr="000D5F33">
        <w:t>ανάπτυξης</w:t>
      </w:r>
      <w:r w:rsidRPr="00DF43D2">
        <w:t xml:space="preserve"> και καινοτομίας φορέων του ιδιωτικού και δημόσιου τομέα δύο συνεργαζόμενων χωρών.</w:t>
      </w:r>
    </w:p>
    <w:p w14:paraId="6CDAD067" w14:textId="77777777" w:rsidR="003770DC" w:rsidRPr="00DF43D2" w:rsidRDefault="003770DC" w:rsidP="003770DC">
      <w:r w:rsidRPr="00DF43D2">
        <w:t>Στόχοι των δράσεων που υλοποιούνται μέσω διμερών και πολυμερών Ε&amp;Τ συνεργασιών είναι:</w:t>
      </w:r>
    </w:p>
    <w:p w14:paraId="2179DF7A" w14:textId="77777777" w:rsidR="003770DC" w:rsidRPr="000D5F33" w:rsidRDefault="003770DC" w:rsidP="00D22350">
      <w:pPr>
        <w:pStyle w:val="ListParagraph"/>
        <w:numPr>
          <w:ilvl w:val="0"/>
          <w:numId w:val="16"/>
        </w:numPr>
      </w:pPr>
      <w:r w:rsidRPr="000D5F33">
        <w:t>Η ενίσχυση της εξωστρέφειας και βελτιστοποίηση της ελληνικής συμμετοχής στις διεθνείς και ευρωπαϊκές Ε&amp;Τ διεργασίες δικτύωσης, η συμμετοχή σε αυτές δυναμικών και με υψηλή τεχνογνωσία Επιχειρήσεων, η εκπλήρωση των εθνικών υποχρεώσεων σε Ευρωπαϊκές πολιτικές.</w:t>
      </w:r>
    </w:p>
    <w:p w14:paraId="5B7F2010" w14:textId="77777777" w:rsidR="003770DC" w:rsidRPr="000D5F33" w:rsidRDefault="003770DC" w:rsidP="00D22350">
      <w:pPr>
        <w:pStyle w:val="ListParagraph"/>
        <w:numPr>
          <w:ilvl w:val="0"/>
          <w:numId w:val="16"/>
        </w:numPr>
      </w:pPr>
      <w:r w:rsidRPr="000D5F33">
        <w:t>Η επικέντρωση των προσπαθειών και των διαθέσιμων πόρων σε ερευνητικά θεματικά πεδία, μείζονος ενδιαφέροντος για τις δύο (συνεργαζόμενες) χώρες και σημαντικά για την κοινωνία και την οικονομία, σύμφωνα με τις προτεραιότητες της Εθνικής Στρατηγικής ΕΤΑΚ για την Έξυπνη Εξειδίκευση.</w:t>
      </w:r>
    </w:p>
    <w:p w14:paraId="36FDF05D" w14:textId="77777777" w:rsidR="003770DC" w:rsidRPr="000D5F33" w:rsidRDefault="003770DC" w:rsidP="00D22350">
      <w:pPr>
        <w:pStyle w:val="ListParagraph"/>
        <w:numPr>
          <w:ilvl w:val="0"/>
          <w:numId w:val="16"/>
        </w:numPr>
      </w:pPr>
      <w:r w:rsidRPr="000D5F33">
        <w:t>Η ανάπτυξη νέων γνώσεων - συμπεριλαμβανομένων των νέων τεχνολογιών – με στόχο τη βελτίωση της ανταγωνιστικότητας της ελληνικής οικονομίας και την αντιμετώπιση σημαντικών κοινωνικών και περιβαλλοντικών αναγκών.</w:t>
      </w:r>
    </w:p>
    <w:p w14:paraId="46FADE80" w14:textId="77777777" w:rsidR="003770DC" w:rsidRPr="000D5F33" w:rsidRDefault="003770DC" w:rsidP="00D22350">
      <w:pPr>
        <w:pStyle w:val="ListParagraph"/>
        <w:numPr>
          <w:ilvl w:val="0"/>
          <w:numId w:val="16"/>
        </w:numPr>
      </w:pPr>
      <w:r w:rsidRPr="000D5F33">
        <w:t>Η διείσδυση καινοτομιών σε νέες αγορές.</w:t>
      </w:r>
    </w:p>
    <w:p w14:paraId="2136AF9D" w14:textId="77777777" w:rsidR="003770DC" w:rsidRPr="000D5F33" w:rsidRDefault="003770DC" w:rsidP="003770DC">
      <w:r w:rsidRPr="000D5F33">
        <w:t>Δικαιούχοι είναι α) ερευνητικοί οργανισμοί (Πανεπιστήμια &amp; Ερευνητικά Κέντρα), β) επιχειρήσεις και γ) λοιποί φορείς (δημόσιοι και άλλοι φορείς).</w:t>
      </w:r>
    </w:p>
    <w:p w14:paraId="49FBEF14" w14:textId="77777777" w:rsidR="003770DC" w:rsidRPr="000D5F33" w:rsidRDefault="003770DC" w:rsidP="003770DC">
      <w:r w:rsidRPr="000D5F33">
        <w:t>Το είδος της ενίσχυσης είναι επιχορήγηση των δαπανών εκτέλεσης ερευνητικού έργου (κατηγορίες έρευνας: βασική έρευνα, βιομηχανική έρευνα ή/και πειραματική ανάπτυξη) και δαπανών καινοτομίας εφόσον προκύπτουν από το ενισχυόμενο ερευνητικό έργο διμερούς χαρακτήρα. Κάθε πρόταση πρέπει να έχει διακρατικό εταίρο.</w:t>
      </w:r>
    </w:p>
    <w:p w14:paraId="610FB252" w14:textId="77777777" w:rsidR="003770DC" w:rsidRPr="000D5F33" w:rsidRDefault="003770DC" w:rsidP="003770DC">
      <w:r w:rsidRPr="000D5F33">
        <w:t>Οι Διμερείς και Πολυμερείς Ε&amp;Τ Συνεργασίες απευθύνονται στον ιδιωτικό και δημόσιο τομέα των δύο συνεργαζομένων χωρών. Προτάσεις για μεγάλης κλίμακας διακρατικά Ε&amp;Τ έργα μπορούν να υποβάλλονται από συμπράξεις Ιδιωτικών Φορέων (επιχειρήσεων όλων των μεγεθών), Δημοσίων Φορέων (Ερευνητικοί &amp; Τεχνολογικοί φορείς, Πανεπιστήμια, ΑΤΕΙ, Ερευνητικά Κέντρα, Ινστιτούτα και Εργαστήρια αυτών) και Λοιπών Φορέων και από τα δύο Κράτη. Τα προτεινόμενα μεγάλης κλίμακας Ε&amp;Τ έργα πρέπει να αποφέρουν προφανές όφελος στις δύο χώρες, στους συμμετέχοντες των συμπράξεων, αλλά και γενικότερα οφέλη στην οικονομία.</w:t>
      </w:r>
    </w:p>
    <w:p w14:paraId="3238EEBF" w14:textId="77777777" w:rsidR="003770DC" w:rsidRDefault="003770DC" w:rsidP="003770DC">
      <w:r w:rsidRPr="000D5F33">
        <w:t>Στις εν λόγω Προσκλήσεις γίνονταν συγκεκριμένη αναφορά στους Τομείς Προτεραιότητας της RIS3 στους οποίους οι προτεινόμενες δράσεις θα έπρεπε να επικεντρωθούν οι οποίοι κατονομάζονται κατωτέρω στη σύντομη περιγραφή</w:t>
      </w:r>
      <w:r>
        <w:t xml:space="preserve"> των Προσκλήσεων.</w:t>
      </w:r>
    </w:p>
    <w:p w14:paraId="4D2BF1FF" w14:textId="429581E3" w:rsidR="003770DC" w:rsidRDefault="003770DC" w:rsidP="003770DC">
      <w:r w:rsidRPr="009B7BFE">
        <w:t xml:space="preserve">Έως τις 31.12.2018 είχαν εκδοθεί </w:t>
      </w:r>
      <w:r w:rsidR="00E8260A">
        <w:rPr>
          <w:b/>
        </w:rPr>
        <w:t>4</w:t>
      </w:r>
      <w:r w:rsidRPr="00DF43D2">
        <w:rPr>
          <w:b/>
        </w:rPr>
        <w:t xml:space="preserve"> σχετικές Προσκλήσεις</w:t>
      </w:r>
      <w:r w:rsidRPr="00DF43D2">
        <w:t xml:space="preserve"> για την υποβολή προτάσεων στο ΕΠΑνΕΚ, στον Άξονα Προτεραιότητας 1 «Ανάπτυξη επιχειρηματικότητας με τομεακές </w:t>
      </w:r>
      <w:r w:rsidRPr="000D5F33">
        <w:t>προτεραιότητες</w:t>
      </w:r>
      <w:r w:rsidRPr="00DF43D2">
        <w:t>» και στον Άξονα Προτεραιότητας 1Σ «Ανάπτυξη επιχειρηματικότητας με τομεακές προτεραιότητες (Στερεά Ελλάδα, Νότιο Αιγαίο)».</w:t>
      </w:r>
    </w:p>
    <w:p w14:paraId="29EFB0F5" w14:textId="77777777" w:rsidR="003770DC" w:rsidRPr="00312BF7"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rPr>
      </w:pPr>
      <w:r w:rsidRPr="00312BF7">
        <w:rPr>
          <w:b/>
        </w:rPr>
        <w:t>«Διμερής Ε&amp;Τ Συνεργασία Ελλάδας – Γερμανίας»</w:t>
      </w:r>
    </w:p>
    <w:p w14:paraId="6B64815D" w14:textId="0885B800" w:rsidR="003770DC" w:rsidRPr="00DF43D2"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DF43D2">
        <w:t xml:space="preserve">Στις 06.12.2016 δημοσιεύθηκε η πρόσκληση (αρ. πρωτ. 7494/2457/Α2) για την υποβολή αιτήσεων χρηματοδότησης ερευνητικών έργων στη Δράση Εθνικής Εμβέλειας «Διμερής Ε&amp;Τ Συνεργασία Ελλάδας – Γερμανίας». Ο προϋπολογισμός της πρόσκλησης ανέρχονταν σε 4.500.000 € (ΔΔ). Η καταληκτική ημερομηνία υποβολής προτάσεων ήταν η </w:t>
      </w:r>
      <w:r w:rsidR="00E8260A">
        <w:t>03</w:t>
      </w:r>
      <w:r w:rsidRPr="00DF43D2">
        <w:t>.0</w:t>
      </w:r>
      <w:r w:rsidR="00E8260A">
        <w:t>3</w:t>
      </w:r>
      <w:r w:rsidRPr="00DF43D2">
        <w:t>.2017.</w:t>
      </w:r>
    </w:p>
    <w:p w14:paraId="09C3CF3D" w14:textId="77777777" w:rsidR="003770DC" w:rsidRPr="00F63F6A"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DF43D2">
        <w:t xml:space="preserve">Η Δράση αφορά την </w:t>
      </w:r>
      <w:r w:rsidRPr="00F63F6A">
        <w:t>ενίσχυση για υλοποίηση ερευνητικού έργου και δαπανών Καινοτομίας και επικεντρώνεται στους Τομείς Προτεραιότητας της Εθνικής Στρατηγικής για την Έξυπνη Εξειδίκευση RIS3 2014-2020, και πιο συγκεκριμένα στους εξής: Αγροδιατροφή, Βιοεπιστήμες, Υγεία και Φάρμακα, Ενέργεια, Υλικά και Κατασκευές, Πολιτισμός, Τουρισμός, Πολιτισμός/Καινοτομία και Κοινωνικές Προκλήσεις, Βασικές Τεχνολογίες Γενικής Εφαρμογής (Key Enabling Technologies - KETs).</w:t>
      </w:r>
    </w:p>
    <w:p w14:paraId="37F213C7" w14:textId="71AE58A2" w:rsidR="00A56E01" w:rsidRDefault="00A56E01">
      <w:pPr>
        <w:spacing w:before="0" w:after="160" w:line="259" w:lineRule="auto"/>
        <w:jc w:val="left"/>
        <w:rPr>
          <w:b/>
        </w:rPr>
      </w:pPr>
      <w:r>
        <w:rPr>
          <w:b/>
        </w:rPr>
        <w:br w:type="page"/>
      </w:r>
    </w:p>
    <w:p w14:paraId="488B31DE" w14:textId="77777777" w:rsidR="003770DC" w:rsidRPr="00F63F6A" w:rsidRDefault="003770DC" w:rsidP="003770DC">
      <w:pPr>
        <w:rPr>
          <w:b/>
        </w:rPr>
      </w:pPr>
    </w:p>
    <w:p w14:paraId="5CED911C" w14:textId="77777777" w:rsidR="003770DC" w:rsidRPr="00F63F6A"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rPr>
      </w:pPr>
      <w:r w:rsidRPr="00F63F6A">
        <w:rPr>
          <w:b/>
        </w:rPr>
        <w:t>«Διμερής Ε&amp;Τ Συνεργασία Ελλάδας – Ρωσίας»</w:t>
      </w:r>
    </w:p>
    <w:p w14:paraId="20E4B484" w14:textId="2815499C" w:rsidR="003770DC" w:rsidRPr="00F63F6A"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F63F6A">
        <w:t xml:space="preserve">Στις 09.12.2016 δημοσιεύθηκε η πρόσκληση (αρ. πρωτ. . 7620/2526/Α2) για την υποβολή αιτήσεων χρηματοδότησης ερευνητικών έργων στη Δράση Εθνικής Εμβέλειας «Διμερής Ε&amp;Τ Συνεργασία Ελλάδας – Ρωσίας». Ο προϋπολογισμός της πρόσκλησης ανέρχονταν σε 2.000.000 € (ΔΔ). Η καταληκτική ημερομηνία υποβολής προτάσεων ήταν η </w:t>
      </w:r>
      <w:r w:rsidR="00E8260A">
        <w:t>07</w:t>
      </w:r>
      <w:r w:rsidRPr="00F63F6A">
        <w:t>.0</w:t>
      </w:r>
      <w:r w:rsidR="00E8260A">
        <w:t>4</w:t>
      </w:r>
      <w:r w:rsidRPr="00F63F6A">
        <w:t xml:space="preserve">.2017. </w:t>
      </w:r>
    </w:p>
    <w:p w14:paraId="00EE0187" w14:textId="77777777" w:rsidR="003770DC" w:rsidRPr="00F63F6A"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F63F6A">
        <w:t>Η Δράση αφορά την ενίσχυση για υλοποίηση ερευνητικού έργου και δαπανών Καινοτομίας και επικεντρώνεται στους Τομείς Προτεραιότητας της Εθνικής Στρατηγικής για την Έξυπνη Εξειδίκευση RIS3 2014-2020, και πιο συγκεκριμένα στις «Βασικές Τεχνολογίες Γενικής Εφαρμογής (Key Enabling Technologies - KETs), με διεπιστημονικό χαρακτήρα «Κβαντικές Τεχνολογίες (που σχετίζονται με την Νανοηλεκτρονική, Νανοφωτονική, Κβαντική Πληροφορική και Επικοινωνία, Μεταϋλικά)».</w:t>
      </w:r>
    </w:p>
    <w:p w14:paraId="45BD35CA" w14:textId="77777777" w:rsidR="003770DC" w:rsidRPr="00F63F6A" w:rsidRDefault="003770DC" w:rsidP="003770DC">
      <w:pPr>
        <w:rPr>
          <w:b/>
        </w:rPr>
      </w:pPr>
    </w:p>
    <w:p w14:paraId="06C5647F" w14:textId="77777777" w:rsidR="003770DC" w:rsidRPr="00F63F6A"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rPr>
      </w:pPr>
      <w:r w:rsidRPr="00F63F6A">
        <w:rPr>
          <w:b/>
        </w:rPr>
        <w:t>«Διμερής Ε&amp;Τ Συνεργασία Ελλάδας – Ισραήλ»</w:t>
      </w:r>
    </w:p>
    <w:p w14:paraId="5DAD2078" w14:textId="77777777" w:rsidR="003770DC" w:rsidRPr="000D5F33"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F63F6A">
        <w:t>Στις 13.01.2017 δημοσιεύθηκε η πρόσκληση (αρ. πρωτ. 93/27/Α2) για την υποβολή αιτήσεων χρηματοδότησης ερευνητικών έργων στη Δράση Εθν</w:t>
      </w:r>
      <w:r w:rsidRPr="000D5F33">
        <w:t xml:space="preserve">ικής Εμβέλειας «Διμερής Ε&amp;Τ Συνεργασία Ελλάδας – Ισραήλ». Ο προϋπολογισμός της πρόσκλησης ανέρχονταν 4.500.000 € (ΔΔ). Η καταληκτική ημερομηνία υποβολής προτάσεων ήταν η 25.04.2017. </w:t>
      </w:r>
    </w:p>
    <w:p w14:paraId="55C38E9C" w14:textId="77777777" w:rsidR="003770DC" w:rsidRPr="000D5F33" w:rsidRDefault="003770DC" w:rsidP="00853066">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0D5F33">
        <w:t>Η Δράση αφορά την ενίσχυση για υλοποίηση ερευνητικού έργου και δαπανών Καινοτομίας και επικεντρώνεται στους Τομείς Προτεραιότητας της Εθνικής Στρατηγικής για την Έξυπνη Εξειδίκευση RIS3 2014-2020, και πιο συγκεκριμένα στους της Αγροδιατροφής, των Βιοεπιστημών, της Ενέργειας και του Περιβάλλοντος.</w:t>
      </w:r>
    </w:p>
    <w:p w14:paraId="4A42C98B" w14:textId="77777777" w:rsidR="00DE631F" w:rsidRPr="00F63F6A" w:rsidRDefault="00DE631F" w:rsidP="00DE631F">
      <w:pPr>
        <w:rPr>
          <w:b/>
        </w:rPr>
      </w:pPr>
    </w:p>
    <w:p w14:paraId="7F3AAF49" w14:textId="77777777" w:rsidR="00DE631F" w:rsidRPr="00F63F6A" w:rsidRDefault="00DE631F" w:rsidP="00DE631F">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rPr>
          <w:b/>
        </w:rPr>
      </w:pPr>
      <w:r w:rsidRPr="00F63F6A">
        <w:rPr>
          <w:b/>
        </w:rPr>
        <w:t>«Διμερής Ε&amp;Τ Συνεργασία Ελλάδας –</w:t>
      </w:r>
      <w:r>
        <w:rPr>
          <w:b/>
        </w:rPr>
        <w:t>Κίνας</w:t>
      </w:r>
      <w:r w:rsidRPr="00F63F6A">
        <w:rPr>
          <w:b/>
        </w:rPr>
        <w:t>»</w:t>
      </w:r>
    </w:p>
    <w:p w14:paraId="096382E7" w14:textId="77777777" w:rsidR="00DE631F" w:rsidRPr="000D5F33" w:rsidRDefault="00DE631F" w:rsidP="00DE631F">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F63F6A">
        <w:t xml:space="preserve">Στις </w:t>
      </w:r>
      <w:r>
        <w:t>26</w:t>
      </w:r>
      <w:r w:rsidRPr="00F63F6A">
        <w:t>.01.201</w:t>
      </w:r>
      <w:r>
        <w:t>8</w:t>
      </w:r>
      <w:r w:rsidRPr="00F63F6A">
        <w:t xml:space="preserve"> δημοσιεύθηκε η πρόσκληση (αρ. πρωτ. </w:t>
      </w:r>
      <w:r>
        <w:t>582</w:t>
      </w:r>
      <w:r w:rsidRPr="00F63F6A">
        <w:t>/</w:t>
      </w:r>
      <w:r>
        <w:t>73</w:t>
      </w:r>
      <w:r w:rsidRPr="00F63F6A">
        <w:t>/Α2) για την υποβολή αιτήσεων χρηματοδότησης ερευνητικών έργων στη Δράση Εθν</w:t>
      </w:r>
      <w:r w:rsidRPr="000D5F33">
        <w:t xml:space="preserve">ικής Εμβέλειας «Διμερής Ε&amp;Τ Συνεργασία Ελλάδας – </w:t>
      </w:r>
      <w:r>
        <w:t>Κίνας</w:t>
      </w:r>
      <w:r w:rsidRPr="000D5F33">
        <w:t>». Ο προϋπολογισμός της πρόσκλησης ανέρχονταν</w:t>
      </w:r>
      <w:r>
        <w:t xml:space="preserve"> 10.0</w:t>
      </w:r>
      <w:r w:rsidRPr="000D5F33">
        <w:t xml:space="preserve">00.000 € (ΔΔ). Η καταληκτική ημερομηνία υποβολής προτάσεων ήταν η </w:t>
      </w:r>
      <w:r>
        <w:t>30.03.2018</w:t>
      </w:r>
      <w:r w:rsidRPr="000D5F33">
        <w:t xml:space="preserve">. </w:t>
      </w:r>
    </w:p>
    <w:p w14:paraId="49A1834D" w14:textId="77777777" w:rsidR="00EF3FE5" w:rsidRDefault="00DE631F" w:rsidP="00DE631F">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rsidRPr="000D5F33">
        <w:t xml:space="preserve">Η Δράση αφορά </w:t>
      </w:r>
      <w:r w:rsidR="00EF3FE5" w:rsidRPr="00EF3FE5">
        <w:t>την ενίσχυση της εξωστρέφειας και την βελτιστοποίηση της ελληνικής συμμετοχής στις διεθνείς και ευρωπαϊκές Ε&amp;Τ διεργασίες δικτύωσης, τη συμμετοχή σ΄αυτές δυναμικών και με υψηλή τεχνογνωσία επιχειρήσεων, την εκπλήρωση των εθνικών υποχρεώσεων σε Ευρωπαϊκές πολιτικές,</w:t>
      </w:r>
    </w:p>
    <w:p w14:paraId="54370154" w14:textId="77777777" w:rsidR="0061605D" w:rsidRPr="000D5F33" w:rsidRDefault="0061605D" w:rsidP="00DE631F">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pPr>
      <w:r>
        <w:t>Έως το τέλος του 2018 η δράση δεν είχε παρουσιάσει ενταγμένα έργα.</w:t>
      </w:r>
    </w:p>
    <w:p w14:paraId="5D3AE3FB" w14:textId="583942B1" w:rsidR="00A3379D" w:rsidRDefault="003770DC" w:rsidP="003770DC">
      <w:r w:rsidRPr="004E236E">
        <w:t>Όπως φαίνεται και από τα στοιχεία που παρατίθενται στους παρακάτω πίνακες για το σύνολο των Διμερών Ε&amp;Τ Συνεργασιών, έως τις 31.12.2018 εντάχθηκαν 33 πράξεις (με συνολικά 71 συμμετοχές) συνολικού προϋπολογισμού (ΔΔ) 11</w:t>
      </w:r>
      <w:r w:rsidR="00A56E01">
        <w:t>.</w:t>
      </w:r>
      <w:r w:rsidRPr="004E236E">
        <w:t>390</w:t>
      </w:r>
      <w:r w:rsidR="00A56E01">
        <w:t>.</w:t>
      </w:r>
      <w:r w:rsidRPr="004E236E">
        <w:t>541</w:t>
      </w:r>
      <w:r w:rsidR="00A56E01">
        <w:t>,</w:t>
      </w:r>
      <w:r w:rsidRPr="004E236E">
        <w:t xml:space="preserve">63 €, που αντιστοιχεί στο 73,49% του προϋπολογισμού των </w:t>
      </w:r>
      <w:r w:rsidR="00A56E01">
        <w:t>τεσσάρων</w:t>
      </w:r>
      <w:r w:rsidRPr="004E236E">
        <w:t xml:space="preserve"> Προκλήσεων. </w:t>
      </w:r>
      <w:r>
        <w:t xml:space="preserve">Το μεγαλύτερο ποσοστό των πόρων των Προσκλήσεων κατευθύνθηκαν στις λιγότερο αναπτυγμένες Περιφέρειες (53,71%). Υψηλά είναι τα ποσοστά του προϋπολογισμού των ενταγμένων έργων των περισσότερο ανεπτυγμένων και των λιγότερο ανεπτυγμένων Περιφερειών ως προς τους προϋπολογισμούς των αντίστοιχων προσκλήσεων (85,54% και 73,63% αντίστοιχα). </w:t>
      </w:r>
      <w:r w:rsidRPr="006A7BCA">
        <w:t>Το 53,81% του συνολικού προϋπολογισμού των ενταγμένων έργων αφορά στις λιγότερο ανεπτυγμένες Περιφέρειες, ενώ πολύ χαμηλό είναι το αντίστοιχο ποσοστό για τις Περιφέρειες σε μετάβαση (14,05%</w:t>
      </w:r>
      <w:r w:rsidR="00A56E01">
        <w:t>)</w:t>
      </w:r>
      <w:r w:rsidRPr="006A7BCA">
        <w:t>.</w:t>
      </w:r>
      <w:r>
        <w:t xml:space="preserve"> Τέλος, ως προς την απορρόφηση πόρων, αυτή ανέρχεται σε 0,67% του προϋπολογισμού των ενταγμένων έργων και αφορά σε δαπάνες που έχουν καταχωρηθεί στο ΟΠΣ σε ενταγμένο έργο της Πρόσκλησης για τη </w:t>
      </w:r>
      <w:r w:rsidRPr="006A7BCA">
        <w:t>Διμερή Ε&amp;Τ Συνεργασία Ελλάδας – Γερμανίας</w:t>
      </w:r>
      <w:r>
        <w:t>.</w:t>
      </w:r>
    </w:p>
    <w:p w14:paraId="374906AD" w14:textId="77777777" w:rsidR="00A3379D" w:rsidRDefault="00A3379D">
      <w:pPr>
        <w:spacing w:before="0" w:after="160" w:line="259" w:lineRule="auto"/>
        <w:jc w:val="left"/>
      </w:pPr>
      <w:r>
        <w:br w:type="page"/>
      </w:r>
    </w:p>
    <w:p w14:paraId="0791E34F" w14:textId="77777777" w:rsidR="003770DC" w:rsidRDefault="003770DC" w:rsidP="003770DC"/>
    <w:p w14:paraId="02C9F39E" w14:textId="77777777" w:rsidR="003770DC" w:rsidRPr="0061319E" w:rsidRDefault="00305C7F" w:rsidP="00305C7F">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3D262C">
        <w:rPr>
          <w:noProof/>
        </w:rPr>
        <w:t>21</w:t>
      </w:r>
      <w:r w:rsidR="00C221BF">
        <w:t>:</w:t>
      </w:r>
      <w:r>
        <w:t xml:space="preserve"> </w:t>
      </w:r>
      <w:r w:rsidR="003770DC" w:rsidRPr="0061319E">
        <w:t xml:space="preserve">Στοιχεία εντάξεων και πληρωμών (έως 31.12.2018) </w:t>
      </w:r>
      <w:r w:rsidR="00A3379D">
        <w:t>έργων που υλοποιούνται στο</w:t>
      </w:r>
      <w:r w:rsidR="003770DC" w:rsidRPr="0061319E">
        <w:t xml:space="preserve"> πλαίσιο των </w:t>
      </w:r>
      <w:r w:rsidR="00A3379D">
        <w:t xml:space="preserve">Δράσεων Διμερούς </w:t>
      </w:r>
      <w:r w:rsidR="003770DC" w:rsidRPr="0061319E">
        <w:t>Ε&amp;Τ Συνεργασία</w:t>
      </w:r>
      <w:r w:rsidR="00A3379D">
        <w:t>ς</w:t>
      </w:r>
    </w:p>
    <w:tbl>
      <w:tblPr>
        <w:tblStyle w:val="TableGrid1"/>
        <w:tblW w:w="935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148"/>
        <w:gridCol w:w="1519"/>
        <w:gridCol w:w="1544"/>
        <w:gridCol w:w="1540"/>
        <w:gridCol w:w="1601"/>
      </w:tblGrid>
      <w:tr w:rsidR="003770DC" w:rsidRPr="006D4A4A" w14:paraId="564ABBA9" w14:textId="77777777" w:rsidTr="00A3379D">
        <w:trPr>
          <w:trHeight w:val="825"/>
        </w:trPr>
        <w:tc>
          <w:tcPr>
            <w:tcW w:w="3148" w:type="dxa"/>
            <w:shd w:val="clear" w:color="auto" w:fill="800000"/>
            <w:vAlign w:val="center"/>
            <w:hideMark/>
          </w:tcPr>
          <w:p w14:paraId="1893A46E"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Διμερής Ε&amp;Τ Συνεργασία</w:t>
            </w:r>
          </w:p>
        </w:tc>
        <w:tc>
          <w:tcPr>
            <w:tcW w:w="1519" w:type="dxa"/>
            <w:shd w:val="clear" w:color="auto" w:fill="800000"/>
            <w:vAlign w:val="center"/>
            <w:hideMark/>
          </w:tcPr>
          <w:p w14:paraId="7317D3FF"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Σύνολο</w:t>
            </w:r>
          </w:p>
        </w:tc>
        <w:tc>
          <w:tcPr>
            <w:tcW w:w="1544" w:type="dxa"/>
            <w:shd w:val="clear" w:color="auto" w:fill="800000"/>
            <w:vAlign w:val="center"/>
            <w:hideMark/>
          </w:tcPr>
          <w:p w14:paraId="742CCBC7"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Περισσότερο Ανεπτυγμένες Περιφέρειες</w:t>
            </w:r>
          </w:p>
        </w:tc>
        <w:tc>
          <w:tcPr>
            <w:tcW w:w="1540" w:type="dxa"/>
            <w:shd w:val="clear" w:color="auto" w:fill="800000"/>
            <w:vAlign w:val="center"/>
            <w:hideMark/>
          </w:tcPr>
          <w:p w14:paraId="75929217"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Περιφέρειες σε Μετάβαση</w:t>
            </w:r>
          </w:p>
        </w:tc>
        <w:tc>
          <w:tcPr>
            <w:tcW w:w="1601" w:type="dxa"/>
            <w:shd w:val="clear" w:color="auto" w:fill="800000"/>
            <w:vAlign w:val="center"/>
            <w:hideMark/>
          </w:tcPr>
          <w:p w14:paraId="12FB85DA"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Λιγότερο Ανεπτυγμένες Περιφέρειες</w:t>
            </w:r>
          </w:p>
        </w:tc>
      </w:tr>
      <w:tr w:rsidR="00A3379D" w:rsidRPr="006D4A4A" w14:paraId="092E08C2" w14:textId="77777777" w:rsidTr="00A56E01">
        <w:trPr>
          <w:trHeight w:val="285"/>
        </w:trPr>
        <w:tc>
          <w:tcPr>
            <w:tcW w:w="3148" w:type="dxa"/>
            <w:vAlign w:val="center"/>
            <w:hideMark/>
          </w:tcPr>
          <w:p w14:paraId="0C0E1678" w14:textId="77777777" w:rsidR="00A3379D" w:rsidRPr="00D70130" w:rsidRDefault="00A3379D" w:rsidP="00A3379D">
            <w:r w:rsidRPr="00D70130">
              <w:t>Προϋπ/σμός προσκλήσεων (ΔΔ):</w:t>
            </w:r>
          </w:p>
        </w:tc>
        <w:tc>
          <w:tcPr>
            <w:tcW w:w="1519" w:type="dxa"/>
            <w:vAlign w:val="center"/>
            <w:hideMark/>
          </w:tcPr>
          <w:p w14:paraId="1380A56E" w14:textId="77777777" w:rsidR="00A3379D" w:rsidRPr="00A56E01" w:rsidRDefault="00A3379D" w:rsidP="00A3379D">
            <w:pPr>
              <w:rPr>
                <w:b/>
                <w:szCs w:val="18"/>
              </w:rPr>
            </w:pPr>
            <w:r w:rsidRPr="00A56E01">
              <w:rPr>
                <w:b/>
                <w:szCs w:val="18"/>
              </w:rPr>
              <w:t>7.080.000,00 €</w:t>
            </w:r>
          </w:p>
        </w:tc>
        <w:tc>
          <w:tcPr>
            <w:tcW w:w="1544" w:type="dxa"/>
            <w:vAlign w:val="center"/>
            <w:hideMark/>
          </w:tcPr>
          <w:p w14:paraId="49572A67" w14:textId="77777777" w:rsidR="00A3379D" w:rsidRPr="00A56E01" w:rsidRDefault="00A3379D" w:rsidP="00A3379D">
            <w:pPr>
              <w:rPr>
                <w:szCs w:val="18"/>
              </w:rPr>
            </w:pPr>
            <w:r w:rsidRPr="00A56E01">
              <w:rPr>
                <w:szCs w:val="18"/>
              </w:rPr>
              <w:t>4.595.000,00 €</w:t>
            </w:r>
          </w:p>
        </w:tc>
        <w:tc>
          <w:tcPr>
            <w:tcW w:w="1540" w:type="dxa"/>
            <w:vAlign w:val="center"/>
            <w:hideMark/>
          </w:tcPr>
          <w:p w14:paraId="30028929" w14:textId="77777777" w:rsidR="00A3379D" w:rsidRPr="00A56E01" w:rsidRDefault="00A3379D" w:rsidP="00A3379D">
            <w:pPr>
              <w:rPr>
                <w:szCs w:val="18"/>
              </w:rPr>
            </w:pPr>
            <w:r w:rsidRPr="00A56E01">
              <w:rPr>
                <w:szCs w:val="18"/>
              </w:rPr>
              <w:t>13.825.000,00 €</w:t>
            </w:r>
          </w:p>
        </w:tc>
        <w:tc>
          <w:tcPr>
            <w:tcW w:w="1601" w:type="dxa"/>
            <w:vAlign w:val="center"/>
            <w:hideMark/>
          </w:tcPr>
          <w:p w14:paraId="6C54B844" w14:textId="77777777" w:rsidR="00A3379D" w:rsidRPr="00A56E01" w:rsidRDefault="00A3379D" w:rsidP="00A3379D">
            <w:pPr>
              <w:rPr>
                <w:szCs w:val="18"/>
              </w:rPr>
            </w:pPr>
            <w:r w:rsidRPr="00A56E01">
              <w:rPr>
                <w:szCs w:val="18"/>
              </w:rPr>
              <w:t>7.080.000,00 €</w:t>
            </w:r>
          </w:p>
        </w:tc>
      </w:tr>
      <w:tr w:rsidR="00A3379D" w:rsidRPr="006D4A4A" w14:paraId="4B532993" w14:textId="77777777" w:rsidTr="00A56E01">
        <w:trPr>
          <w:trHeight w:val="255"/>
        </w:trPr>
        <w:tc>
          <w:tcPr>
            <w:tcW w:w="3148" w:type="dxa"/>
            <w:vAlign w:val="center"/>
            <w:hideMark/>
          </w:tcPr>
          <w:p w14:paraId="4612BE49" w14:textId="77777777" w:rsidR="00A3379D" w:rsidRPr="00D70130" w:rsidRDefault="00A3379D" w:rsidP="00A3379D">
            <w:r w:rsidRPr="00D70130">
              <w:t xml:space="preserve">Προϋπ/σμός ενταγμένων έργων (ΔΔ): </w:t>
            </w:r>
          </w:p>
        </w:tc>
        <w:tc>
          <w:tcPr>
            <w:tcW w:w="1519" w:type="dxa"/>
            <w:vAlign w:val="center"/>
            <w:hideMark/>
          </w:tcPr>
          <w:p w14:paraId="581ADF1E" w14:textId="77777777" w:rsidR="00A3379D" w:rsidRPr="00A56E01" w:rsidRDefault="00A3379D" w:rsidP="00A3379D">
            <w:pPr>
              <w:rPr>
                <w:b/>
                <w:szCs w:val="18"/>
              </w:rPr>
            </w:pPr>
            <w:r w:rsidRPr="00A56E01">
              <w:rPr>
                <w:b/>
                <w:szCs w:val="18"/>
              </w:rPr>
              <w:t>3.660.953,85 €</w:t>
            </w:r>
          </w:p>
        </w:tc>
        <w:tc>
          <w:tcPr>
            <w:tcW w:w="1544" w:type="dxa"/>
            <w:vAlign w:val="center"/>
            <w:hideMark/>
          </w:tcPr>
          <w:p w14:paraId="19EE719F" w14:textId="77777777" w:rsidR="00A3379D" w:rsidRPr="00A56E01" w:rsidRDefault="00A3379D" w:rsidP="00A3379D">
            <w:pPr>
              <w:rPr>
                <w:szCs w:val="18"/>
              </w:rPr>
            </w:pPr>
            <w:r w:rsidRPr="00A56E01">
              <w:rPr>
                <w:szCs w:val="18"/>
              </w:rPr>
              <w:t>1.600.237,58 €</w:t>
            </w:r>
          </w:p>
        </w:tc>
        <w:tc>
          <w:tcPr>
            <w:tcW w:w="1540" w:type="dxa"/>
            <w:vAlign w:val="center"/>
            <w:hideMark/>
          </w:tcPr>
          <w:p w14:paraId="6B898D91" w14:textId="77777777" w:rsidR="00A3379D" w:rsidRPr="00A56E01" w:rsidRDefault="00A3379D" w:rsidP="00A3379D">
            <w:pPr>
              <w:rPr>
                <w:szCs w:val="18"/>
              </w:rPr>
            </w:pPr>
            <w:r w:rsidRPr="00A56E01">
              <w:rPr>
                <w:szCs w:val="18"/>
              </w:rPr>
              <w:t>6.129.350,20 €</w:t>
            </w:r>
          </w:p>
        </w:tc>
        <w:tc>
          <w:tcPr>
            <w:tcW w:w="1601" w:type="dxa"/>
            <w:vAlign w:val="center"/>
            <w:hideMark/>
          </w:tcPr>
          <w:p w14:paraId="1708E558" w14:textId="77777777" w:rsidR="00A3379D" w:rsidRPr="00A56E01" w:rsidRDefault="00A3379D" w:rsidP="00A3379D">
            <w:pPr>
              <w:rPr>
                <w:szCs w:val="18"/>
              </w:rPr>
            </w:pPr>
            <w:r w:rsidRPr="00A56E01">
              <w:rPr>
                <w:szCs w:val="18"/>
              </w:rPr>
              <w:t>3.660.953,85 €</w:t>
            </w:r>
          </w:p>
        </w:tc>
      </w:tr>
      <w:tr w:rsidR="00A3379D" w:rsidRPr="006D4A4A" w14:paraId="13A252F0" w14:textId="77777777" w:rsidTr="00A56E01">
        <w:trPr>
          <w:trHeight w:val="255"/>
        </w:trPr>
        <w:tc>
          <w:tcPr>
            <w:tcW w:w="3148" w:type="dxa"/>
            <w:vAlign w:val="center"/>
          </w:tcPr>
          <w:p w14:paraId="506EC69E" w14:textId="77777777" w:rsidR="00A3379D" w:rsidRPr="00D70130" w:rsidRDefault="00A3379D" w:rsidP="00A3379D">
            <w:r w:rsidRPr="00D70130">
              <w:t xml:space="preserve">Πληρωμές έργων (ΕΛΚΕ): </w:t>
            </w:r>
          </w:p>
        </w:tc>
        <w:tc>
          <w:tcPr>
            <w:tcW w:w="1519" w:type="dxa"/>
            <w:vAlign w:val="center"/>
          </w:tcPr>
          <w:p w14:paraId="44C6698C" w14:textId="77777777" w:rsidR="00A3379D" w:rsidRPr="00A56E01" w:rsidRDefault="00A3379D" w:rsidP="00A3379D">
            <w:pPr>
              <w:rPr>
                <w:b/>
                <w:szCs w:val="18"/>
              </w:rPr>
            </w:pPr>
            <w:r w:rsidRPr="00A56E01">
              <w:rPr>
                <w:b/>
                <w:szCs w:val="18"/>
              </w:rPr>
              <w:t>1.123.350,50 €</w:t>
            </w:r>
          </w:p>
        </w:tc>
        <w:tc>
          <w:tcPr>
            <w:tcW w:w="1544" w:type="dxa"/>
            <w:vAlign w:val="center"/>
          </w:tcPr>
          <w:p w14:paraId="0ACC0B03" w14:textId="77777777" w:rsidR="00A3379D" w:rsidRPr="00A56E01" w:rsidRDefault="00A3379D" w:rsidP="00A3379D">
            <w:pPr>
              <w:rPr>
                <w:szCs w:val="18"/>
              </w:rPr>
            </w:pPr>
            <w:r w:rsidRPr="00A56E01">
              <w:rPr>
                <w:szCs w:val="18"/>
              </w:rPr>
              <w:t>648.825,00 €</w:t>
            </w:r>
          </w:p>
        </w:tc>
        <w:tc>
          <w:tcPr>
            <w:tcW w:w="1540" w:type="dxa"/>
            <w:vAlign w:val="center"/>
          </w:tcPr>
          <w:p w14:paraId="50CF1BD3" w14:textId="77777777" w:rsidR="00A3379D" w:rsidRPr="00A56E01" w:rsidRDefault="00A3379D" w:rsidP="00A3379D">
            <w:pPr>
              <w:rPr>
                <w:szCs w:val="18"/>
              </w:rPr>
            </w:pPr>
            <w:r w:rsidRPr="00A56E01">
              <w:rPr>
                <w:szCs w:val="18"/>
              </w:rPr>
              <w:t>1.903.573,51 €</w:t>
            </w:r>
          </w:p>
        </w:tc>
        <w:tc>
          <w:tcPr>
            <w:tcW w:w="1601" w:type="dxa"/>
            <w:vAlign w:val="center"/>
          </w:tcPr>
          <w:p w14:paraId="346B4E29" w14:textId="77777777" w:rsidR="00A3379D" w:rsidRPr="00A56E01" w:rsidRDefault="00A3379D" w:rsidP="00A3379D">
            <w:pPr>
              <w:rPr>
                <w:szCs w:val="18"/>
              </w:rPr>
            </w:pPr>
            <w:r w:rsidRPr="00A56E01">
              <w:rPr>
                <w:szCs w:val="18"/>
              </w:rPr>
              <w:t>1.123.350,50 €</w:t>
            </w:r>
          </w:p>
        </w:tc>
      </w:tr>
      <w:tr w:rsidR="00A3379D" w:rsidRPr="006D4A4A" w14:paraId="47400B0C" w14:textId="77777777" w:rsidTr="00A56E01">
        <w:trPr>
          <w:trHeight w:val="255"/>
        </w:trPr>
        <w:tc>
          <w:tcPr>
            <w:tcW w:w="3148" w:type="dxa"/>
            <w:vAlign w:val="center"/>
            <w:hideMark/>
          </w:tcPr>
          <w:p w14:paraId="55548512" w14:textId="77777777" w:rsidR="00A3379D" w:rsidRPr="00D70130" w:rsidRDefault="00A3379D" w:rsidP="00A3379D">
            <w:r w:rsidRPr="00D70130">
              <w:t xml:space="preserve">Πληρωμές έργων (ΟΠΣ): </w:t>
            </w:r>
          </w:p>
        </w:tc>
        <w:tc>
          <w:tcPr>
            <w:tcW w:w="1519" w:type="dxa"/>
            <w:vAlign w:val="center"/>
            <w:hideMark/>
          </w:tcPr>
          <w:p w14:paraId="2681F31C" w14:textId="77777777" w:rsidR="00A3379D" w:rsidRPr="00A56E01" w:rsidRDefault="00A3379D" w:rsidP="00A3379D">
            <w:pPr>
              <w:jc w:val="center"/>
              <w:rPr>
                <w:rFonts w:cs="Calibri"/>
                <w:b/>
                <w:bCs/>
                <w:szCs w:val="18"/>
              </w:rPr>
            </w:pPr>
            <w:r w:rsidRPr="00A56E01">
              <w:rPr>
                <w:b/>
                <w:szCs w:val="18"/>
              </w:rPr>
              <w:t>76,379.00 €</w:t>
            </w:r>
          </w:p>
        </w:tc>
        <w:tc>
          <w:tcPr>
            <w:tcW w:w="1544" w:type="dxa"/>
            <w:vAlign w:val="center"/>
            <w:hideMark/>
          </w:tcPr>
          <w:p w14:paraId="62583E67" w14:textId="77777777" w:rsidR="00A3379D" w:rsidRPr="00A56E01" w:rsidRDefault="00A3379D" w:rsidP="00A3379D">
            <w:pPr>
              <w:jc w:val="center"/>
              <w:rPr>
                <w:rFonts w:cs="Calibri"/>
                <w:szCs w:val="18"/>
              </w:rPr>
            </w:pPr>
            <w:r w:rsidRPr="00A56E01">
              <w:rPr>
                <w:szCs w:val="18"/>
              </w:rPr>
              <w:t>76,379.00 €</w:t>
            </w:r>
          </w:p>
        </w:tc>
        <w:tc>
          <w:tcPr>
            <w:tcW w:w="1540" w:type="dxa"/>
            <w:vAlign w:val="center"/>
            <w:hideMark/>
          </w:tcPr>
          <w:p w14:paraId="6E5EEF53" w14:textId="77777777" w:rsidR="00A3379D" w:rsidRPr="00A56E01" w:rsidRDefault="00A3379D" w:rsidP="00A3379D">
            <w:pPr>
              <w:jc w:val="center"/>
              <w:rPr>
                <w:rFonts w:cs="Calibri"/>
                <w:szCs w:val="18"/>
              </w:rPr>
            </w:pPr>
            <w:r w:rsidRPr="00A56E01">
              <w:rPr>
                <w:szCs w:val="18"/>
              </w:rPr>
              <w:t>0.00 €</w:t>
            </w:r>
          </w:p>
        </w:tc>
        <w:tc>
          <w:tcPr>
            <w:tcW w:w="1601" w:type="dxa"/>
            <w:vAlign w:val="center"/>
            <w:hideMark/>
          </w:tcPr>
          <w:p w14:paraId="4B10314C" w14:textId="77777777" w:rsidR="00A3379D" w:rsidRPr="00A56E01" w:rsidRDefault="00A3379D" w:rsidP="00A3379D">
            <w:pPr>
              <w:jc w:val="center"/>
              <w:rPr>
                <w:rFonts w:cs="Calibri"/>
                <w:szCs w:val="18"/>
              </w:rPr>
            </w:pPr>
            <w:r w:rsidRPr="00A56E01">
              <w:rPr>
                <w:szCs w:val="18"/>
              </w:rPr>
              <w:t>0.00 €</w:t>
            </w:r>
          </w:p>
        </w:tc>
      </w:tr>
      <w:tr w:rsidR="00A3379D" w:rsidRPr="006D4A4A" w14:paraId="1742CEEB" w14:textId="77777777" w:rsidTr="00A56E01">
        <w:trPr>
          <w:trHeight w:val="255"/>
        </w:trPr>
        <w:tc>
          <w:tcPr>
            <w:tcW w:w="3148" w:type="dxa"/>
            <w:vAlign w:val="center"/>
            <w:hideMark/>
          </w:tcPr>
          <w:p w14:paraId="7EF4AE69" w14:textId="77777777" w:rsidR="00A3379D" w:rsidRPr="00D70130" w:rsidRDefault="00A3379D" w:rsidP="00A3379D">
            <w:r w:rsidRPr="00D70130">
              <w:t>Αριθμ. ενταγμένων πράξεων:</w:t>
            </w:r>
          </w:p>
        </w:tc>
        <w:tc>
          <w:tcPr>
            <w:tcW w:w="1519" w:type="dxa"/>
            <w:vAlign w:val="center"/>
            <w:hideMark/>
          </w:tcPr>
          <w:p w14:paraId="0BD3F74C" w14:textId="77777777" w:rsidR="00A3379D" w:rsidRPr="00A56E01" w:rsidRDefault="00A3379D" w:rsidP="00A3379D">
            <w:pPr>
              <w:jc w:val="center"/>
              <w:rPr>
                <w:rFonts w:cs="Calibri"/>
                <w:b/>
                <w:bCs/>
                <w:szCs w:val="18"/>
              </w:rPr>
            </w:pPr>
            <w:r w:rsidRPr="00A56E01">
              <w:rPr>
                <w:b/>
                <w:szCs w:val="18"/>
              </w:rPr>
              <w:t>33</w:t>
            </w:r>
          </w:p>
        </w:tc>
        <w:tc>
          <w:tcPr>
            <w:tcW w:w="1544" w:type="dxa"/>
            <w:vAlign w:val="center"/>
            <w:hideMark/>
          </w:tcPr>
          <w:p w14:paraId="5DC2C98B" w14:textId="77777777" w:rsidR="00A3379D" w:rsidRPr="00A56E01" w:rsidRDefault="00A3379D" w:rsidP="00A3379D">
            <w:pPr>
              <w:jc w:val="center"/>
              <w:rPr>
                <w:rFonts w:cs="Calibri"/>
                <w:szCs w:val="18"/>
              </w:rPr>
            </w:pPr>
            <w:r w:rsidRPr="00A56E01">
              <w:rPr>
                <w:szCs w:val="18"/>
              </w:rPr>
              <w:t>19</w:t>
            </w:r>
          </w:p>
        </w:tc>
        <w:tc>
          <w:tcPr>
            <w:tcW w:w="1540" w:type="dxa"/>
            <w:vAlign w:val="center"/>
            <w:hideMark/>
          </w:tcPr>
          <w:p w14:paraId="14BAB669" w14:textId="77777777" w:rsidR="00A3379D" w:rsidRPr="00A56E01" w:rsidRDefault="00A3379D" w:rsidP="00A3379D">
            <w:pPr>
              <w:jc w:val="center"/>
              <w:rPr>
                <w:rFonts w:cs="Calibri"/>
                <w:szCs w:val="18"/>
              </w:rPr>
            </w:pPr>
            <w:r w:rsidRPr="00A56E01">
              <w:rPr>
                <w:szCs w:val="18"/>
              </w:rPr>
              <w:t>8</w:t>
            </w:r>
          </w:p>
        </w:tc>
        <w:tc>
          <w:tcPr>
            <w:tcW w:w="1601" w:type="dxa"/>
            <w:vAlign w:val="center"/>
            <w:hideMark/>
          </w:tcPr>
          <w:p w14:paraId="59F4969C" w14:textId="77777777" w:rsidR="00A3379D" w:rsidRPr="00A56E01" w:rsidRDefault="00A3379D" w:rsidP="00A3379D">
            <w:pPr>
              <w:jc w:val="center"/>
              <w:rPr>
                <w:rFonts w:cs="Calibri"/>
                <w:szCs w:val="18"/>
              </w:rPr>
            </w:pPr>
            <w:r w:rsidRPr="00A56E01">
              <w:rPr>
                <w:szCs w:val="18"/>
              </w:rPr>
              <w:t>23</w:t>
            </w:r>
          </w:p>
        </w:tc>
      </w:tr>
      <w:tr w:rsidR="00A3379D" w:rsidRPr="006D4A4A" w14:paraId="2892AAF7" w14:textId="77777777" w:rsidTr="00A56E01">
        <w:trPr>
          <w:trHeight w:val="255"/>
        </w:trPr>
        <w:tc>
          <w:tcPr>
            <w:tcW w:w="3148" w:type="dxa"/>
            <w:vAlign w:val="center"/>
            <w:hideMark/>
          </w:tcPr>
          <w:p w14:paraId="7908C497" w14:textId="77777777" w:rsidR="00A3379D" w:rsidRDefault="00A3379D" w:rsidP="00A3379D">
            <w:r w:rsidRPr="00D70130">
              <w:t>Αριθμ. Συμμετοχών:</w:t>
            </w:r>
          </w:p>
        </w:tc>
        <w:tc>
          <w:tcPr>
            <w:tcW w:w="1519" w:type="dxa"/>
            <w:vAlign w:val="center"/>
            <w:hideMark/>
          </w:tcPr>
          <w:p w14:paraId="606AD009" w14:textId="77777777" w:rsidR="00A3379D" w:rsidRPr="00A56E01" w:rsidRDefault="00A3379D" w:rsidP="00A3379D">
            <w:pPr>
              <w:jc w:val="center"/>
              <w:rPr>
                <w:rFonts w:cs="Calibri"/>
                <w:b/>
                <w:bCs/>
                <w:szCs w:val="18"/>
              </w:rPr>
            </w:pPr>
            <w:r w:rsidRPr="00A56E01">
              <w:rPr>
                <w:b/>
                <w:szCs w:val="18"/>
              </w:rPr>
              <w:t>71</w:t>
            </w:r>
          </w:p>
        </w:tc>
        <w:tc>
          <w:tcPr>
            <w:tcW w:w="1544" w:type="dxa"/>
            <w:vAlign w:val="center"/>
            <w:hideMark/>
          </w:tcPr>
          <w:p w14:paraId="7CBBDAC8" w14:textId="77777777" w:rsidR="00A3379D" w:rsidRPr="00A56E01" w:rsidRDefault="00A3379D" w:rsidP="00A3379D">
            <w:pPr>
              <w:jc w:val="center"/>
              <w:rPr>
                <w:rFonts w:cs="Calibri"/>
                <w:szCs w:val="18"/>
              </w:rPr>
            </w:pPr>
            <w:r w:rsidRPr="00A56E01">
              <w:rPr>
                <w:szCs w:val="18"/>
              </w:rPr>
              <w:t>26</w:t>
            </w:r>
          </w:p>
        </w:tc>
        <w:tc>
          <w:tcPr>
            <w:tcW w:w="1540" w:type="dxa"/>
            <w:vAlign w:val="center"/>
            <w:hideMark/>
          </w:tcPr>
          <w:p w14:paraId="4DC531FA" w14:textId="77777777" w:rsidR="00A3379D" w:rsidRPr="00A56E01" w:rsidRDefault="00A3379D" w:rsidP="00A3379D">
            <w:pPr>
              <w:jc w:val="center"/>
              <w:rPr>
                <w:rFonts w:cs="Calibri"/>
                <w:szCs w:val="18"/>
              </w:rPr>
            </w:pPr>
            <w:r w:rsidRPr="00A56E01">
              <w:rPr>
                <w:szCs w:val="18"/>
              </w:rPr>
              <w:t>10</w:t>
            </w:r>
          </w:p>
        </w:tc>
        <w:tc>
          <w:tcPr>
            <w:tcW w:w="1601" w:type="dxa"/>
            <w:vAlign w:val="center"/>
            <w:hideMark/>
          </w:tcPr>
          <w:p w14:paraId="211B1F76" w14:textId="77777777" w:rsidR="00A3379D" w:rsidRPr="00A56E01" w:rsidRDefault="00A3379D" w:rsidP="00A3379D">
            <w:pPr>
              <w:jc w:val="center"/>
              <w:rPr>
                <w:rFonts w:cs="Calibri"/>
                <w:szCs w:val="18"/>
              </w:rPr>
            </w:pPr>
            <w:r w:rsidRPr="00A56E01">
              <w:rPr>
                <w:szCs w:val="18"/>
              </w:rPr>
              <w:t>35</w:t>
            </w:r>
          </w:p>
        </w:tc>
      </w:tr>
    </w:tbl>
    <w:p w14:paraId="1DB588F2" w14:textId="77777777" w:rsidR="0061605D" w:rsidRDefault="0061605D" w:rsidP="00305C7F">
      <w:pPr>
        <w:pStyle w:val="Caption"/>
      </w:pPr>
    </w:p>
    <w:p w14:paraId="58535CC4" w14:textId="77777777" w:rsidR="003770DC" w:rsidRPr="0061319E" w:rsidRDefault="00305C7F" w:rsidP="00305C7F">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3D262C">
        <w:rPr>
          <w:noProof/>
        </w:rPr>
        <w:t>22</w:t>
      </w:r>
      <w:r w:rsidR="00C221BF">
        <w:t>:</w:t>
      </w:r>
      <w:r>
        <w:t xml:space="preserve"> </w:t>
      </w:r>
      <w:r w:rsidR="003770DC" w:rsidRPr="0061319E">
        <w:t xml:space="preserve">Ποσοστιαία κατανομή εντάξεων και πληρωμών (έως 31.12.2018) </w:t>
      </w:r>
      <w:r w:rsidR="00A3379D" w:rsidRPr="00A3379D">
        <w:t>έργων που υλοποιούνται στο πλαίσιο των Δράσεων Διμερούς Ε&amp;Τ Συνεργασίας</w:t>
      </w:r>
    </w:p>
    <w:tbl>
      <w:tblPr>
        <w:tblStyle w:val="TableGrid1"/>
        <w:tblW w:w="936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4720"/>
        <w:gridCol w:w="1523"/>
        <w:gridCol w:w="1523"/>
        <w:gridCol w:w="1594"/>
      </w:tblGrid>
      <w:tr w:rsidR="003770DC" w:rsidRPr="006D4A4A" w14:paraId="30958EDC" w14:textId="77777777" w:rsidTr="00A3379D">
        <w:trPr>
          <w:trHeight w:val="510"/>
        </w:trPr>
        <w:tc>
          <w:tcPr>
            <w:tcW w:w="4720" w:type="dxa"/>
            <w:shd w:val="clear" w:color="auto" w:fill="800000"/>
            <w:vAlign w:val="center"/>
            <w:hideMark/>
          </w:tcPr>
          <w:p w14:paraId="111AB588"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Διμερής Ε&amp;Τ Συνεργασία</w:t>
            </w:r>
          </w:p>
        </w:tc>
        <w:tc>
          <w:tcPr>
            <w:tcW w:w="1523" w:type="dxa"/>
            <w:shd w:val="clear" w:color="auto" w:fill="800000"/>
            <w:vAlign w:val="center"/>
            <w:hideMark/>
          </w:tcPr>
          <w:p w14:paraId="48B2CC37"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Περισσότερο Ανεπτυγμένες Περιφέρειες</w:t>
            </w:r>
          </w:p>
        </w:tc>
        <w:tc>
          <w:tcPr>
            <w:tcW w:w="1523" w:type="dxa"/>
            <w:shd w:val="clear" w:color="auto" w:fill="800000"/>
            <w:vAlign w:val="center"/>
            <w:hideMark/>
          </w:tcPr>
          <w:p w14:paraId="0E514176"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Περιφέρειες σε Μετάβαση</w:t>
            </w:r>
          </w:p>
        </w:tc>
        <w:tc>
          <w:tcPr>
            <w:tcW w:w="1594" w:type="dxa"/>
            <w:shd w:val="clear" w:color="auto" w:fill="800000"/>
            <w:vAlign w:val="center"/>
            <w:hideMark/>
          </w:tcPr>
          <w:p w14:paraId="5E48F96C" w14:textId="77777777" w:rsidR="003770DC" w:rsidRPr="00F53B40" w:rsidRDefault="003770DC" w:rsidP="00853066">
            <w:pPr>
              <w:jc w:val="center"/>
              <w:rPr>
                <w:rFonts w:cs="Calibri"/>
                <w:b/>
                <w:bCs/>
                <w:color w:val="FFFFFF" w:themeColor="background1"/>
                <w:sz w:val="16"/>
                <w:szCs w:val="16"/>
              </w:rPr>
            </w:pPr>
            <w:r w:rsidRPr="00F53B40">
              <w:rPr>
                <w:rFonts w:cs="Calibri"/>
                <w:b/>
                <w:bCs/>
                <w:color w:val="FFFFFF" w:themeColor="background1"/>
                <w:sz w:val="16"/>
                <w:szCs w:val="16"/>
              </w:rPr>
              <w:t>Λιγότερο Ανεπτυγμένες Περιφέρειες</w:t>
            </w:r>
          </w:p>
        </w:tc>
      </w:tr>
      <w:tr w:rsidR="001167E2" w:rsidRPr="006D4A4A" w14:paraId="6C029587" w14:textId="77777777" w:rsidTr="00A56E01">
        <w:trPr>
          <w:trHeight w:val="645"/>
        </w:trPr>
        <w:tc>
          <w:tcPr>
            <w:tcW w:w="4720" w:type="dxa"/>
            <w:vAlign w:val="center"/>
            <w:hideMark/>
          </w:tcPr>
          <w:p w14:paraId="7496539A" w14:textId="77777777" w:rsidR="001167E2" w:rsidRPr="009978C3" w:rsidRDefault="001167E2" w:rsidP="001167E2">
            <w:pPr>
              <w:jc w:val="left"/>
            </w:pPr>
            <w:r w:rsidRPr="009978C3">
              <w:t>Ποσοστιαία κατανομή του προϋπ/σμού (ΔΔ) ενταγμένων έργων ανά κατηγορία Περιφερειών</w:t>
            </w:r>
          </w:p>
        </w:tc>
        <w:tc>
          <w:tcPr>
            <w:tcW w:w="1523" w:type="dxa"/>
            <w:vAlign w:val="center"/>
            <w:hideMark/>
          </w:tcPr>
          <w:p w14:paraId="4612384D" w14:textId="77777777" w:rsidR="001167E2" w:rsidRPr="008B594E" w:rsidRDefault="001167E2" w:rsidP="001167E2">
            <w:pPr>
              <w:jc w:val="center"/>
            </w:pPr>
            <w:r w:rsidRPr="008B594E">
              <w:t>27,76%</w:t>
            </w:r>
          </w:p>
        </w:tc>
        <w:tc>
          <w:tcPr>
            <w:tcW w:w="1523" w:type="dxa"/>
            <w:vAlign w:val="center"/>
            <w:hideMark/>
          </w:tcPr>
          <w:p w14:paraId="4406B777" w14:textId="77777777" w:rsidR="001167E2" w:rsidRPr="008B594E" w:rsidRDefault="001167E2" w:rsidP="001167E2">
            <w:pPr>
              <w:jc w:val="center"/>
            </w:pPr>
            <w:r w:rsidRPr="008B594E">
              <w:t>18,02%</w:t>
            </w:r>
          </w:p>
        </w:tc>
        <w:tc>
          <w:tcPr>
            <w:tcW w:w="1594" w:type="dxa"/>
            <w:vAlign w:val="center"/>
            <w:hideMark/>
          </w:tcPr>
          <w:p w14:paraId="50B933BC" w14:textId="77777777" w:rsidR="001167E2" w:rsidRPr="008B594E" w:rsidRDefault="001167E2" w:rsidP="001167E2">
            <w:pPr>
              <w:jc w:val="center"/>
            </w:pPr>
            <w:r w:rsidRPr="008B594E">
              <w:t>54,22%</w:t>
            </w:r>
          </w:p>
        </w:tc>
      </w:tr>
      <w:tr w:rsidR="001167E2" w:rsidRPr="006D4A4A" w14:paraId="3F7E3856" w14:textId="77777777" w:rsidTr="00A56E01">
        <w:trPr>
          <w:trHeight w:val="510"/>
        </w:trPr>
        <w:tc>
          <w:tcPr>
            <w:tcW w:w="4720" w:type="dxa"/>
            <w:vAlign w:val="center"/>
            <w:hideMark/>
          </w:tcPr>
          <w:p w14:paraId="3A2F3AE7" w14:textId="77777777" w:rsidR="001167E2" w:rsidRPr="009978C3" w:rsidRDefault="001167E2" w:rsidP="001167E2">
            <w:pPr>
              <w:jc w:val="left"/>
            </w:pPr>
            <w:r w:rsidRPr="009978C3">
              <w:t>Ποσοστιαία κατανομή του προϋπ/σμού (ΔΔ) Πρόσκλησης ανά κατηγορία Περιφερειών</w:t>
            </w:r>
          </w:p>
        </w:tc>
        <w:tc>
          <w:tcPr>
            <w:tcW w:w="1523" w:type="dxa"/>
            <w:vAlign w:val="center"/>
            <w:hideMark/>
          </w:tcPr>
          <w:p w14:paraId="40F38842" w14:textId="77777777" w:rsidR="001167E2" w:rsidRPr="008B594E" w:rsidRDefault="001167E2" w:rsidP="001167E2">
            <w:pPr>
              <w:jc w:val="center"/>
            </w:pPr>
            <w:r w:rsidRPr="008B594E">
              <w:t>32,14%</w:t>
            </w:r>
          </w:p>
        </w:tc>
        <w:tc>
          <w:tcPr>
            <w:tcW w:w="1523" w:type="dxa"/>
            <w:vAlign w:val="center"/>
            <w:hideMark/>
          </w:tcPr>
          <w:p w14:paraId="59BF2BBC" w14:textId="77777777" w:rsidR="001167E2" w:rsidRPr="008B594E" w:rsidRDefault="001167E2" w:rsidP="001167E2">
            <w:pPr>
              <w:jc w:val="center"/>
            </w:pPr>
            <w:r w:rsidRPr="008B594E">
              <w:t>14,05%</w:t>
            </w:r>
          </w:p>
        </w:tc>
        <w:tc>
          <w:tcPr>
            <w:tcW w:w="1594" w:type="dxa"/>
            <w:vAlign w:val="center"/>
            <w:hideMark/>
          </w:tcPr>
          <w:p w14:paraId="15FDAA62" w14:textId="77777777" w:rsidR="001167E2" w:rsidRPr="008B594E" w:rsidRDefault="001167E2" w:rsidP="001167E2">
            <w:pPr>
              <w:jc w:val="center"/>
            </w:pPr>
            <w:r w:rsidRPr="008B594E">
              <w:t>53,81%</w:t>
            </w:r>
          </w:p>
        </w:tc>
      </w:tr>
      <w:tr w:rsidR="001167E2" w:rsidRPr="006D4A4A" w14:paraId="3EA0237A" w14:textId="77777777" w:rsidTr="00A56E01">
        <w:trPr>
          <w:trHeight w:val="690"/>
        </w:trPr>
        <w:tc>
          <w:tcPr>
            <w:tcW w:w="4720" w:type="dxa"/>
            <w:vAlign w:val="center"/>
            <w:hideMark/>
          </w:tcPr>
          <w:p w14:paraId="684400B3" w14:textId="77777777" w:rsidR="001167E2" w:rsidRPr="009978C3" w:rsidRDefault="001167E2" w:rsidP="001167E2">
            <w:pPr>
              <w:jc w:val="left"/>
            </w:pPr>
            <w:r w:rsidRPr="009978C3">
              <w:t>Ποσοστιαία κατανομή πληρωμών ΕΛΚΕ ανά κατηγορία Περιφερειών</w:t>
            </w:r>
          </w:p>
        </w:tc>
        <w:tc>
          <w:tcPr>
            <w:tcW w:w="1523" w:type="dxa"/>
            <w:vAlign w:val="center"/>
            <w:hideMark/>
          </w:tcPr>
          <w:p w14:paraId="13DBBB7B" w14:textId="77777777" w:rsidR="001167E2" w:rsidRPr="008B594E" w:rsidRDefault="001167E2" w:rsidP="001167E2">
            <w:pPr>
              <w:jc w:val="center"/>
            </w:pPr>
            <w:r w:rsidRPr="008B594E">
              <w:t>30,56%</w:t>
            </w:r>
          </w:p>
        </w:tc>
        <w:tc>
          <w:tcPr>
            <w:tcW w:w="1523" w:type="dxa"/>
            <w:vAlign w:val="center"/>
            <w:hideMark/>
          </w:tcPr>
          <w:p w14:paraId="6FB41919" w14:textId="77777777" w:rsidR="001167E2" w:rsidRPr="008B594E" w:rsidRDefault="001167E2" w:rsidP="001167E2">
            <w:pPr>
              <w:jc w:val="center"/>
            </w:pPr>
            <w:r w:rsidRPr="008B594E">
              <w:t>17,65%</w:t>
            </w:r>
          </w:p>
        </w:tc>
        <w:tc>
          <w:tcPr>
            <w:tcW w:w="1594" w:type="dxa"/>
            <w:vAlign w:val="center"/>
            <w:hideMark/>
          </w:tcPr>
          <w:p w14:paraId="6B33D5DB" w14:textId="77777777" w:rsidR="001167E2" w:rsidRPr="008B594E" w:rsidRDefault="001167E2" w:rsidP="001167E2">
            <w:pPr>
              <w:jc w:val="center"/>
            </w:pPr>
            <w:r w:rsidRPr="008B594E">
              <w:t>51,79%</w:t>
            </w:r>
          </w:p>
        </w:tc>
      </w:tr>
      <w:tr w:rsidR="001167E2" w:rsidRPr="006D4A4A" w14:paraId="559FADFC" w14:textId="77777777" w:rsidTr="00A56E01">
        <w:trPr>
          <w:trHeight w:val="510"/>
        </w:trPr>
        <w:tc>
          <w:tcPr>
            <w:tcW w:w="4720" w:type="dxa"/>
            <w:vAlign w:val="center"/>
            <w:hideMark/>
          </w:tcPr>
          <w:p w14:paraId="207DCEF9" w14:textId="77777777" w:rsidR="001167E2" w:rsidRPr="009978C3" w:rsidRDefault="001167E2" w:rsidP="001167E2">
            <w:pPr>
              <w:jc w:val="left"/>
            </w:pPr>
            <w:r w:rsidRPr="009978C3">
              <w:t>Ποσοστιαία κατανομή καταχωρημένων πληρωμών στο ΟΠΣ ανά κατηγορία Περιφερειών</w:t>
            </w:r>
          </w:p>
        </w:tc>
        <w:tc>
          <w:tcPr>
            <w:tcW w:w="1523" w:type="dxa"/>
            <w:vAlign w:val="center"/>
          </w:tcPr>
          <w:p w14:paraId="1579DD28" w14:textId="77777777" w:rsidR="001167E2" w:rsidRPr="008B594E" w:rsidRDefault="001167E2" w:rsidP="001167E2">
            <w:pPr>
              <w:jc w:val="center"/>
            </w:pPr>
            <w:r w:rsidRPr="008B594E">
              <w:t>100,00%</w:t>
            </w:r>
          </w:p>
        </w:tc>
        <w:tc>
          <w:tcPr>
            <w:tcW w:w="1523" w:type="dxa"/>
            <w:vAlign w:val="center"/>
          </w:tcPr>
          <w:p w14:paraId="7F2611EE" w14:textId="77777777" w:rsidR="001167E2" w:rsidRPr="008B594E" w:rsidRDefault="001167E2" w:rsidP="001167E2">
            <w:pPr>
              <w:jc w:val="center"/>
            </w:pPr>
            <w:r w:rsidRPr="008B594E">
              <w:t>0,00%</w:t>
            </w:r>
          </w:p>
        </w:tc>
        <w:tc>
          <w:tcPr>
            <w:tcW w:w="1594" w:type="dxa"/>
            <w:vAlign w:val="center"/>
          </w:tcPr>
          <w:p w14:paraId="728AE5D2" w14:textId="77777777" w:rsidR="001167E2" w:rsidRDefault="001167E2" w:rsidP="001167E2">
            <w:pPr>
              <w:jc w:val="center"/>
            </w:pPr>
            <w:r w:rsidRPr="008B594E">
              <w:t>0,00%</w:t>
            </w:r>
          </w:p>
        </w:tc>
      </w:tr>
    </w:tbl>
    <w:p w14:paraId="69E290C2" w14:textId="77777777" w:rsidR="003D262C" w:rsidRDefault="003D262C" w:rsidP="003770DC"/>
    <w:p w14:paraId="33D8581D" w14:textId="77777777" w:rsidR="003D262C" w:rsidRPr="00FF49F6" w:rsidRDefault="003D262C" w:rsidP="003D262C">
      <w:pPr>
        <w:pStyle w:val="Caption"/>
      </w:pPr>
      <w:r>
        <w:t xml:space="preserve">Πίνακας 3-23: Περιφερειακή κατανομή και συσχετισμός εντάξεων-πληρωμών </w:t>
      </w:r>
      <w:r w:rsidRPr="003D262C">
        <w:t>έργων που υλοποιούνται στο πλαίσιο των Δράσεων Διμερούς Ε&amp;Τ Συνεργασίας</w:t>
      </w:r>
    </w:p>
    <w:tbl>
      <w:tblPr>
        <w:tblStyle w:val="TableGrid1"/>
        <w:tblW w:w="960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96"/>
        <w:gridCol w:w="2006"/>
        <w:gridCol w:w="1541"/>
        <w:gridCol w:w="965"/>
        <w:gridCol w:w="1727"/>
        <w:gridCol w:w="970"/>
      </w:tblGrid>
      <w:tr w:rsidR="003D262C" w:rsidRPr="00DF43D2" w14:paraId="3E81B986" w14:textId="77777777" w:rsidTr="00696052">
        <w:trPr>
          <w:trHeight w:val="825"/>
          <w:tblHeader/>
          <w:jc w:val="center"/>
        </w:trPr>
        <w:tc>
          <w:tcPr>
            <w:tcW w:w="2396" w:type="dxa"/>
            <w:shd w:val="clear" w:color="auto" w:fill="800000"/>
            <w:vAlign w:val="center"/>
          </w:tcPr>
          <w:p w14:paraId="0DB9311F" w14:textId="77777777" w:rsidR="003D262C" w:rsidRPr="00A3379D" w:rsidRDefault="003D262C" w:rsidP="00696052">
            <w:pPr>
              <w:jc w:val="center"/>
              <w:rPr>
                <w:b/>
                <w:sz w:val="16"/>
                <w:szCs w:val="16"/>
              </w:rPr>
            </w:pPr>
            <w:r>
              <w:rPr>
                <w:b/>
                <w:sz w:val="16"/>
                <w:szCs w:val="16"/>
              </w:rPr>
              <w:t>Περιφέρεια</w:t>
            </w:r>
          </w:p>
        </w:tc>
        <w:tc>
          <w:tcPr>
            <w:tcW w:w="2006" w:type="dxa"/>
            <w:shd w:val="clear" w:color="auto" w:fill="800000"/>
            <w:vAlign w:val="center"/>
          </w:tcPr>
          <w:p w14:paraId="149E2AE9" w14:textId="77777777" w:rsidR="003D262C" w:rsidRPr="00A3379D" w:rsidRDefault="003D262C" w:rsidP="00696052">
            <w:pPr>
              <w:jc w:val="center"/>
              <w:rPr>
                <w:rFonts w:cs="Calibri"/>
                <w:b/>
                <w:bCs/>
                <w:color w:val="C00000"/>
                <w:sz w:val="16"/>
                <w:szCs w:val="16"/>
              </w:rPr>
            </w:pPr>
            <w:r w:rsidRPr="00A3379D">
              <w:rPr>
                <w:rFonts w:cs="Calibri"/>
                <w:b/>
                <w:bCs/>
                <w:sz w:val="16"/>
                <w:szCs w:val="16"/>
              </w:rPr>
              <w:t>Εντάξεις (Δ.Δ)</w:t>
            </w:r>
          </w:p>
        </w:tc>
        <w:tc>
          <w:tcPr>
            <w:tcW w:w="1541" w:type="dxa"/>
            <w:shd w:val="clear" w:color="auto" w:fill="800000"/>
            <w:vAlign w:val="center"/>
            <w:hideMark/>
          </w:tcPr>
          <w:p w14:paraId="12E0EC69" w14:textId="351E0343" w:rsidR="003D262C" w:rsidRPr="00A3379D" w:rsidRDefault="003D262C" w:rsidP="00B44B51">
            <w:pPr>
              <w:jc w:val="center"/>
              <w:rPr>
                <w:b/>
                <w:sz w:val="16"/>
                <w:szCs w:val="16"/>
              </w:rPr>
            </w:pPr>
            <w:r w:rsidRPr="00A3379D">
              <w:rPr>
                <w:b/>
                <w:sz w:val="16"/>
                <w:szCs w:val="16"/>
              </w:rPr>
              <w:t>Πληρωμές Ε.Λ. έως 31</w:t>
            </w:r>
            <w:r w:rsidR="00B05A01">
              <w:rPr>
                <w:b/>
                <w:sz w:val="16"/>
                <w:szCs w:val="16"/>
              </w:rPr>
              <w:t>.</w:t>
            </w:r>
            <w:r w:rsidRPr="00A3379D">
              <w:rPr>
                <w:b/>
                <w:sz w:val="16"/>
                <w:szCs w:val="16"/>
              </w:rPr>
              <w:t>12</w:t>
            </w:r>
            <w:r w:rsidR="00B05A01">
              <w:rPr>
                <w:b/>
                <w:sz w:val="16"/>
                <w:szCs w:val="16"/>
              </w:rPr>
              <w:t>.</w:t>
            </w:r>
            <w:r w:rsidRPr="00A3379D">
              <w:rPr>
                <w:b/>
                <w:sz w:val="16"/>
                <w:szCs w:val="16"/>
              </w:rPr>
              <w:t>2018</w:t>
            </w:r>
          </w:p>
        </w:tc>
        <w:tc>
          <w:tcPr>
            <w:tcW w:w="965" w:type="dxa"/>
            <w:shd w:val="clear" w:color="auto" w:fill="800000"/>
            <w:vAlign w:val="center"/>
            <w:hideMark/>
          </w:tcPr>
          <w:p w14:paraId="59DA41B9" w14:textId="77777777" w:rsidR="003D262C" w:rsidRPr="00A3379D" w:rsidRDefault="003D262C" w:rsidP="00696052">
            <w:pPr>
              <w:jc w:val="center"/>
              <w:rPr>
                <w:b/>
                <w:sz w:val="16"/>
                <w:szCs w:val="16"/>
              </w:rPr>
            </w:pPr>
            <w:r w:rsidRPr="00A3379D">
              <w:rPr>
                <w:b/>
                <w:sz w:val="16"/>
                <w:szCs w:val="16"/>
              </w:rPr>
              <w:t>%</w:t>
            </w:r>
          </w:p>
        </w:tc>
        <w:tc>
          <w:tcPr>
            <w:tcW w:w="1727" w:type="dxa"/>
            <w:shd w:val="clear" w:color="auto" w:fill="800000"/>
            <w:vAlign w:val="center"/>
            <w:hideMark/>
          </w:tcPr>
          <w:p w14:paraId="25183E49" w14:textId="733D3749" w:rsidR="003D262C" w:rsidRPr="00A3379D" w:rsidRDefault="003D262C" w:rsidP="00B44B51">
            <w:pPr>
              <w:jc w:val="center"/>
              <w:rPr>
                <w:b/>
                <w:sz w:val="16"/>
                <w:szCs w:val="16"/>
              </w:rPr>
            </w:pPr>
            <w:r w:rsidRPr="00A3379D">
              <w:rPr>
                <w:b/>
                <w:sz w:val="16"/>
                <w:szCs w:val="16"/>
              </w:rPr>
              <w:t>Πληρωμές ΟΠΣ έως 31</w:t>
            </w:r>
            <w:r w:rsidR="00B05A01">
              <w:rPr>
                <w:b/>
                <w:sz w:val="16"/>
                <w:szCs w:val="16"/>
              </w:rPr>
              <w:t>.</w:t>
            </w:r>
            <w:r w:rsidRPr="00A3379D">
              <w:rPr>
                <w:b/>
                <w:sz w:val="16"/>
                <w:szCs w:val="16"/>
              </w:rPr>
              <w:t>12</w:t>
            </w:r>
            <w:r w:rsidR="00B05A01">
              <w:rPr>
                <w:b/>
                <w:sz w:val="16"/>
                <w:szCs w:val="16"/>
              </w:rPr>
              <w:t>.</w:t>
            </w:r>
            <w:r w:rsidRPr="00A3379D">
              <w:rPr>
                <w:b/>
                <w:sz w:val="16"/>
                <w:szCs w:val="16"/>
              </w:rPr>
              <w:t>2018</w:t>
            </w:r>
          </w:p>
        </w:tc>
        <w:tc>
          <w:tcPr>
            <w:tcW w:w="970" w:type="dxa"/>
            <w:shd w:val="clear" w:color="auto" w:fill="800000"/>
            <w:vAlign w:val="center"/>
            <w:hideMark/>
          </w:tcPr>
          <w:p w14:paraId="2E1A3576" w14:textId="77777777" w:rsidR="003D262C" w:rsidRPr="00A3379D" w:rsidRDefault="003D262C" w:rsidP="00696052">
            <w:pPr>
              <w:jc w:val="center"/>
              <w:rPr>
                <w:b/>
                <w:sz w:val="16"/>
                <w:szCs w:val="16"/>
              </w:rPr>
            </w:pPr>
            <w:r w:rsidRPr="00A3379D">
              <w:rPr>
                <w:b/>
                <w:sz w:val="16"/>
                <w:szCs w:val="16"/>
              </w:rPr>
              <w:t>%</w:t>
            </w:r>
          </w:p>
        </w:tc>
      </w:tr>
      <w:tr w:rsidR="003D262C" w:rsidRPr="0031198E" w14:paraId="0A1AACDE" w14:textId="77777777" w:rsidTr="00696052">
        <w:trPr>
          <w:trHeight w:val="285"/>
          <w:jc w:val="center"/>
        </w:trPr>
        <w:tc>
          <w:tcPr>
            <w:tcW w:w="2396" w:type="dxa"/>
            <w:vAlign w:val="center"/>
          </w:tcPr>
          <w:p w14:paraId="11B7125D" w14:textId="77777777" w:rsidR="003D262C" w:rsidRPr="00A15197" w:rsidRDefault="003D262C" w:rsidP="003D262C">
            <w:r w:rsidRPr="00A15197">
              <w:t>Ανατολικής Μακεδονίας και Θράκης</w:t>
            </w:r>
          </w:p>
        </w:tc>
        <w:tc>
          <w:tcPr>
            <w:tcW w:w="2006" w:type="dxa"/>
          </w:tcPr>
          <w:p w14:paraId="3748349B" w14:textId="77777777" w:rsidR="003D262C" w:rsidRPr="004042CD" w:rsidRDefault="003D262C" w:rsidP="003D262C">
            <w:pPr>
              <w:jc w:val="center"/>
            </w:pPr>
            <w:r w:rsidRPr="004042CD">
              <w:t>1.033.818,75 €</w:t>
            </w:r>
          </w:p>
        </w:tc>
        <w:tc>
          <w:tcPr>
            <w:tcW w:w="1541" w:type="dxa"/>
          </w:tcPr>
          <w:p w14:paraId="6816E856" w14:textId="77777777" w:rsidR="003D262C" w:rsidRPr="004042CD" w:rsidRDefault="003D262C" w:rsidP="003D262C">
            <w:pPr>
              <w:jc w:val="center"/>
            </w:pPr>
            <w:r w:rsidRPr="004042CD">
              <w:t>356.587,53 €</w:t>
            </w:r>
          </w:p>
        </w:tc>
        <w:tc>
          <w:tcPr>
            <w:tcW w:w="965" w:type="dxa"/>
          </w:tcPr>
          <w:p w14:paraId="51DC16C3" w14:textId="77777777" w:rsidR="003D262C" w:rsidRPr="004042CD" w:rsidRDefault="003D262C" w:rsidP="003D262C">
            <w:pPr>
              <w:jc w:val="center"/>
            </w:pPr>
            <w:r w:rsidRPr="004042CD">
              <w:t>34,5%</w:t>
            </w:r>
          </w:p>
        </w:tc>
        <w:tc>
          <w:tcPr>
            <w:tcW w:w="1727" w:type="dxa"/>
          </w:tcPr>
          <w:p w14:paraId="036229C9" w14:textId="77777777" w:rsidR="003D262C" w:rsidRPr="004042CD" w:rsidRDefault="003D262C" w:rsidP="003D262C">
            <w:pPr>
              <w:jc w:val="center"/>
            </w:pPr>
            <w:r w:rsidRPr="004042CD">
              <w:t>0,00 €</w:t>
            </w:r>
          </w:p>
        </w:tc>
        <w:tc>
          <w:tcPr>
            <w:tcW w:w="970" w:type="dxa"/>
          </w:tcPr>
          <w:p w14:paraId="67E9A98E" w14:textId="77777777" w:rsidR="003D262C" w:rsidRPr="004042CD" w:rsidRDefault="003D262C" w:rsidP="003D262C">
            <w:pPr>
              <w:jc w:val="center"/>
            </w:pPr>
            <w:r w:rsidRPr="004042CD">
              <w:t>0%</w:t>
            </w:r>
          </w:p>
        </w:tc>
      </w:tr>
      <w:tr w:rsidR="003D262C" w:rsidRPr="0031198E" w14:paraId="73825CE5" w14:textId="77777777" w:rsidTr="00696052">
        <w:trPr>
          <w:trHeight w:val="255"/>
          <w:jc w:val="center"/>
        </w:trPr>
        <w:tc>
          <w:tcPr>
            <w:tcW w:w="2396" w:type="dxa"/>
            <w:vAlign w:val="center"/>
          </w:tcPr>
          <w:p w14:paraId="3C6672ED" w14:textId="77777777" w:rsidR="003D262C" w:rsidRPr="00A15197" w:rsidRDefault="003D262C" w:rsidP="003D262C">
            <w:r w:rsidRPr="00A15197">
              <w:t>Αττικής</w:t>
            </w:r>
          </w:p>
        </w:tc>
        <w:tc>
          <w:tcPr>
            <w:tcW w:w="2006" w:type="dxa"/>
          </w:tcPr>
          <w:p w14:paraId="4153C35E" w14:textId="77777777" w:rsidR="003D262C" w:rsidRPr="004042CD" w:rsidRDefault="003D262C" w:rsidP="003D262C">
            <w:pPr>
              <w:jc w:val="center"/>
            </w:pPr>
            <w:r w:rsidRPr="004042CD">
              <w:t>3.444.855,35 €</w:t>
            </w:r>
          </w:p>
        </w:tc>
        <w:tc>
          <w:tcPr>
            <w:tcW w:w="1541" w:type="dxa"/>
          </w:tcPr>
          <w:p w14:paraId="457ABBC0" w14:textId="77777777" w:rsidR="003D262C" w:rsidRPr="004042CD" w:rsidRDefault="003D262C" w:rsidP="003D262C">
            <w:pPr>
              <w:jc w:val="center"/>
            </w:pPr>
            <w:r w:rsidRPr="004042CD">
              <w:t>1.123.350,50 €</w:t>
            </w:r>
          </w:p>
        </w:tc>
        <w:tc>
          <w:tcPr>
            <w:tcW w:w="965" w:type="dxa"/>
          </w:tcPr>
          <w:p w14:paraId="10817CFC" w14:textId="77777777" w:rsidR="003D262C" w:rsidRPr="004042CD" w:rsidRDefault="003D262C" w:rsidP="003D262C">
            <w:pPr>
              <w:jc w:val="center"/>
            </w:pPr>
            <w:r w:rsidRPr="004042CD">
              <w:t>32,6%</w:t>
            </w:r>
          </w:p>
        </w:tc>
        <w:tc>
          <w:tcPr>
            <w:tcW w:w="1727" w:type="dxa"/>
          </w:tcPr>
          <w:p w14:paraId="52A486EB" w14:textId="77777777" w:rsidR="003D262C" w:rsidRPr="004042CD" w:rsidRDefault="003D262C" w:rsidP="003D262C">
            <w:pPr>
              <w:jc w:val="center"/>
            </w:pPr>
            <w:r w:rsidRPr="004042CD">
              <w:t>76.379,00 €</w:t>
            </w:r>
          </w:p>
        </w:tc>
        <w:tc>
          <w:tcPr>
            <w:tcW w:w="970" w:type="dxa"/>
          </w:tcPr>
          <w:p w14:paraId="0CD8C821" w14:textId="77777777" w:rsidR="003D262C" w:rsidRPr="004042CD" w:rsidRDefault="003D262C" w:rsidP="003D262C">
            <w:pPr>
              <w:jc w:val="center"/>
            </w:pPr>
            <w:r w:rsidRPr="004042CD">
              <w:t>2%</w:t>
            </w:r>
          </w:p>
        </w:tc>
      </w:tr>
      <w:tr w:rsidR="003D262C" w:rsidRPr="00536430" w14:paraId="1DD3127B" w14:textId="77777777" w:rsidTr="00696052">
        <w:trPr>
          <w:trHeight w:val="255"/>
          <w:jc w:val="center"/>
        </w:trPr>
        <w:tc>
          <w:tcPr>
            <w:tcW w:w="2396" w:type="dxa"/>
            <w:vAlign w:val="center"/>
          </w:tcPr>
          <w:p w14:paraId="6B32C542" w14:textId="77777777" w:rsidR="003D262C" w:rsidRPr="00A15197" w:rsidRDefault="003D262C" w:rsidP="003D262C">
            <w:r w:rsidRPr="00A15197">
              <w:t>Βόρειο Αιγαίο</w:t>
            </w:r>
          </w:p>
        </w:tc>
        <w:tc>
          <w:tcPr>
            <w:tcW w:w="2006" w:type="dxa"/>
          </w:tcPr>
          <w:p w14:paraId="15C66FC9" w14:textId="77777777" w:rsidR="003D262C" w:rsidRPr="004042CD" w:rsidRDefault="003D262C" w:rsidP="003D262C">
            <w:pPr>
              <w:jc w:val="center"/>
            </w:pPr>
            <w:r w:rsidRPr="004042CD">
              <w:t>63.140,00 €</w:t>
            </w:r>
          </w:p>
        </w:tc>
        <w:tc>
          <w:tcPr>
            <w:tcW w:w="1541" w:type="dxa"/>
          </w:tcPr>
          <w:p w14:paraId="78BB40C4" w14:textId="77777777" w:rsidR="003D262C" w:rsidRPr="004042CD" w:rsidRDefault="003D262C" w:rsidP="003D262C">
            <w:pPr>
              <w:jc w:val="center"/>
            </w:pPr>
            <w:r w:rsidRPr="004042CD">
              <w:t>0,00 €</w:t>
            </w:r>
          </w:p>
        </w:tc>
        <w:tc>
          <w:tcPr>
            <w:tcW w:w="965" w:type="dxa"/>
          </w:tcPr>
          <w:p w14:paraId="42B09BBC" w14:textId="77777777" w:rsidR="003D262C" w:rsidRPr="004042CD" w:rsidRDefault="003D262C" w:rsidP="003D262C">
            <w:pPr>
              <w:jc w:val="center"/>
            </w:pPr>
            <w:r w:rsidRPr="004042CD">
              <w:t>0,0%</w:t>
            </w:r>
          </w:p>
        </w:tc>
        <w:tc>
          <w:tcPr>
            <w:tcW w:w="1727" w:type="dxa"/>
          </w:tcPr>
          <w:p w14:paraId="0C5350F2" w14:textId="77777777" w:rsidR="003D262C" w:rsidRPr="004042CD" w:rsidRDefault="003D262C" w:rsidP="003D262C">
            <w:pPr>
              <w:jc w:val="center"/>
            </w:pPr>
            <w:r w:rsidRPr="004042CD">
              <w:t>0,00 €</w:t>
            </w:r>
          </w:p>
        </w:tc>
        <w:tc>
          <w:tcPr>
            <w:tcW w:w="970" w:type="dxa"/>
          </w:tcPr>
          <w:p w14:paraId="7354F8A0" w14:textId="77777777" w:rsidR="003D262C" w:rsidRPr="004042CD" w:rsidRDefault="003D262C" w:rsidP="003D262C">
            <w:pPr>
              <w:jc w:val="center"/>
            </w:pPr>
            <w:r w:rsidRPr="004042CD">
              <w:t>0%</w:t>
            </w:r>
          </w:p>
        </w:tc>
      </w:tr>
      <w:tr w:rsidR="003D262C" w14:paraId="1E1CB44D" w14:textId="77777777" w:rsidTr="00696052">
        <w:trPr>
          <w:trHeight w:val="255"/>
          <w:jc w:val="center"/>
        </w:trPr>
        <w:tc>
          <w:tcPr>
            <w:tcW w:w="2396" w:type="dxa"/>
            <w:vAlign w:val="center"/>
          </w:tcPr>
          <w:p w14:paraId="4578B201" w14:textId="77777777" w:rsidR="003D262C" w:rsidRPr="00A15197" w:rsidRDefault="003D262C" w:rsidP="003D262C">
            <w:r w:rsidRPr="00A15197">
              <w:t>Δυτικής Ελλάδας</w:t>
            </w:r>
          </w:p>
        </w:tc>
        <w:tc>
          <w:tcPr>
            <w:tcW w:w="2006" w:type="dxa"/>
          </w:tcPr>
          <w:p w14:paraId="4251A87B" w14:textId="77777777" w:rsidR="003D262C" w:rsidRPr="004042CD" w:rsidRDefault="003D262C" w:rsidP="003D262C">
            <w:pPr>
              <w:jc w:val="center"/>
            </w:pPr>
            <w:r w:rsidRPr="004042CD">
              <w:t>1.496.615,05 €</w:t>
            </w:r>
          </w:p>
        </w:tc>
        <w:tc>
          <w:tcPr>
            <w:tcW w:w="1541" w:type="dxa"/>
          </w:tcPr>
          <w:p w14:paraId="51B94189" w14:textId="77777777" w:rsidR="003D262C" w:rsidRPr="004042CD" w:rsidRDefault="003D262C" w:rsidP="003D262C">
            <w:pPr>
              <w:jc w:val="center"/>
            </w:pPr>
            <w:r w:rsidRPr="004042CD">
              <w:t>327.967,05 €</w:t>
            </w:r>
          </w:p>
        </w:tc>
        <w:tc>
          <w:tcPr>
            <w:tcW w:w="965" w:type="dxa"/>
          </w:tcPr>
          <w:p w14:paraId="4B141037" w14:textId="77777777" w:rsidR="003D262C" w:rsidRPr="004042CD" w:rsidRDefault="003D262C" w:rsidP="003D262C">
            <w:pPr>
              <w:jc w:val="center"/>
            </w:pPr>
            <w:r w:rsidRPr="004042CD">
              <w:t>21,9%</w:t>
            </w:r>
          </w:p>
        </w:tc>
        <w:tc>
          <w:tcPr>
            <w:tcW w:w="1727" w:type="dxa"/>
          </w:tcPr>
          <w:p w14:paraId="5BBEF9F3" w14:textId="77777777" w:rsidR="003D262C" w:rsidRPr="004042CD" w:rsidRDefault="003D262C" w:rsidP="003D262C">
            <w:pPr>
              <w:jc w:val="center"/>
            </w:pPr>
            <w:r w:rsidRPr="004042CD">
              <w:t>0,00 €</w:t>
            </w:r>
          </w:p>
        </w:tc>
        <w:tc>
          <w:tcPr>
            <w:tcW w:w="970" w:type="dxa"/>
          </w:tcPr>
          <w:p w14:paraId="4887D5AA" w14:textId="77777777" w:rsidR="003D262C" w:rsidRPr="004042CD" w:rsidRDefault="003D262C" w:rsidP="003D262C">
            <w:pPr>
              <w:jc w:val="center"/>
            </w:pPr>
            <w:r w:rsidRPr="004042CD">
              <w:t>0%</w:t>
            </w:r>
          </w:p>
        </w:tc>
      </w:tr>
      <w:tr w:rsidR="003D262C" w:rsidRPr="0031198E" w14:paraId="4F478143" w14:textId="77777777" w:rsidTr="00696052">
        <w:trPr>
          <w:trHeight w:val="255"/>
          <w:jc w:val="center"/>
        </w:trPr>
        <w:tc>
          <w:tcPr>
            <w:tcW w:w="2396" w:type="dxa"/>
            <w:vAlign w:val="center"/>
          </w:tcPr>
          <w:p w14:paraId="4E3DA3C5" w14:textId="77777777" w:rsidR="003D262C" w:rsidRPr="00A15197" w:rsidRDefault="003D262C" w:rsidP="003D262C">
            <w:r w:rsidRPr="00A15197">
              <w:t>Δυτικής Μακεδονίας</w:t>
            </w:r>
          </w:p>
        </w:tc>
        <w:tc>
          <w:tcPr>
            <w:tcW w:w="2006" w:type="dxa"/>
          </w:tcPr>
          <w:p w14:paraId="2DC0A671" w14:textId="77777777" w:rsidR="003D262C" w:rsidRPr="004042CD" w:rsidRDefault="003D262C" w:rsidP="003D262C">
            <w:pPr>
              <w:jc w:val="center"/>
            </w:pPr>
            <w:r w:rsidRPr="004042CD">
              <w:t>268.750,00 €</w:t>
            </w:r>
          </w:p>
        </w:tc>
        <w:tc>
          <w:tcPr>
            <w:tcW w:w="1541" w:type="dxa"/>
          </w:tcPr>
          <w:p w14:paraId="52BE09C7" w14:textId="77777777" w:rsidR="003D262C" w:rsidRPr="004042CD" w:rsidRDefault="003D262C" w:rsidP="003D262C">
            <w:pPr>
              <w:jc w:val="center"/>
            </w:pPr>
            <w:r w:rsidRPr="004042CD">
              <w:t>188.125,00 €</w:t>
            </w:r>
          </w:p>
        </w:tc>
        <w:tc>
          <w:tcPr>
            <w:tcW w:w="965" w:type="dxa"/>
          </w:tcPr>
          <w:p w14:paraId="5F89F121" w14:textId="77777777" w:rsidR="003D262C" w:rsidRPr="004042CD" w:rsidRDefault="003D262C" w:rsidP="003D262C">
            <w:pPr>
              <w:jc w:val="center"/>
            </w:pPr>
            <w:r w:rsidRPr="004042CD">
              <w:t>70,0%</w:t>
            </w:r>
          </w:p>
        </w:tc>
        <w:tc>
          <w:tcPr>
            <w:tcW w:w="1727" w:type="dxa"/>
          </w:tcPr>
          <w:p w14:paraId="49F47706" w14:textId="77777777" w:rsidR="003D262C" w:rsidRPr="004042CD" w:rsidRDefault="003D262C" w:rsidP="003D262C">
            <w:pPr>
              <w:jc w:val="center"/>
            </w:pPr>
            <w:r w:rsidRPr="004042CD">
              <w:t>0,00 €</w:t>
            </w:r>
          </w:p>
        </w:tc>
        <w:tc>
          <w:tcPr>
            <w:tcW w:w="970" w:type="dxa"/>
          </w:tcPr>
          <w:p w14:paraId="4286FA92" w14:textId="77777777" w:rsidR="003D262C" w:rsidRPr="004042CD" w:rsidRDefault="003D262C" w:rsidP="003D262C">
            <w:pPr>
              <w:jc w:val="center"/>
            </w:pPr>
            <w:r w:rsidRPr="004042CD">
              <w:t>0%</w:t>
            </w:r>
          </w:p>
        </w:tc>
      </w:tr>
      <w:tr w:rsidR="003D262C" w:rsidRPr="00ED30D5" w14:paraId="764A77C7" w14:textId="77777777" w:rsidTr="00696052">
        <w:trPr>
          <w:trHeight w:val="255"/>
          <w:jc w:val="center"/>
        </w:trPr>
        <w:tc>
          <w:tcPr>
            <w:tcW w:w="2396" w:type="dxa"/>
            <w:vAlign w:val="center"/>
          </w:tcPr>
          <w:p w14:paraId="0536D976" w14:textId="77777777" w:rsidR="003D262C" w:rsidRPr="00A15197" w:rsidRDefault="003D262C" w:rsidP="003D262C">
            <w:r w:rsidRPr="00A15197">
              <w:t>Ήπειρος</w:t>
            </w:r>
          </w:p>
        </w:tc>
        <w:tc>
          <w:tcPr>
            <w:tcW w:w="2006" w:type="dxa"/>
          </w:tcPr>
          <w:p w14:paraId="2441297C" w14:textId="77777777" w:rsidR="003D262C" w:rsidRPr="004042CD" w:rsidRDefault="003D262C" w:rsidP="003D262C">
            <w:pPr>
              <w:jc w:val="center"/>
            </w:pPr>
            <w:r w:rsidRPr="004042CD">
              <w:t>0,00 €</w:t>
            </w:r>
          </w:p>
        </w:tc>
        <w:tc>
          <w:tcPr>
            <w:tcW w:w="1541" w:type="dxa"/>
          </w:tcPr>
          <w:p w14:paraId="72E13490" w14:textId="77777777" w:rsidR="003D262C" w:rsidRPr="004042CD" w:rsidRDefault="003D262C" w:rsidP="003D262C">
            <w:pPr>
              <w:jc w:val="center"/>
            </w:pPr>
            <w:r w:rsidRPr="004042CD">
              <w:t>0,00 €</w:t>
            </w:r>
          </w:p>
        </w:tc>
        <w:tc>
          <w:tcPr>
            <w:tcW w:w="965" w:type="dxa"/>
          </w:tcPr>
          <w:p w14:paraId="44AA7332" w14:textId="77777777" w:rsidR="003D262C" w:rsidRPr="004042CD" w:rsidRDefault="003D262C" w:rsidP="003D262C">
            <w:pPr>
              <w:jc w:val="center"/>
            </w:pPr>
            <w:r w:rsidRPr="004042CD">
              <w:t>0,00 €</w:t>
            </w:r>
          </w:p>
        </w:tc>
        <w:tc>
          <w:tcPr>
            <w:tcW w:w="1727" w:type="dxa"/>
          </w:tcPr>
          <w:p w14:paraId="5A121ACE" w14:textId="77777777" w:rsidR="003D262C" w:rsidRPr="004042CD" w:rsidRDefault="003D262C" w:rsidP="003D262C">
            <w:pPr>
              <w:jc w:val="center"/>
            </w:pPr>
            <w:r w:rsidRPr="004042CD">
              <w:t>0,00 €</w:t>
            </w:r>
          </w:p>
        </w:tc>
        <w:tc>
          <w:tcPr>
            <w:tcW w:w="970" w:type="dxa"/>
          </w:tcPr>
          <w:p w14:paraId="039B4248" w14:textId="77777777" w:rsidR="003D262C" w:rsidRPr="004042CD" w:rsidRDefault="003D262C" w:rsidP="003D262C">
            <w:pPr>
              <w:jc w:val="center"/>
            </w:pPr>
            <w:r w:rsidRPr="004042CD">
              <w:t>0,00 €</w:t>
            </w:r>
          </w:p>
        </w:tc>
      </w:tr>
      <w:tr w:rsidR="003D262C" w:rsidRPr="00ED30D5" w14:paraId="68AEF5F2" w14:textId="77777777" w:rsidTr="00696052">
        <w:trPr>
          <w:trHeight w:val="255"/>
          <w:jc w:val="center"/>
        </w:trPr>
        <w:tc>
          <w:tcPr>
            <w:tcW w:w="2396" w:type="dxa"/>
            <w:vAlign w:val="center"/>
          </w:tcPr>
          <w:p w14:paraId="21E21344" w14:textId="77777777" w:rsidR="003D262C" w:rsidRPr="00A15197" w:rsidRDefault="003D262C" w:rsidP="003D262C">
            <w:r w:rsidRPr="00A15197">
              <w:lastRenderedPageBreak/>
              <w:t>Θεσσαλίας</w:t>
            </w:r>
          </w:p>
        </w:tc>
        <w:tc>
          <w:tcPr>
            <w:tcW w:w="2006" w:type="dxa"/>
          </w:tcPr>
          <w:p w14:paraId="7909E8D9" w14:textId="77777777" w:rsidR="003D262C" w:rsidRPr="004042CD" w:rsidRDefault="003D262C" w:rsidP="003D262C">
            <w:pPr>
              <w:jc w:val="center"/>
            </w:pPr>
            <w:r w:rsidRPr="004042CD">
              <w:t>986.059,90 €</w:t>
            </w:r>
          </w:p>
        </w:tc>
        <w:tc>
          <w:tcPr>
            <w:tcW w:w="1541" w:type="dxa"/>
          </w:tcPr>
          <w:p w14:paraId="0C36C22C" w14:textId="77777777" w:rsidR="003D262C" w:rsidRPr="004042CD" w:rsidRDefault="003D262C" w:rsidP="003D262C">
            <w:pPr>
              <w:jc w:val="center"/>
            </w:pPr>
            <w:r w:rsidRPr="004042CD">
              <w:t>354.499,93 €</w:t>
            </w:r>
          </w:p>
        </w:tc>
        <w:tc>
          <w:tcPr>
            <w:tcW w:w="965" w:type="dxa"/>
          </w:tcPr>
          <w:p w14:paraId="2BC3D6D8" w14:textId="77777777" w:rsidR="003D262C" w:rsidRPr="004042CD" w:rsidRDefault="003D262C" w:rsidP="003D262C">
            <w:pPr>
              <w:jc w:val="center"/>
            </w:pPr>
            <w:r w:rsidRPr="004042CD">
              <w:t>36,0%</w:t>
            </w:r>
          </w:p>
        </w:tc>
        <w:tc>
          <w:tcPr>
            <w:tcW w:w="1727" w:type="dxa"/>
          </w:tcPr>
          <w:p w14:paraId="1315F38A" w14:textId="77777777" w:rsidR="003D262C" w:rsidRPr="004042CD" w:rsidRDefault="003D262C" w:rsidP="003D262C">
            <w:pPr>
              <w:jc w:val="center"/>
            </w:pPr>
            <w:r w:rsidRPr="004042CD">
              <w:t>0,00 €</w:t>
            </w:r>
          </w:p>
        </w:tc>
        <w:tc>
          <w:tcPr>
            <w:tcW w:w="970" w:type="dxa"/>
          </w:tcPr>
          <w:p w14:paraId="4C2CAB28" w14:textId="77777777" w:rsidR="003D262C" w:rsidRPr="004042CD" w:rsidRDefault="003D262C" w:rsidP="003D262C">
            <w:pPr>
              <w:jc w:val="center"/>
            </w:pPr>
            <w:r w:rsidRPr="004042CD">
              <w:t>0%</w:t>
            </w:r>
          </w:p>
        </w:tc>
      </w:tr>
      <w:tr w:rsidR="003D262C" w:rsidRPr="00ED30D5" w14:paraId="46435ADE" w14:textId="77777777" w:rsidTr="00696052">
        <w:trPr>
          <w:trHeight w:val="255"/>
          <w:jc w:val="center"/>
        </w:trPr>
        <w:tc>
          <w:tcPr>
            <w:tcW w:w="2396" w:type="dxa"/>
            <w:vAlign w:val="center"/>
          </w:tcPr>
          <w:p w14:paraId="1B1E2BA5" w14:textId="77777777" w:rsidR="003D262C" w:rsidRPr="00A15197" w:rsidRDefault="003D262C" w:rsidP="003D262C">
            <w:r w:rsidRPr="00A15197">
              <w:t>Ιόνια Νησιά</w:t>
            </w:r>
          </w:p>
        </w:tc>
        <w:tc>
          <w:tcPr>
            <w:tcW w:w="2006" w:type="dxa"/>
          </w:tcPr>
          <w:p w14:paraId="6F7D0D8A" w14:textId="77777777" w:rsidR="003D262C" w:rsidRPr="004042CD" w:rsidRDefault="003D262C" w:rsidP="003D262C">
            <w:pPr>
              <w:jc w:val="center"/>
            </w:pPr>
            <w:r w:rsidRPr="004042CD">
              <w:t>0,00 €</w:t>
            </w:r>
          </w:p>
        </w:tc>
        <w:tc>
          <w:tcPr>
            <w:tcW w:w="1541" w:type="dxa"/>
          </w:tcPr>
          <w:p w14:paraId="2B7D549B" w14:textId="77777777" w:rsidR="003D262C" w:rsidRPr="004042CD" w:rsidRDefault="003D262C" w:rsidP="003D262C">
            <w:pPr>
              <w:jc w:val="center"/>
            </w:pPr>
            <w:r w:rsidRPr="004042CD">
              <w:t>0,00 €</w:t>
            </w:r>
          </w:p>
        </w:tc>
        <w:tc>
          <w:tcPr>
            <w:tcW w:w="965" w:type="dxa"/>
          </w:tcPr>
          <w:p w14:paraId="02238053" w14:textId="77777777" w:rsidR="003D262C" w:rsidRPr="004042CD" w:rsidRDefault="003D262C" w:rsidP="003D262C">
            <w:pPr>
              <w:jc w:val="center"/>
            </w:pPr>
            <w:r w:rsidRPr="004042CD">
              <w:t>0,00 €</w:t>
            </w:r>
          </w:p>
        </w:tc>
        <w:tc>
          <w:tcPr>
            <w:tcW w:w="1727" w:type="dxa"/>
          </w:tcPr>
          <w:p w14:paraId="26FEA49B" w14:textId="77777777" w:rsidR="003D262C" w:rsidRPr="004042CD" w:rsidRDefault="003D262C" w:rsidP="003D262C">
            <w:pPr>
              <w:jc w:val="center"/>
            </w:pPr>
            <w:r w:rsidRPr="004042CD">
              <w:t>0,00 €</w:t>
            </w:r>
          </w:p>
        </w:tc>
        <w:tc>
          <w:tcPr>
            <w:tcW w:w="970" w:type="dxa"/>
          </w:tcPr>
          <w:p w14:paraId="11FD877C" w14:textId="77777777" w:rsidR="003D262C" w:rsidRPr="004042CD" w:rsidRDefault="003D262C" w:rsidP="003D262C">
            <w:pPr>
              <w:jc w:val="center"/>
            </w:pPr>
            <w:r w:rsidRPr="004042CD">
              <w:t>0,00 €</w:t>
            </w:r>
          </w:p>
        </w:tc>
      </w:tr>
      <w:tr w:rsidR="003D262C" w:rsidRPr="00ED30D5" w14:paraId="593C93DC" w14:textId="77777777" w:rsidTr="00696052">
        <w:trPr>
          <w:trHeight w:val="255"/>
          <w:jc w:val="center"/>
        </w:trPr>
        <w:tc>
          <w:tcPr>
            <w:tcW w:w="2396" w:type="dxa"/>
            <w:vAlign w:val="center"/>
          </w:tcPr>
          <w:p w14:paraId="2101C0AE" w14:textId="77777777" w:rsidR="003D262C" w:rsidRPr="00A15197" w:rsidRDefault="003D262C" w:rsidP="003D262C">
            <w:r w:rsidRPr="00A15197">
              <w:t>Κεντρικής Μακεδονίας</w:t>
            </w:r>
          </w:p>
        </w:tc>
        <w:tc>
          <w:tcPr>
            <w:tcW w:w="2006" w:type="dxa"/>
          </w:tcPr>
          <w:p w14:paraId="5B49985E" w14:textId="77777777" w:rsidR="003D262C" w:rsidRPr="004042CD" w:rsidRDefault="003D262C" w:rsidP="003D262C">
            <w:pPr>
              <w:jc w:val="center"/>
            </w:pPr>
            <w:r w:rsidRPr="004042CD">
              <w:t>2.612.856,50 €</w:t>
            </w:r>
          </w:p>
        </w:tc>
        <w:tc>
          <w:tcPr>
            <w:tcW w:w="1541" w:type="dxa"/>
          </w:tcPr>
          <w:p w14:paraId="31674117" w14:textId="77777777" w:rsidR="003D262C" w:rsidRPr="004042CD" w:rsidRDefault="003D262C" w:rsidP="003D262C">
            <w:pPr>
              <w:jc w:val="center"/>
            </w:pPr>
            <w:r w:rsidRPr="004042CD">
              <w:t>864.519,00 €</w:t>
            </w:r>
          </w:p>
        </w:tc>
        <w:tc>
          <w:tcPr>
            <w:tcW w:w="965" w:type="dxa"/>
          </w:tcPr>
          <w:p w14:paraId="6138DB42" w14:textId="77777777" w:rsidR="003D262C" w:rsidRPr="004042CD" w:rsidRDefault="003D262C" w:rsidP="003D262C">
            <w:pPr>
              <w:jc w:val="center"/>
            </w:pPr>
            <w:r w:rsidRPr="004042CD">
              <w:t>33,1%</w:t>
            </w:r>
          </w:p>
        </w:tc>
        <w:tc>
          <w:tcPr>
            <w:tcW w:w="1727" w:type="dxa"/>
          </w:tcPr>
          <w:p w14:paraId="5D404CE4" w14:textId="77777777" w:rsidR="003D262C" w:rsidRPr="004042CD" w:rsidRDefault="003D262C" w:rsidP="003D262C">
            <w:pPr>
              <w:jc w:val="center"/>
            </w:pPr>
            <w:r w:rsidRPr="004042CD">
              <w:t>0,00 €</w:t>
            </w:r>
          </w:p>
        </w:tc>
        <w:tc>
          <w:tcPr>
            <w:tcW w:w="970" w:type="dxa"/>
          </w:tcPr>
          <w:p w14:paraId="06D29F79" w14:textId="77777777" w:rsidR="003D262C" w:rsidRPr="004042CD" w:rsidRDefault="003D262C" w:rsidP="003D262C">
            <w:pPr>
              <w:jc w:val="center"/>
            </w:pPr>
            <w:r w:rsidRPr="004042CD">
              <w:t>0%</w:t>
            </w:r>
          </w:p>
        </w:tc>
      </w:tr>
      <w:tr w:rsidR="003D262C" w:rsidRPr="00ED30D5" w14:paraId="57466EDA" w14:textId="77777777" w:rsidTr="00696052">
        <w:trPr>
          <w:trHeight w:val="255"/>
          <w:jc w:val="center"/>
        </w:trPr>
        <w:tc>
          <w:tcPr>
            <w:tcW w:w="2396" w:type="dxa"/>
            <w:vAlign w:val="center"/>
          </w:tcPr>
          <w:p w14:paraId="040153E4" w14:textId="77777777" w:rsidR="003D262C" w:rsidRPr="00A15197" w:rsidRDefault="003D262C" w:rsidP="003D262C">
            <w:r w:rsidRPr="00A15197">
              <w:t>Κρήτης</w:t>
            </w:r>
          </w:p>
        </w:tc>
        <w:tc>
          <w:tcPr>
            <w:tcW w:w="2006" w:type="dxa"/>
          </w:tcPr>
          <w:p w14:paraId="41FBF3B2" w14:textId="77777777" w:rsidR="003D262C" w:rsidRPr="004042CD" w:rsidRDefault="003D262C" w:rsidP="003D262C">
            <w:pPr>
              <w:jc w:val="center"/>
            </w:pPr>
            <w:r w:rsidRPr="004042CD">
              <w:t>1.191.350,00 €</w:t>
            </w:r>
          </w:p>
        </w:tc>
        <w:tc>
          <w:tcPr>
            <w:tcW w:w="1541" w:type="dxa"/>
          </w:tcPr>
          <w:p w14:paraId="79C0D165" w14:textId="77777777" w:rsidR="003D262C" w:rsidRPr="004042CD" w:rsidRDefault="003D262C" w:rsidP="003D262C">
            <w:pPr>
              <w:jc w:val="center"/>
            </w:pPr>
            <w:r w:rsidRPr="004042CD">
              <w:t>460.700,00 €</w:t>
            </w:r>
          </w:p>
        </w:tc>
        <w:tc>
          <w:tcPr>
            <w:tcW w:w="965" w:type="dxa"/>
          </w:tcPr>
          <w:p w14:paraId="752E18CF" w14:textId="77777777" w:rsidR="003D262C" w:rsidRPr="004042CD" w:rsidRDefault="003D262C" w:rsidP="003D262C">
            <w:pPr>
              <w:jc w:val="center"/>
            </w:pPr>
            <w:r w:rsidRPr="004042CD">
              <w:t>38,7%</w:t>
            </w:r>
          </w:p>
        </w:tc>
        <w:tc>
          <w:tcPr>
            <w:tcW w:w="1727" w:type="dxa"/>
          </w:tcPr>
          <w:p w14:paraId="047AA6A1" w14:textId="77777777" w:rsidR="003D262C" w:rsidRPr="004042CD" w:rsidRDefault="003D262C" w:rsidP="003D262C">
            <w:pPr>
              <w:jc w:val="center"/>
            </w:pPr>
            <w:r w:rsidRPr="004042CD">
              <w:t>0,00 €</w:t>
            </w:r>
          </w:p>
        </w:tc>
        <w:tc>
          <w:tcPr>
            <w:tcW w:w="970" w:type="dxa"/>
          </w:tcPr>
          <w:p w14:paraId="7057117A" w14:textId="77777777" w:rsidR="003D262C" w:rsidRPr="004042CD" w:rsidRDefault="003D262C" w:rsidP="003D262C">
            <w:pPr>
              <w:jc w:val="center"/>
            </w:pPr>
            <w:r w:rsidRPr="004042CD">
              <w:t>0%</w:t>
            </w:r>
          </w:p>
        </w:tc>
      </w:tr>
      <w:tr w:rsidR="003D262C" w:rsidRPr="00ED30D5" w14:paraId="57B56D6C" w14:textId="77777777" w:rsidTr="00696052">
        <w:trPr>
          <w:trHeight w:val="255"/>
          <w:jc w:val="center"/>
        </w:trPr>
        <w:tc>
          <w:tcPr>
            <w:tcW w:w="2396" w:type="dxa"/>
            <w:vAlign w:val="center"/>
          </w:tcPr>
          <w:p w14:paraId="44179303" w14:textId="77777777" w:rsidR="003D262C" w:rsidRPr="00A15197" w:rsidRDefault="003D262C" w:rsidP="003D262C">
            <w:r w:rsidRPr="00A15197">
              <w:t>Ν. Αιγαίο</w:t>
            </w:r>
          </w:p>
        </w:tc>
        <w:tc>
          <w:tcPr>
            <w:tcW w:w="2006" w:type="dxa"/>
          </w:tcPr>
          <w:p w14:paraId="576FB08E" w14:textId="77777777" w:rsidR="003D262C" w:rsidRPr="004042CD" w:rsidRDefault="003D262C" w:rsidP="003D262C">
            <w:pPr>
              <w:jc w:val="center"/>
            </w:pPr>
            <w:r w:rsidRPr="004042CD">
              <w:t>216.098,50 €</w:t>
            </w:r>
          </w:p>
        </w:tc>
        <w:tc>
          <w:tcPr>
            <w:tcW w:w="1541" w:type="dxa"/>
          </w:tcPr>
          <w:p w14:paraId="72D528F3" w14:textId="77777777" w:rsidR="003D262C" w:rsidRPr="004042CD" w:rsidRDefault="003D262C" w:rsidP="003D262C">
            <w:pPr>
              <w:jc w:val="center"/>
            </w:pPr>
            <w:r w:rsidRPr="004042CD">
              <w:t>0,00 €</w:t>
            </w:r>
          </w:p>
        </w:tc>
        <w:tc>
          <w:tcPr>
            <w:tcW w:w="965" w:type="dxa"/>
          </w:tcPr>
          <w:p w14:paraId="7690EBA8" w14:textId="77777777" w:rsidR="003D262C" w:rsidRPr="004042CD" w:rsidRDefault="003D262C" w:rsidP="003D262C">
            <w:pPr>
              <w:jc w:val="center"/>
            </w:pPr>
            <w:r w:rsidRPr="004042CD">
              <w:t>0,0%</w:t>
            </w:r>
          </w:p>
        </w:tc>
        <w:tc>
          <w:tcPr>
            <w:tcW w:w="1727" w:type="dxa"/>
          </w:tcPr>
          <w:p w14:paraId="30AD9620" w14:textId="77777777" w:rsidR="003D262C" w:rsidRPr="004042CD" w:rsidRDefault="003D262C" w:rsidP="003D262C">
            <w:pPr>
              <w:jc w:val="center"/>
            </w:pPr>
            <w:r w:rsidRPr="004042CD">
              <w:t>0,00 €</w:t>
            </w:r>
          </w:p>
        </w:tc>
        <w:tc>
          <w:tcPr>
            <w:tcW w:w="970" w:type="dxa"/>
          </w:tcPr>
          <w:p w14:paraId="0E651A7A" w14:textId="77777777" w:rsidR="003D262C" w:rsidRPr="004042CD" w:rsidRDefault="003D262C" w:rsidP="003D262C">
            <w:pPr>
              <w:jc w:val="center"/>
            </w:pPr>
            <w:r w:rsidRPr="004042CD">
              <w:t>0%</w:t>
            </w:r>
          </w:p>
        </w:tc>
      </w:tr>
      <w:tr w:rsidR="003D262C" w:rsidRPr="00ED30D5" w14:paraId="2365C287" w14:textId="77777777" w:rsidTr="00696052">
        <w:trPr>
          <w:trHeight w:val="255"/>
          <w:jc w:val="center"/>
        </w:trPr>
        <w:tc>
          <w:tcPr>
            <w:tcW w:w="2396" w:type="dxa"/>
            <w:vAlign w:val="center"/>
          </w:tcPr>
          <w:p w14:paraId="66339D6D" w14:textId="77777777" w:rsidR="003D262C" w:rsidRPr="00A15197" w:rsidRDefault="003D262C" w:rsidP="003D262C">
            <w:r w:rsidRPr="00A15197">
              <w:t>Πελοπόννησος</w:t>
            </w:r>
          </w:p>
        </w:tc>
        <w:tc>
          <w:tcPr>
            <w:tcW w:w="2006" w:type="dxa"/>
          </w:tcPr>
          <w:p w14:paraId="652B4C97" w14:textId="77777777" w:rsidR="003D262C" w:rsidRPr="004042CD" w:rsidRDefault="003D262C" w:rsidP="003D262C">
            <w:pPr>
              <w:jc w:val="center"/>
            </w:pPr>
            <w:r w:rsidRPr="004042CD">
              <w:t>76.997,58 €</w:t>
            </w:r>
          </w:p>
        </w:tc>
        <w:tc>
          <w:tcPr>
            <w:tcW w:w="1541" w:type="dxa"/>
          </w:tcPr>
          <w:p w14:paraId="49262F92" w14:textId="77777777" w:rsidR="003D262C" w:rsidRPr="004042CD" w:rsidRDefault="003D262C" w:rsidP="003D262C">
            <w:pPr>
              <w:jc w:val="center"/>
            </w:pPr>
            <w:r w:rsidRPr="004042CD">
              <w:t>0,00 €</w:t>
            </w:r>
          </w:p>
        </w:tc>
        <w:tc>
          <w:tcPr>
            <w:tcW w:w="965" w:type="dxa"/>
          </w:tcPr>
          <w:p w14:paraId="58FBD166" w14:textId="77777777" w:rsidR="003D262C" w:rsidRPr="004042CD" w:rsidRDefault="003D262C" w:rsidP="003D262C">
            <w:pPr>
              <w:jc w:val="center"/>
            </w:pPr>
            <w:r w:rsidRPr="004042CD">
              <w:t>0,0%</w:t>
            </w:r>
          </w:p>
        </w:tc>
        <w:tc>
          <w:tcPr>
            <w:tcW w:w="1727" w:type="dxa"/>
          </w:tcPr>
          <w:p w14:paraId="4F9D1C55" w14:textId="77777777" w:rsidR="003D262C" w:rsidRPr="004042CD" w:rsidRDefault="003D262C" w:rsidP="003D262C">
            <w:pPr>
              <w:jc w:val="center"/>
            </w:pPr>
            <w:r w:rsidRPr="004042CD">
              <w:t>0,00 €</w:t>
            </w:r>
          </w:p>
        </w:tc>
        <w:tc>
          <w:tcPr>
            <w:tcW w:w="970" w:type="dxa"/>
          </w:tcPr>
          <w:p w14:paraId="5954C065" w14:textId="77777777" w:rsidR="003D262C" w:rsidRPr="004042CD" w:rsidRDefault="003D262C" w:rsidP="003D262C">
            <w:pPr>
              <w:jc w:val="center"/>
            </w:pPr>
            <w:r w:rsidRPr="004042CD">
              <w:t>0%</w:t>
            </w:r>
          </w:p>
        </w:tc>
      </w:tr>
      <w:tr w:rsidR="003D262C" w:rsidRPr="00ED30D5" w14:paraId="275CA66A" w14:textId="77777777" w:rsidTr="00696052">
        <w:trPr>
          <w:trHeight w:val="255"/>
          <w:jc w:val="center"/>
        </w:trPr>
        <w:tc>
          <w:tcPr>
            <w:tcW w:w="2396" w:type="dxa"/>
            <w:vAlign w:val="center"/>
          </w:tcPr>
          <w:p w14:paraId="11E474BC" w14:textId="77777777" w:rsidR="003D262C" w:rsidRPr="00A15197" w:rsidRDefault="003D262C" w:rsidP="003D262C">
            <w:r w:rsidRPr="00A15197">
              <w:t>Στερεά Ελλάδα</w:t>
            </w:r>
          </w:p>
        </w:tc>
        <w:tc>
          <w:tcPr>
            <w:tcW w:w="2006" w:type="dxa"/>
          </w:tcPr>
          <w:p w14:paraId="045F12E9" w14:textId="77777777" w:rsidR="003D262C" w:rsidRPr="004042CD" w:rsidRDefault="003D262C" w:rsidP="003D262C">
            <w:pPr>
              <w:jc w:val="center"/>
            </w:pPr>
            <w:r w:rsidRPr="004042CD">
              <w:t>0,00 €</w:t>
            </w:r>
          </w:p>
        </w:tc>
        <w:tc>
          <w:tcPr>
            <w:tcW w:w="1541" w:type="dxa"/>
          </w:tcPr>
          <w:p w14:paraId="4E653A7A" w14:textId="77777777" w:rsidR="003D262C" w:rsidRPr="004042CD" w:rsidRDefault="003D262C" w:rsidP="003D262C">
            <w:pPr>
              <w:jc w:val="center"/>
            </w:pPr>
            <w:r w:rsidRPr="004042CD">
              <w:t>0,00 €</w:t>
            </w:r>
          </w:p>
        </w:tc>
        <w:tc>
          <w:tcPr>
            <w:tcW w:w="965" w:type="dxa"/>
          </w:tcPr>
          <w:p w14:paraId="1C813F40" w14:textId="77777777" w:rsidR="003D262C" w:rsidRPr="004042CD" w:rsidRDefault="003D262C" w:rsidP="003D262C">
            <w:pPr>
              <w:jc w:val="center"/>
            </w:pPr>
            <w:r w:rsidRPr="004042CD">
              <w:t>0,00 €</w:t>
            </w:r>
          </w:p>
        </w:tc>
        <w:tc>
          <w:tcPr>
            <w:tcW w:w="1727" w:type="dxa"/>
          </w:tcPr>
          <w:p w14:paraId="2564476E" w14:textId="77777777" w:rsidR="003D262C" w:rsidRPr="004042CD" w:rsidRDefault="003D262C" w:rsidP="003D262C">
            <w:pPr>
              <w:jc w:val="center"/>
            </w:pPr>
            <w:r w:rsidRPr="004042CD">
              <w:t>0,00 €</w:t>
            </w:r>
          </w:p>
        </w:tc>
        <w:tc>
          <w:tcPr>
            <w:tcW w:w="970" w:type="dxa"/>
          </w:tcPr>
          <w:p w14:paraId="1314FDE3" w14:textId="77777777" w:rsidR="003D262C" w:rsidRPr="004042CD" w:rsidRDefault="003D262C" w:rsidP="003D262C">
            <w:pPr>
              <w:jc w:val="center"/>
            </w:pPr>
            <w:r w:rsidRPr="004042CD">
              <w:t>0,00 €</w:t>
            </w:r>
          </w:p>
        </w:tc>
      </w:tr>
      <w:tr w:rsidR="003D262C" w:rsidRPr="00ED30D5" w14:paraId="232C0F90" w14:textId="77777777" w:rsidTr="00696052">
        <w:trPr>
          <w:trHeight w:val="255"/>
          <w:jc w:val="center"/>
        </w:trPr>
        <w:tc>
          <w:tcPr>
            <w:tcW w:w="2396" w:type="dxa"/>
            <w:vAlign w:val="center"/>
          </w:tcPr>
          <w:p w14:paraId="2868E5C9" w14:textId="77777777" w:rsidR="003D262C" w:rsidRPr="003D262C" w:rsidRDefault="003D262C" w:rsidP="003D262C">
            <w:pPr>
              <w:rPr>
                <w:b/>
              </w:rPr>
            </w:pPr>
            <w:r w:rsidRPr="003D262C">
              <w:rPr>
                <w:b/>
              </w:rPr>
              <w:t>ΣΥΝΟΛΟ</w:t>
            </w:r>
          </w:p>
        </w:tc>
        <w:tc>
          <w:tcPr>
            <w:tcW w:w="2006" w:type="dxa"/>
          </w:tcPr>
          <w:p w14:paraId="5B44091D" w14:textId="77777777" w:rsidR="003D262C" w:rsidRPr="003D262C" w:rsidRDefault="003D262C" w:rsidP="003D262C">
            <w:pPr>
              <w:jc w:val="center"/>
              <w:rPr>
                <w:b/>
              </w:rPr>
            </w:pPr>
            <w:r w:rsidRPr="003D262C">
              <w:rPr>
                <w:b/>
              </w:rPr>
              <w:t>11.390.541,63 €</w:t>
            </w:r>
          </w:p>
        </w:tc>
        <w:tc>
          <w:tcPr>
            <w:tcW w:w="1541" w:type="dxa"/>
          </w:tcPr>
          <w:p w14:paraId="5C1E871C" w14:textId="77777777" w:rsidR="003D262C" w:rsidRPr="003D262C" w:rsidRDefault="003D262C" w:rsidP="003D262C">
            <w:pPr>
              <w:jc w:val="center"/>
              <w:rPr>
                <w:b/>
              </w:rPr>
            </w:pPr>
            <w:r w:rsidRPr="003D262C">
              <w:rPr>
                <w:b/>
              </w:rPr>
              <w:t>3.675.749,01 €</w:t>
            </w:r>
          </w:p>
        </w:tc>
        <w:tc>
          <w:tcPr>
            <w:tcW w:w="965" w:type="dxa"/>
          </w:tcPr>
          <w:p w14:paraId="1A321464" w14:textId="77777777" w:rsidR="003D262C" w:rsidRPr="003D262C" w:rsidRDefault="003D262C" w:rsidP="003D262C">
            <w:pPr>
              <w:jc w:val="center"/>
              <w:rPr>
                <w:b/>
              </w:rPr>
            </w:pPr>
            <w:r w:rsidRPr="003D262C">
              <w:rPr>
                <w:b/>
              </w:rPr>
              <w:t>32,3%</w:t>
            </w:r>
          </w:p>
        </w:tc>
        <w:tc>
          <w:tcPr>
            <w:tcW w:w="1727" w:type="dxa"/>
          </w:tcPr>
          <w:p w14:paraId="0E45044B" w14:textId="77777777" w:rsidR="003D262C" w:rsidRPr="003D262C" w:rsidRDefault="003D262C" w:rsidP="003D262C">
            <w:pPr>
              <w:jc w:val="center"/>
              <w:rPr>
                <w:b/>
              </w:rPr>
            </w:pPr>
            <w:r w:rsidRPr="003D262C">
              <w:rPr>
                <w:b/>
              </w:rPr>
              <w:t>76.379,00 €</w:t>
            </w:r>
          </w:p>
        </w:tc>
        <w:tc>
          <w:tcPr>
            <w:tcW w:w="970" w:type="dxa"/>
          </w:tcPr>
          <w:p w14:paraId="08C25B0F" w14:textId="77777777" w:rsidR="003D262C" w:rsidRPr="003D262C" w:rsidRDefault="003D262C" w:rsidP="003D262C">
            <w:pPr>
              <w:jc w:val="center"/>
              <w:rPr>
                <w:b/>
              </w:rPr>
            </w:pPr>
            <w:r w:rsidRPr="003D262C">
              <w:rPr>
                <w:b/>
              </w:rPr>
              <w:t>0,7%</w:t>
            </w:r>
          </w:p>
        </w:tc>
      </w:tr>
    </w:tbl>
    <w:p w14:paraId="6C5DDB3B" w14:textId="77777777" w:rsidR="003D262C" w:rsidRDefault="003D262C" w:rsidP="003770DC"/>
    <w:p w14:paraId="061E1630" w14:textId="23E3EC00" w:rsidR="00E76FBF" w:rsidRDefault="00E76FBF" w:rsidP="00E76FBF">
      <w:pPr>
        <w:pStyle w:val="Caption"/>
      </w:pPr>
      <w:r>
        <w:t>Πίνακας 3-24: Συμμετοχή ανά είδος φορέων στις εντάξεις</w:t>
      </w:r>
    </w:p>
    <w:p w14:paraId="3886DB0B" w14:textId="77777777" w:rsidR="00550E4D" w:rsidRPr="00216A04" w:rsidRDefault="00550E4D" w:rsidP="00B44B5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910"/>
      </w:tblGrid>
      <w:tr w:rsidR="00550E4D" w14:paraId="2B2E9D00" w14:textId="77777777" w:rsidTr="00550E4D">
        <w:trPr>
          <w:trHeight w:val="2799"/>
        </w:trPr>
        <w:tc>
          <w:tcPr>
            <w:tcW w:w="3450" w:type="dxa"/>
          </w:tcPr>
          <w:p w14:paraId="7330AAB7" w14:textId="619D44D7" w:rsidR="00550E4D" w:rsidRDefault="00550E4D" w:rsidP="003770DC">
            <w:r>
              <w:rPr>
                <w:noProof/>
              </w:rPr>
              <w:drawing>
                <wp:inline distT="0" distB="0" distL="0" distR="0" wp14:anchorId="196D49C4" wp14:editId="3FC4DD76">
                  <wp:extent cx="2931461" cy="1762125"/>
                  <wp:effectExtent l="0" t="0" r="254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36020" cy="1764866"/>
                          </a:xfrm>
                          <a:prstGeom prst="rect">
                            <a:avLst/>
                          </a:prstGeom>
                          <a:noFill/>
                        </pic:spPr>
                      </pic:pic>
                    </a:graphicData>
                  </a:graphic>
                </wp:inline>
              </w:drawing>
            </w:r>
          </w:p>
        </w:tc>
        <w:tc>
          <w:tcPr>
            <w:tcW w:w="5184" w:type="dxa"/>
          </w:tcPr>
          <w:p w14:paraId="2D121EA6" w14:textId="543A13EC" w:rsidR="00550E4D" w:rsidRDefault="00550E4D" w:rsidP="003770DC">
            <w:r>
              <w:rPr>
                <w:noProof/>
              </w:rPr>
              <w:drawing>
                <wp:inline distT="0" distB="0" distL="0" distR="0" wp14:anchorId="49C7F750" wp14:editId="638AA43A">
                  <wp:extent cx="2845435" cy="1745222"/>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55088" cy="1751143"/>
                          </a:xfrm>
                          <a:prstGeom prst="rect">
                            <a:avLst/>
                          </a:prstGeom>
                          <a:noFill/>
                        </pic:spPr>
                      </pic:pic>
                    </a:graphicData>
                  </a:graphic>
                </wp:inline>
              </w:drawing>
            </w:r>
          </w:p>
        </w:tc>
      </w:tr>
    </w:tbl>
    <w:p w14:paraId="34F21706" w14:textId="77777777" w:rsidR="00E55D2C" w:rsidRDefault="00E55D2C" w:rsidP="003770DC"/>
    <w:p w14:paraId="44EB25C4" w14:textId="77777777" w:rsidR="00550E4D" w:rsidRDefault="00550E4D" w:rsidP="003770DC"/>
    <w:p w14:paraId="67B0510E" w14:textId="64A91579" w:rsidR="003770DC" w:rsidRPr="007A1F50" w:rsidRDefault="003770DC" w:rsidP="003770DC">
      <w:r w:rsidRPr="007A1F50">
        <w:t xml:space="preserve">Ως προς τους </w:t>
      </w:r>
      <w:r w:rsidR="00A56E01">
        <w:t>τ</w:t>
      </w:r>
      <w:r w:rsidRPr="007A1F50">
        <w:t xml:space="preserve">ομείς </w:t>
      </w:r>
      <w:r w:rsidR="00A56E01">
        <w:t>π</w:t>
      </w:r>
      <w:r w:rsidRPr="007A1F50">
        <w:t>ροτεραιότητας της RIS3, από την επεξεργασία των διατιθέμενων στοιχείων προκύπτουν τα εξής:</w:t>
      </w:r>
    </w:p>
    <w:p w14:paraId="72227234" w14:textId="77777777" w:rsidR="003770DC" w:rsidRPr="007A1F50" w:rsidRDefault="003770DC" w:rsidP="003770DC">
      <w:r w:rsidRPr="007A1F50">
        <w:t>Ο μεγαλύτερος αριθμός των ενταγμένων έργων (όπως και των συμμετοχών) αφορά στον τομέα της «Ενέργειας» (10 πράξεις).</w:t>
      </w:r>
    </w:p>
    <w:p w14:paraId="2E843937" w14:textId="257FE811" w:rsidR="003770DC" w:rsidRPr="007A1F50" w:rsidRDefault="003770DC" w:rsidP="003770DC">
      <w:r w:rsidRPr="007A1F50">
        <w:t>Το μεγαλύτερο μέρος του προϋπολογισμού των ενταγμένων έργων αφορά στον τομέα της «Ενέργειας» (29,39%)</w:t>
      </w:r>
      <w:r w:rsidR="00A56E01">
        <w:t xml:space="preserve"> και α</w:t>
      </w:r>
      <w:r w:rsidRPr="007A1F50">
        <w:t>κολουθούν οι «Διεπιστημονικές παρεμβάσεις που σχετίζονται με τον στρατηγικό άξονα 3 της RIS» (15,07%) που αποτελούν διατομεακή διάσταση των τομέων προτεραιότητας της Στρατηγικής RIS3, οι «Βιοεπιστήμες / Υγεία &amp; Φάρμακα» (14,84%), ο «Πολιτισμός - Τουρισμός -Πολιτιστικές και Δημιουργικές Βιομηχανίες» (13,93%) και τα «Υλικά-Κατασκευές» (11,73%).</w:t>
      </w:r>
    </w:p>
    <w:p w14:paraId="2193C46E" w14:textId="6BC65403" w:rsidR="003770DC" w:rsidRPr="007A1F50" w:rsidRDefault="003770DC" w:rsidP="003770DC">
      <w:r w:rsidRPr="007A1F50">
        <w:t>Οι δαπάνες που έχουν πραγματοποιηθεί και καταχωρηθεί στο ΟΠΣ έως 31.12.2018 αφορούν στους τομείς της «Ενέργειας» (42</w:t>
      </w:r>
      <w:r w:rsidR="00A56E01">
        <w:t>.</w:t>
      </w:r>
      <w:r w:rsidRPr="007A1F50">
        <w:t>480 €), των «Υλικών-Κατασκευών» (7</w:t>
      </w:r>
      <w:r w:rsidR="00A56E01">
        <w:t>.</w:t>
      </w:r>
      <w:r w:rsidRPr="007A1F50">
        <w:t>899 €) και των «Βασικών Τεχνολογιών Γενικής Εφαρμογής (Key Enabling Technologies - KETs)</w:t>
      </w:r>
      <w:r w:rsidRPr="007A1F50">
        <w:rPr>
          <w:rStyle w:val="FootnoteReference"/>
        </w:rPr>
        <w:footnoteReference w:id="2"/>
      </w:r>
      <w:r w:rsidRPr="007A1F50">
        <w:t>» οι οποίες αποτελούν διατομεακή διάσταση των τομέων προτεραιότητας της Στρατηγικής RIS3.  (26</w:t>
      </w:r>
      <w:r w:rsidR="00A56E01">
        <w:t>.</w:t>
      </w:r>
      <w:r w:rsidRPr="007A1F50">
        <w:t>000 €).</w:t>
      </w:r>
    </w:p>
    <w:p w14:paraId="3CE37472" w14:textId="77777777" w:rsidR="003770DC" w:rsidRPr="007A1F50" w:rsidRDefault="003770DC" w:rsidP="003770DC">
      <w:r w:rsidRPr="007A1F50">
        <w:lastRenderedPageBreak/>
        <w:t>Για τις περισσότερο ανεπτυγμένες Περιφέρειες, το μεγαλύτερο μέρος του προϋπολογισμού των ενταγμένων  έργων συναντάται στους τομείς «Ενέργεια» (33,80%), «Πολιτισμός - Τουρισμός -Πολιτιστικές και Δημιουργικές Βιομηχανίες» (26,39%), «Βασικές Τεχνολογίες Γενικής Εφαρμογής (Key Enabling Technologies - KETs)» (16,38%) και «Υλικά-Κατασκευές» (15,79%).</w:t>
      </w:r>
    </w:p>
    <w:p w14:paraId="7CF71400" w14:textId="77777777" w:rsidR="003770DC" w:rsidRPr="007A1F50" w:rsidRDefault="003770DC" w:rsidP="003770DC">
      <w:r w:rsidRPr="007A1F50">
        <w:t>Αντίστοιχα για τις λιγότερο ανεπτυγμένες Περιφέρειες, οι τομείς «Ενέργεια» (30,04%), «Βιοεπιστήμες / Υγεία &amp; Φάρμακα» (20,29%), «Διεπιστημονικές παρεμβάσεις που σχετίζονται με τον στρατηγικό άξονα 3 της RIS» (15,73%), και «Υλικά-Κατασκευές» (13,03%). Σημειώνεται ότι στον τομέα της Αγροδιατροφής υπάρχουν ενταγμένα έργα μόνο από τις  λιγότερο ανεπτυγμένες Περιφέρειες.</w:t>
      </w:r>
    </w:p>
    <w:p w14:paraId="2DC734FE" w14:textId="77777777" w:rsidR="003770DC" w:rsidRDefault="003770DC" w:rsidP="003770DC">
      <w:r w:rsidRPr="007A1F50">
        <w:t>Όσον αφορά στις Περιφέρειες σε μετάβαση, οι τομείς όπου σημειώνεται το μεγαλύτερο μέρος του προϋπολογισμού των ενταγμένων  έργων είναι οι «Διεπιστημονικές παρεμβάσεις που σχετίζονται με τον στρατηγικό άξονα 3 της RIS» (32,23%), η «Ενέργεια» (30,98%) και ο «Πολιτισμός - Τουρισμός -Πολιτιστικές και Δημιουργικές Βιομηχανίες» (20,97%).</w:t>
      </w:r>
    </w:p>
    <w:p w14:paraId="288E0146" w14:textId="3291D8B9" w:rsidR="00550E4D" w:rsidRDefault="00550E4D" w:rsidP="003770DC">
      <w:r>
        <w:t>Ως προς το είδος των φορέων των ενταγμένων έργων</w:t>
      </w:r>
      <w:r w:rsidR="00A56E01">
        <w:t>,</w:t>
      </w:r>
      <w:r>
        <w:t xml:space="preserve"> το 71% του προϋπολογισμού δημόσιας δαπάνης των ενταγμένων έργων αφορά σε ερευνητικούς οργανισμούς οι οποίοι συγκεντρώνουν και το 58% των συμμετοχών στις τρεις σχετικές δράσεις.</w:t>
      </w:r>
    </w:p>
    <w:p w14:paraId="4E48CAD1" w14:textId="77777777" w:rsidR="00A2764F" w:rsidRDefault="00CA4B40" w:rsidP="003770DC">
      <w:r>
        <w:t>Ως προς τις πληρωμές ΕΛΚΕ, το σύνολό του</w:t>
      </w:r>
      <w:r w:rsidR="00712ED7">
        <w:t>ς</w:t>
      </w:r>
      <w:r>
        <w:t xml:space="preserve"> έως το τέλος του 2018 για το σύνολο των δράσεων διμερούς Ε&amp;Τ Συνεργασίας ανήλθε στα </w:t>
      </w:r>
      <w:r w:rsidR="00712ED7">
        <w:t xml:space="preserve">3,6 εκατ. </w:t>
      </w:r>
      <w:r w:rsidR="00712ED7">
        <w:rPr>
          <w:rFonts w:ascii="Calibri" w:hAnsi="Calibri"/>
        </w:rPr>
        <w:t>€</w:t>
      </w:r>
      <w:r w:rsidR="00712ED7">
        <w:t xml:space="preserve">, δηλαδή σε ποσοστό 32,3% του προϋπολογισμού δημόσιας δαπάνης (11,39 εκατ. </w:t>
      </w:r>
      <w:r w:rsidR="00712ED7">
        <w:rPr>
          <w:rFonts w:ascii="Calibri" w:hAnsi="Calibri"/>
        </w:rPr>
        <w:t>€</w:t>
      </w:r>
      <w:r w:rsidR="00712ED7">
        <w:t>). Η Περιφέρεια Δ. Μακεδονίας παρουσιάζει το υψηλότερο ποσοστό απορρόφησης (70%), ενώ ακολουθούν οι Περιφέρειες Κρήτης (38,7%) και Α. Μακεδονίας &amp; Θράκης (34,5%). Όσον αφορά στις πληρωμές ΟΠΣ, το αντίστοιχο ποσοστό είναι μόλις 0,7%, και έχουν καταχωρηθεί δαπάνες μόνο από την Περιφέρεια Αττικής.</w:t>
      </w:r>
    </w:p>
    <w:p w14:paraId="599985E5" w14:textId="77777777" w:rsidR="00A2764F" w:rsidRPr="007A1F50" w:rsidRDefault="00A2764F" w:rsidP="003770DC"/>
    <w:p w14:paraId="71B29774" w14:textId="77777777" w:rsidR="003770DC" w:rsidRDefault="003770DC" w:rsidP="003770DC">
      <w:pPr>
        <w:spacing w:after="160" w:line="259" w:lineRule="auto"/>
        <w:sectPr w:rsidR="003770DC" w:rsidSect="005476F0">
          <w:footerReference w:type="default" r:id="rId36"/>
          <w:pgSz w:w="12240" w:h="15840"/>
          <w:pgMar w:top="1440" w:right="1247" w:bottom="1440" w:left="1247" w:header="720" w:footer="720" w:gutter="0"/>
          <w:cols w:space="720"/>
          <w:docGrid w:linePitch="360"/>
        </w:sectPr>
      </w:pPr>
    </w:p>
    <w:p w14:paraId="6B69213E" w14:textId="0E7ED014" w:rsidR="003770DC" w:rsidRPr="0061319E" w:rsidRDefault="00305C7F" w:rsidP="00305C7F">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E76FBF">
        <w:rPr>
          <w:noProof/>
        </w:rPr>
        <w:t>25</w:t>
      </w:r>
      <w:r w:rsidR="00C17BF2">
        <w:t>:</w:t>
      </w:r>
      <w:r>
        <w:t xml:space="preserve"> </w:t>
      </w:r>
      <w:r w:rsidR="003770DC" w:rsidRPr="0061319E">
        <w:t>Στοιχεία εντάξεων και πληρωμών (έως 31.12.2018) δράσεων Διμερ</w:t>
      </w:r>
      <w:r w:rsidR="00833098">
        <w:t xml:space="preserve">ούς </w:t>
      </w:r>
      <w:r w:rsidR="003770DC" w:rsidRPr="0061319E">
        <w:t>Ε&amp;Τ Συνεργασία</w:t>
      </w:r>
      <w:r w:rsidR="00833098">
        <w:t>ς</w:t>
      </w:r>
      <w:r w:rsidR="003770DC" w:rsidRPr="0061319E">
        <w:t xml:space="preserve"> ανά Τομέα Προτεραιότητας της Στρατηγικής RIS3</w:t>
      </w:r>
    </w:p>
    <w:p w14:paraId="3B2D3B23" w14:textId="569BDBED" w:rsidR="003770DC" w:rsidRDefault="00875F75" w:rsidP="003770DC">
      <w:pPr>
        <w:spacing w:after="160" w:line="259" w:lineRule="auto"/>
        <w:jc w:val="center"/>
      </w:pPr>
      <w:r w:rsidRPr="00875F75">
        <w:rPr>
          <w:noProof/>
          <w:lang w:eastAsia="el-GR"/>
        </w:rPr>
        <w:drawing>
          <wp:inline distT="0" distB="0" distL="0" distR="0" wp14:anchorId="616DB167" wp14:editId="72CBF67B">
            <wp:extent cx="8226736" cy="1819275"/>
            <wp:effectExtent l="0" t="0" r="317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30222" cy="1820046"/>
                    </a:xfrm>
                    <a:prstGeom prst="rect">
                      <a:avLst/>
                    </a:prstGeom>
                    <a:noFill/>
                    <a:ln>
                      <a:noFill/>
                    </a:ln>
                  </pic:spPr>
                </pic:pic>
              </a:graphicData>
            </a:graphic>
          </wp:inline>
        </w:drawing>
      </w:r>
    </w:p>
    <w:p w14:paraId="232A9614" w14:textId="77777777" w:rsidR="00875F75" w:rsidRDefault="00875F75" w:rsidP="00305C7F">
      <w:pPr>
        <w:pStyle w:val="Caption"/>
      </w:pPr>
    </w:p>
    <w:p w14:paraId="5142920B" w14:textId="022BC4D5" w:rsidR="003770DC" w:rsidRPr="0061319E" w:rsidRDefault="00305C7F" w:rsidP="00305C7F">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E76FBF">
        <w:rPr>
          <w:noProof/>
        </w:rPr>
        <w:t>26</w:t>
      </w:r>
      <w:r w:rsidR="00C17BF2">
        <w:t>:</w:t>
      </w:r>
      <w:r>
        <w:t xml:space="preserve"> </w:t>
      </w:r>
      <w:r w:rsidR="003770DC" w:rsidRPr="0061319E">
        <w:t xml:space="preserve">Ποσοστιαία κατανομή των εντάξεων και πληρωμών (έως 31.12.2018) δράσεων </w:t>
      </w:r>
      <w:r w:rsidR="00833098" w:rsidRPr="0061319E">
        <w:t>Διμερ</w:t>
      </w:r>
      <w:r w:rsidR="00833098">
        <w:t xml:space="preserve">ούς </w:t>
      </w:r>
      <w:r w:rsidR="00833098" w:rsidRPr="0061319E">
        <w:t>Ε&amp;Τ Συνεργασία</w:t>
      </w:r>
      <w:r w:rsidR="00833098">
        <w:t>ς</w:t>
      </w:r>
      <w:r w:rsidR="00833098" w:rsidRPr="0061319E">
        <w:t xml:space="preserve"> </w:t>
      </w:r>
      <w:r w:rsidR="003770DC" w:rsidRPr="0061319E">
        <w:t>ανά Τομέα Προτεραιότητας της Στρατηγικής RIS3</w:t>
      </w:r>
    </w:p>
    <w:p w14:paraId="01E99228" w14:textId="77777777" w:rsidR="003770DC" w:rsidRDefault="00E544A6" w:rsidP="003770DC">
      <w:pPr>
        <w:spacing w:after="160" w:line="259" w:lineRule="auto"/>
        <w:jc w:val="center"/>
        <w:rPr>
          <w:noProof/>
          <w:lang w:eastAsia="el-GR"/>
        </w:rPr>
      </w:pPr>
      <w:r w:rsidRPr="00E544A6">
        <w:rPr>
          <w:noProof/>
          <w:lang w:eastAsia="el-GR"/>
        </w:rPr>
        <w:drawing>
          <wp:inline distT="0" distB="0" distL="0" distR="0" wp14:anchorId="32DFE9C7" wp14:editId="531848AA">
            <wp:extent cx="8226425" cy="1943100"/>
            <wp:effectExtent l="0" t="0" r="317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31467" cy="1944291"/>
                    </a:xfrm>
                    <a:prstGeom prst="rect">
                      <a:avLst/>
                    </a:prstGeom>
                    <a:noFill/>
                    <a:ln>
                      <a:noFill/>
                    </a:ln>
                  </pic:spPr>
                </pic:pic>
              </a:graphicData>
            </a:graphic>
          </wp:inline>
        </w:drawing>
      </w:r>
    </w:p>
    <w:p w14:paraId="7898BA0E" w14:textId="77777777" w:rsidR="00E544A6" w:rsidRDefault="00E544A6" w:rsidP="003770DC">
      <w:pPr>
        <w:spacing w:after="160" w:line="259" w:lineRule="auto"/>
        <w:jc w:val="center"/>
        <w:rPr>
          <w:noProof/>
          <w:lang w:eastAsia="el-GR"/>
        </w:rPr>
      </w:pPr>
    </w:p>
    <w:p w14:paraId="1626ADC4" w14:textId="77777777" w:rsidR="00E544A6" w:rsidRDefault="00E544A6" w:rsidP="003770DC">
      <w:pPr>
        <w:spacing w:after="160" w:line="259" w:lineRule="auto"/>
        <w:jc w:val="center"/>
        <w:rPr>
          <w:noProof/>
          <w:lang w:eastAsia="el-GR"/>
        </w:rPr>
      </w:pPr>
    </w:p>
    <w:p w14:paraId="64E4FA5D" w14:textId="77777777" w:rsidR="00E544A6" w:rsidRDefault="00E544A6" w:rsidP="003770DC">
      <w:pPr>
        <w:spacing w:after="160" w:line="259" w:lineRule="auto"/>
        <w:jc w:val="center"/>
        <w:sectPr w:rsidR="00E544A6" w:rsidSect="003D021E">
          <w:footerReference w:type="default" r:id="rId39"/>
          <w:pgSz w:w="15840" w:h="12240" w:orient="landscape"/>
          <w:pgMar w:top="1440" w:right="1440" w:bottom="1440" w:left="1440" w:header="720" w:footer="720" w:gutter="0"/>
          <w:cols w:space="720"/>
          <w:docGrid w:linePitch="360"/>
        </w:sectPr>
      </w:pPr>
    </w:p>
    <w:p w14:paraId="3F65AA89" w14:textId="77777777" w:rsidR="003770DC" w:rsidRPr="004D30B3" w:rsidRDefault="00FC29E5" w:rsidP="003770DC">
      <w:pPr>
        <w:pStyle w:val="Heading2"/>
        <w:rPr>
          <w:rFonts w:eastAsia="Calibri"/>
        </w:rPr>
      </w:pPr>
      <w:bookmarkStart w:id="16" w:name="_Toc22645405"/>
      <w:r w:rsidRPr="004D30B3">
        <w:rPr>
          <w:rFonts w:eastAsia="Calibri"/>
        </w:rPr>
        <w:lastRenderedPageBreak/>
        <w:t>Εμβληματικές πρωτοβουλίες και</w:t>
      </w:r>
      <w:r w:rsidR="003770DC" w:rsidRPr="004D30B3">
        <w:rPr>
          <w:rFonts w:eastAsia="Calibri"/>
        </w:rPr>
        <w:t xml:space="preserve"> </w:t>
      </w:r>
      <w:r w:rsidR="004D30B3" w:rsidRPr="004D30B3">
        <w:rPr>
          <w:rFonts w:eastAsia="Calibri"/>
        </w:rPr>
        <w:t>Δ</w:t>
      </w:r>
      <w:r w:rsidR="003770DC" w:rsidRPr="004D30B3">
        <w:rPr>
          <w:rFonts w:eastAsia="Calibri"/>
        </w:rPr>
        <w:t>ράσεις ΕΛΙΔΕΚ</w:t>
      </w:r>
      <w:bookmarkEnd w:id="16"/>
    </w:p>
    <w:p w14:paraId="3A4C2110" w14:textId="77777777" w:rsidR="004D30B3" w:rsidRPr="003770DC" w:rsidRDefault="00651313" w:rsidP="003770DC">
      <w:r>
        <w:t>Στη συνέχεια παρουσιάζονται</w:t>
      </w:r>
      <w:r w:rsidR="004D30B3" w:rsidRPr="004D30B3">
        <w:t xml:space="preserve"> </w:t>
      </w:r>
      <w:r w:rsidR="004D30B3">
        <w:t xml:space="preserve">εμβληματικές </w:t>
      </w:r>
      <w:r>
        <w:t xml:space="preserve">πρωτοβουλίες που συνδέονται με την εφαρμογή της Στρατηγικής </w:t>
      </w:r>
      <w:r>
        <w:rPr>
          <w:lang w:val="en-US"/>
        </w:rPr>
        <w:t>RIS</w:t>
      </w:r>
      <w:r w:rsidRPr="00651313">
        <w:t>3</w:t>
      </w:r>
      <w:r>
        <w:t xml:space="preserve">, τη </w:t>
      </w:r>
      <w:r w:rsidRPr="00651313">
        <w:t xml:space="preserve">διαχείριση και την παρακολούθηση </w:t>
      </w:r>
      <w:r>
        <w:t xml:space="preserve">των οποίων έχει η ΓΓΕΤ, </w:t>
      </w:r>
      <w:r w:rsidR="004D30B3" w:rsidRPr="004D30B3">
        <w:t>καθώς και οι δύο (2) δράσεις ενίσχυσης διδακτορικών και ενίσχυσης μεταδιδακτορικών ερευνητών του Ελληνικού Ιδρύματος Έρευνας και Καινοτομίας (ΕΛΙΔΕΚ) με χρηματοδότηση από τη Ευρωπαϊκή Τράπεζα Επενδύσεων και φορέα Πρόσκλησης της ΓΓΕΤ, οι οποίες παρουσιάζουν ιδιαίτερο ενδιαφέρον για την εφαρμογή της RIS3.</w:t>
      </w:r>
    </w:p>
    <w:p w14:paraId="159D2DBE" w14:textId="77777777" w:rsidR="00FC29E5" w:rsidRPr="00CD0CAF" w:rsidRDefault="00FC29E5" w:rsidP="00FC29E5">
      <w:pPr>
        <w:pStyle w:val="Heading3"/>
        <w:rPr>
          <w:rFonts w:eastAsia="Calibri"/>
        </w:rPr>
      </w:pPr>
      <w:bookmarkStart w:id="17" w:name="_Toc22645406"/>
      <w:r>
        <w:rPr>
          <w:rFonts w:eastAsia="Calibri"/>
        </w:rPr>
        <w:t>Εμβληματικές πρωτοβουλίες</w:t>
      </w:r>
      <w:bookmarkEnd w:id="17"/>
      <w:r w:rsidRPr="00CD0CAF">
        <w:rPr>
          <w:rFonts w:eastAsia="Calibri"/>
        </w:rPr>
        <w:t xml:space="preserve"> </w:t>
      </w:r>
    </w:p>
    <w:p w14:paraId="49F09E13" w14:textId="77777777" w:rsidR="00F9631C" w:rsidRPr="00651313" w:rsidRDefault="0065535D" w:rsidP="00FC29E5">
      <w:r w:rsidRPr="00651313">
        <w:t>Το Υπουργείο Παιδείας και Εθνικών θρησκευμάτων (ΥΠΠΕΘ), στο πλαίσιο της ανάληψης Εμβληματικών Πρωτοβουλιών, από τον τομέα Έρευνας και Καινοτομίας του ΥΠΠΕΘ, για οριζόντιες ερευνητικές δράσεις σε αναδυόμενους επιστημονικούς τομείς  με ισχυρή κοινωνική απήχηση,</w:t>
      </w:r>
      <w:r w:rsidR="00F9631C" w:rsidRPr="00651313">
        <w:t xml:space="preserve"> </w:t>
      </w:r>
      <w:r w:rsidR="00651313" w:rsidRPr="00651313">
        <w:t>υλοποιεί τις ακόλουθες δράσεις.</w:t>
      </w:r>
    </w:p>
    <w:p w14:paraId="2EED26C1" w14:textId="77777777" w:rsidR="004D30B3" w:rsidRDefault="004D30B3" w:rsidP="004D30B3">
      <w:pPr>
        <w:spacing w:after="120"/>
        <w:rPr>
          <w:b/>
          <w:szCs w:val="18"/>
        </w:rPr>
      </w:pPr>
      <w:r w:rsidRPr="004D30B3">
        <w:rPr>
          <w:b/>
          <w:szCs w:val="18"/>
        </w:rPr>
        <w:t>Εθνικό Δίκτυο Ιατρικής Ακριβείας στην Ογκολογία και τα Καρδιαγγειακά Νοσήματα, για αποτελεσματικότερες και μειωμένου κόστους θεραπείες μοριακής ιατρικής, προσβάσιμες για τους πολίτες από το Δημόσιο Σύστημα Υγείας</w:t>
      </w:r>
    </w:p>
    <w:p w14:paraId="5AF48A83" w14:textId="77777777" w:rsidR="00872A71" w:rsidRDefault="00872A71" w:rsidP="00872A71">
      <w:r>
        <w:t xml:space="preserve">Στο πλαίσιο της ανάληψης Εμβληματικών Πρωτοβουλιών, από τον τομέα Έρευνας και Καινοτομίας του ΥΠΠΕΘ, για οριζόντιες ερευνητικές δράσεις σε αναδυόμενους επιστημονικούς τομείς με ισχυρή κοινωνική απήχηση, συστήθηκε στον τομέα της Ιατρικής, </w:t>
      </w:r>
      <w:r w:rsidRPr="00872A71">
        <w:t>Εθνικό Δίκτυο Ιατρικής Ακριβείας για την Ογκολογία</w:t>
      </w:r>
      <w:r>
        <w:t>».</w:t>
      </w:r>
    </w:p>
    <w:p w14:paraId="7272999B" w14:textId="77777777" w:rsidR="005F1DE3" w:rsidRDefault="00C94DAE" w:rsidP="004D30B3">
      <w:pPr>
        <w:spacing w:after="120"/>
      </w:pPr>
      <w:r w:rsidRPr="00C94DAE">
        <w:t xml:space="preserve">Το Εθνικό Δίκτυο Ιατρικής Ακριβείας για την Ογκολογία αποτελεί ένα δίκτυο ερευνητικών φορέων και ογκολογικών κλινικών που στοχεύει στον συντονισμό και αξιοποίηση ολόκληρου του επιστημονικού δυναμικού της χώρας που δραστηριοποιείται στον αναδυόμενο αυτόν τομέα της Ιατρικής, ο οποίος εξελίσσεται ραγδαία κατά τα τελευταία χρόνια. </w:t>
      </w:r>
    </w:p>
    <w:p w14:paraId="317BBD3B" w14:textId="77777777" w:rsidR="00C94DAE" w:rsidRPr="0023773B" w:rsidRDefault="00C94DAE" w:rsidP="004D30B3">
      <w:pPr>
        <w:spacing w:after="120"/>
      </w:pPr>
      <w:r w:rsidRPr="00C94DAE">
        <w:t xml:space="preserve">Στην πρώτη φάση ανάπτυξης του Δικτύου θα δοθεί έμφαση στην ανάπτυξη διαγνωστικής επάρκειας, στην πιστοποίηση και τυποποίηση διαδικασιών και σε πιλοτικές κλινικές εφαρμογές για ορισμένους τύπους όγκων, με τη δημιουργία τεσσάρων Μονάδων Ιατρικής Ακριβείας (ΜΙΑ), δύο στην Αθήνα και από μία στην Θεσσαλονίκη και Ηράκλειο Κρήτης. Κατόπιν, για τις πλέον ώριμες εφαρμογές θα οργανωθούν συστηματικές κλινικές μελέτες. Κεντρικός προσανατολισμός του είναι τα οφέλη της εξατομικευμένης περίθαλψης που θα προκύπτουν από την Ιατρική Ακριβείας να είναι προσβάσιμα σε όλους τους πολίτες μέσω του Δημόσιου Συστήματος Υγείας. </w:t>
      </w:r>
    </w:p>
    <w:p w14:paraId="731745E4" w14:textId="77777777" w:rsidR="00BF1727" w:rsidRDefault="00BF1727" w:rsidP="004D30B3">
      <w:pPr>
        <w:spacing w:after="120"/>
      </w:pPr>
      <w:r w:rsidRPr="00BF1727">
        <w:t>Απώτερες στοχεύσεις του Δικτύου για το μέλλον είναι: α) Η διεύρυνση του με τη συμμετοχή και άλλων φορέων και κλινικών στην Λάρισα, στα Ιωάννινα και στην Αλεξανδρούπολη, β) Η δυνατότητα πρόσβασης στα οφέλη της Ιατρικής Ακριβείας όλων των πολιτών μέσω του Δημοσίου Συστήματος Υγείας, γ) Η επέκταση και η δημιουργία, στο άμεσο μέλλον, δύο νέων Δικτύων Ιατρικής Ακριβείας για Νευροεκφυλιστικές παθήσεις και Καρδιαγγειακά νοσήματα.</w:t>
      </w:r>
    </w:p>
    <w:p w14:paraId="5EE12447" w14:textId="77777777" w:rsidR="004D30B3" w:rsidRDefault="004D30B3" w:rsidP="004D30B3">
      <w:pPr>
        <w:spacing w:after="120"/>
        <w:rPr>
          <w:b/>
          <w:szCs w:val="18"/>
        </w:rPr>
      </w:pPr>
      <w:r w:rsidRPr="004D30B3">
        <w:rPr>
          <w:b/>
          <w:szCs w:val="18"/>
        </w:rPr>
        <w:t>Εθνικό Δίκτυο Αγροδιατροφής, για την ανάδειξη των ποιοτικών χαρακτηριστικών παραδοσιακών προϊόντων (Ελιά, Αμπέλι, Μέλισσα)</w:t>
      </w:r>
    </w:p>
    <w:p w14:paraId="7E3999B9" w14:textId="77777777" w:rsidR="00F9631C" w:rsidRPr="00A405B8" w:rsidRDefault="0023773B" w:rsidP="0065535D">
      <w:pPr>
        <w:rPr>
          <w:i/>
          <w:color w:val="C00000"/>
        </w:rPr>
      </w:pPr>
      <w:r w:rsidRPr="00A405B8">
        <w:rPr>
          <w:b/>
          <w:i/>
          <w:color w:val="C00000"/>
          <w:szCs w:val="18"/>
        </w:rPr>
        <w:t>«Οι δρόμοι της Ελιάς»</w:t>
      </w:r>
    </w:p>
    <w:p w14:paraId="02CB378F" w14:textId="77777777" w:rsidR="0065535D" w:rsidRDefault="0065535D" w:rsidP="0065535D">
      <w:r>
        <w:t>Στο πλαίσιο της ανάληψης Εμβληματικών Πρωτοβουλιών, από τον τομέα Έρευνας και Καινοτομίας του ΥΠΠΕΘ, για οριζόντιες ερευνητικές δράσεις σε αναδυόμενους επιστημονικούς τομείς με ισχυρή κοινωνική απήχηση, συστήθηκε στον τομέα της Αγροδιατροφής, Εθνικό Δίκτυο με την ονομασία «Οι δρόμοι της Ελιάς».</w:t>
      </w:r>
    </w:p>
    <w:p w14:paraId="491F2B69" w14:textId="77777777" w:rsidR="0065535D" w:rsidRDefault="0065535D" w:rsidP="0065535D">
      <w:r>
        <w:t>Πρόκειται για μια πρωτοποριακή δράση για τα ελληνικά δεδομένα που αφορά την ανάπτυξη και βελτιστοποίηση των προϊόντων ελιάς και ελαιόλαδου και των μεθόδων παραγωγής τους. Στόχος είναι η ανάδειξη των μοναδικών και υψηλών ποιοτικών χαρακτηριστικών των ελληνικών ποικιλιών και του ελαιόλαδου, διαμορφώνοντας έτσι ένα στρατηγικό ανταγωνιστικό πλεονέκτημα για τη δημιουργία προστιθέμενης αξίας και για την ενίσχυση της εξωστρέφειας τους ως ‘εθνικά προϊόντα’. Απώτερος στόχος της δράσης είναι η διάσωση και διατήρηση σημαντικών κλώνων, η γενετική τους βελτίωση μέσα από τη μελέτη ανθεκτικών κλώνων σε ασθένειες, ξηρασία και κλιματική αλλαγή.</w:t>
      </w:r>
    </w:p>
    <w:p w14:paraId="4BD13968" w14:textId="77777777" w:rsidR="00717C8C" w:rsidRDefault="00717C8C" w:rsidP="0065535D">
      <w:r w:rsidRPr="00717C8C">
        <w:t xml:space="preserve">Η εμβληματική πρωτοβουλία θα υλοποιηθεί σε συνεργασία με το Υπουργείο Αγροτικής Ανάπτυξης &amp; Τροφίμων, ενώ στο εθνικό δίκτυο συμμετέχουν ερευνητικοί φορείς από όλη την Ελλάδα, όπως το ΕΚΠΑ, το ΑΠΘ, το </w:t>
      </w:r>
      <w:r w:rsidRPr="00717C8C">
        <w:lastRenderedPageBreak/>
        <w:t>Γεωπονικό Πανεπιστήμιο Αθήνας, τα Πανεπιστήμια Πατρών και Θεσσαλίας, το Μεσογειακό Αγρονομικό Ινστιτούτο Χανίων, το Ίδρυμα Τεχνολογίας και Έρευνας, το ΤΕΙ Κρήτης και ο ΕΛΓΟ «Δήμητρα».</w:t>
      </w:r>
    </w:p>
    <w:p w14:paraId="34942898" w14:textId="77777777" w:rsidR="0023773B" w:rsidRDefault="0023773B" w:rsidP="0065535D">
      <w:r w:rsidRPr="0023773B">
        <w:t>Το διετές πρόγραμμα «Οι δρόμοι της ελιάς» έχει τρία υποέργα, τα οποία θα ασχοληθούν με τη γενετική της ελιάς (συντονιστής το ΕΛΓΟ Δήμητρα), τα</w:t>
      </w:r>
      <w:r>
        <w:t xml:space="preserve"> </w:t>
      </w:r>
      <w:r w:rsidRPr="0023773B">
        <w:t>προϊόντα της ελιάς (συντονιστής ο ΕΦΕΤ) και την φυτοπροστασία (συντονιστής το Γεωπονικό Πανεπιστήμιο Αθήνας).</w:t>
      </w:r>
    </w:p>
    <w:p w14:paraId="32E61295" w14:textId="77777777" w:rsidR="00D33C75" w:rsidRDefault="00D33C75" w:rsidP="00D33C75">
      <w:r w:rsidRPr="00D33C75">
        <w:t xml:space="preserve">Η δράση με τίτλο: Δημιουργία εθνικού ερευνητικού δικτύου στην αλυσίδα αξίας της «Ελιάς», εντάσσεται </w:t>
      </w:r>
      <w:r w:rsidR="00E62DC6">
        <w:t xml:space="preserve">(αρ. αποφ. 183295/Ι6, 30.10.2018) </w:t>
      </w:r>
      <w:r w:rsidRPr="00D33C75">
        <w:t>στο σκέλος του Υποέργου 1 με τίτλο: Δημιουργία εθνικών ερευνητικών δικτύων στις αλυσίδες αξίας της «Ελιάς», του «Αμπελιού», του «Μελιού» και της «Κτηνοτροφίας» του έργου με κωδ. αριθ. 2018ΣΕ01300000 του Εθνικού Σκέλους του ΠΔΕ της ΓΓΕΤ</w:t>
      </w:r>
      <w:r>
        <w:t xml:space="preserve">. </w:t>
      </w:r>
      <w:r w:rsidRPr="00D33C75">
        <w:t>Ο συνολικός προϋπολογισμός της δράσης ανέρχεται σε 3.240.940,38</w:t>
      </w:r>
      <w:r>
        <w:t xml:space="preserve"> €.</w:t>
      </w:r>
    </w:p>
    <w:p w14:paraId="3F639CEB" w14:textId="77777777" w:rsidR="0023773B" w:rsidRDefault="0023773B" w:rsidP="0023773B">
      <w:r>
        <w:t>Τη διαχείριση και την παρακολούθηση της δράσης θα πραγματοποιήσει η ΓΓΕΤ.</w:t>
      </w:r>
    </w:p>
    <w:p w14:paraId="6B87C573" w14:textId="77777777" w:rsidR="00F9631C" w:rsidRPr="00A405B8" w:rsidRDefault="0009077B" w:rsidP="00F9631C">
      <w:pPr>
        <w:rPr>
          <w:b/>
          <w:i/>
          <w:color w:val="C00000"/>
          <w:szCs w:val="18"/>
        </w:rPr>
      </w:pPr>
      <w:r w:rsidRPr="00A405B8">
        <w:rPr>
          <w:b/>
          <w:i/>
          <w:color w:val="C00000"/>
          <w:szCs w:val="18"/>
        </w:rPr>
        <w:t>«Οι Δρόμοι των Αμπελώνων»</w:t>
      </w:r>
    </w:p>
    <w:p w14:paraId="52AEC410" w14:textId="77777777" w:rsidR="00F9631C" w:rsidRDefault="00F9631C" w:rsidP="00F9631C">
      <w:r>
        <w:t xml:space="preserve">Το ερευνητικό δίκτυο «Οι Δρόμοι των Αμπελώνων» </w:t>
      </w:r>
      <w:r w:rsidR="00651313">
        <w:t>αφορά</w:t>
      </w:r>
      <w:r>
        <w:t xml:space="preserve"> </w:t>
      </w:r>
      <w:r w:rsidR="00651313">
        <w:t>σε</w:t>
      </w:r>
      <w:r>
        <w:t xml:space="preserve"> πρωτοβουλία του τομέα Έρευνας και Καινοτομίας του ΥΠΠΕΘ σε συνεργασία με το Υπουργείο Αγροτικής Ανάπτυξης και Τροφίμων.</w:t>
      </w:r>
    </w:p>
    <w:p w14:paraId="15A47A40" w14:textId="77777777" w:rsidR="00F9631C" w:rsidRDefault="00F9631C" w:rsidP="00F9631C">
      <w:r>
        <w:t>Η πρωτοποριακή για τα ελληνικά δεδομένα δράση αποτελεί ένα σχέδιο ερευνητικής και τεχνολογικής καινοτομίας για την υποστήριξη της μοναδικότητας των ελληνικών οινικών προϊόντων και την ανάπτυξη της ανταγωνιστικότητας τους. Η ανάδειξη των ποιοτικών χαρακτηριστικών των ελληνικών ποικιλιών οίνου θα επιτευχθεί με την συνεργασία του επιστημονικού δυναμικού και των υποδομών της χώρας.</w:t>
      </w:r>
    </w:p>
    <w:p w14:paraId="61F293F5" w14:textId="77777777" w:rsidR="00F9631C" w:rsidRDefault="00F9631C" w:rsidP="00F9631C">
      <w:r>
        <w:t>Επιπλέον, επιδιώκεται η απόκτηση οινικής ταυτότητας των ελληνικών προϊόντων  βάση της μοναδικότητας που προσφέρουν οι γεωγραφικές-περιβαλλοντικές συνθήκες της χώρας. Ο σχεδιασμός της δράσης περιλαμβάνει την διαμόρφωση ενός στρατηγικού ανταγωνιστικού πλεονεκτήματος για τη δημιουργία προστιθέμενης αξίας και την ενίσχυση της εξωστρέφειας.</w:t>
      </w:r>
    </w:p>
    <w:p w14:paraId="32230C60" w14:textId="77777777" w:rsidR="00F9631C" w:rsidRDefault="00F9631C" w:rsidP="00F9631C">
      <w:r>
        <w:t>Στο εθνικό δίκτυο συμμετέχουν, με συμπληρωματική ερευνητική και αναλυτική δράση, ερευνητικοί φορείς από όλη την Ελλάδα, όπως το Αριστοτέλειο Πανεπιστήμιο Θεσσαλονίκης (ΑΠΘ), το Γεωπονικό Πανεπιστήμιο Αθηνών (ΓΠΑ), το Δημοκρίτειο Πανεπιστήμιο Θράκης (ΔΠΘ), το Εθνικό Κέντρο Έρευνας και Τεχνολογικής Ανάπτυξης (ΕΚΕΤΑ),ο Ελληνικός Γεωργικός Οργανισμός ΔΗΜΗΤΡΑ (ΕΛΓΟ), το Ίδρυμα Τεχνολογίας και Έρευνας (ΙΤΕ), το Μπενάκειο Φυτοπαθολογικό Ινστιτούτο (ΜΦΙ), το Πανεπιστήμιο Δυτικής Αττικής (ΠΑΔΑ), το Πανεπιστήμιο Θεσσαλίας (ΠΘ), το Πολυτεχνείο Κρήτης (ΠΟΚ), το Τεχνολογικό Ίδρυμα Κρήτης (ΤΕΙ) και το Πανεπιστήμιο Κρήτης (ΠΑΚ).</w:t>
      </w:r>
    </w:p>
    <w:p w14:paraId="059E87B6" w14:textId="77777777" w:rsidR="00F9631C" w:rsidRDefault="00F9631C" w:rsidP="00F9631C">
      <w:r>
        <w:t>Το διετές πρόγραμμα «Οι δρόμοι των Αμπελώνων» έχει τρία υποέργα, τα οποία θα ασχοληθούν με τη γενετική της αμπέλου  (συντονιστής το ΕΚΕΤΑ - ΙΝΕΒ), τον χημικό οργανοληπτικό χαρακτηρισμό ποικιλιών-βιοσυνθετικά μονοπάτια-οινοποίηση (συντονιστής το Γεωπονικό Πανεπιστήμιο Αθήνας) και την φυτοπροστασία-μικροβίωμα (συντονιστής το Γεωπονικό Πανεπιστήμιο Αθήνας).</w:t>
      </w:r>
    </w:p>
    <w:p w14:paraId="2DC8F383" w14:textId="77777777" w:rsidR="00BF4CFC" w:rsidRDefault="00BF4CFC" w:rsidP="00BF4CFC">
      <w:r w:rsidRPr="00BF4CFC">
        <w:t>Η δράση εντάσσεται στο Υποέργο 1 με τίτλο: Δημιουργία εθνικών ερευνητικών δικτύων στις αλυσίδες αξίας της «Ελιάς», του «Αμπελιού», του «Μελιού» και</w:t>
      </w:r>
      <w:r>
        <w:t xml:space="preserve"> της «Κτηνοτροφίας» </w:t>
      </w:r>
      <w:r w:rsidRPr="00D33C75">
        <w:t>του έργου με κωδ. αριθ. 2018ΣΕ01300000 του Εθνικού Σκέλους του ΠΔΕ της ΓΓΕΤ</w:t>
      </w:r>
      <w:r>
        <w:t xml:space="preserve">. </w:t>
      </w:r>
      <w:r w:rsidRPr="00D33C75">
        <w:t xml:space="preserve">Ο συνολικός προϋπολογισμός της δράσης ανέρχεται σε </w:t>
      </w:r>
      <w:r>
        <w:t>2</w:t>
      </w:r>
      <w:r w:rsidRPr="00D33C75">
        <w:t>.</w:t>
      </w:r>
      <w:r>
        <w:t>500</w:t>
      </w:r>
      <w:r w:rsidRPr="00D33C75">
        <w:t>.</w:t>
      </w:r>
      <w:r>
        <w:t>000 €.</w:t>
      </w:r>
    </w:p>
    <w:p w14:paraId="1132AA61" w14:textId="77777777" w:rsidR="00BF4CFC" w:rsidRDefault="00BF4CFC" w:rsidP="00BF4CFC">
      <w:r>
        <w:t>Εντός του 2019 αναμένεται η έκδοση π</w:t>
      </w:r>
      <w:r w:rsidRPr="00BF4CFC">
        <w:t>ρόσκληση</w:t>
      </w:r>
      <w:r>
        <w:t>ς</w:t>
      </w:r>
      <w:r w:rsidRPr="00BF4CFC">
        <w:t xml:space="preserve"> εκδήλωσης ενδιαφέροντος για τη δράση</w:t>
      </w:r>
      <w:r w:rsidR="00600820">
        <w:t>, από το Υπουργείο Παιδείας και Εθνικών Θρησκευμάτων.</w:t>
      </w:r>
      <w:r>
        <w:t xml:space="preserve"> </w:t>
      </w:r>
    </w:p>
    <w:p w14:paraId="5FBF1125" w14:textId="77777777" w:rsidR="004D30B3" w:rsidRDefault="004D30B3" w:rsidP="004D30B3">
      <w:pPr>
        <w:spacing w:after="120"/>
        <w:rPr>
          <w:b/>
          <w:szCs w:val="18"/>
        </w:rPr>
      </w:pPr>
      <w:r w:rsidRPr="004D30B3">
        <w:rPr>
          <w:b/>
          <w:szCs w:val="18"/>
        </w:rPr>
        <w:t>Εθνικό Δίκτυο Κλιματικής Αλλαγής, για τη μελέτη και την έγκυρη ενημέρωση στην αντιμετώπιση ακραίων φυσικών φαινομένων</w:t>
      </w:r>
    </w:p>
    <w:p w14:paraId="4001A457" w14:textId="77777777" w:rsidR="00651313" w:rsidRDefault="00651313" w:rsidP="00651313">
      <w:r>
        <w:t>Το «</w:t>
      </w:r>
      <w:r w:rsidRPr="00651313">
        <w:t>Εθνικό Δίκτυο Κλιματικής Αλλαγής</w:t>
      </w:r>
      <w:r>
        <w:t xml:space="preserve">» αφορά </w:t>
      </w:r>
      <w:r w:rsidR="006C35A7">
        <w:t>σε</w:t>
      </w:r>
      <w:r>
        <w:t xml:space="preserve"> πρωτοβουλία</w:t>
      </w:r>
      <w:r w:rsidR="006C35A7">
        <w:t>-</w:t>
      </w:r>
      <w:r w:rsidR="006C35A7" w:rsidRPr="006C35A7">
        <w:t xml:space="preserve"> </w:t>
      </w:r>
      <w:r w:rsidR="006C35A7" w:rsidRPr="00651313">
        <w:t>εμβληματική δράση</w:t>
      </w:r>
      <w:r>
        <w:t xml:space="preserve"> του τομέα Έρευνας και Καινοτομίας του ΥΠΠΕΘ σε συνεργασία με το Υπουργείο Αγροτικής Ανάπτυξης και Τροφίμων.</w:t>
      </w:r>
    </w:p>
    <w:p w14:paraId="1A0A66AA" w14:textId="77777777" w:rsidR="00614454" w:rsidRDefault="00614454" w:rsidP="00614454">
      <w:r>
        <w:t xml:space="preserve">Στο πλαίσιο της κλιματικής αλλαγής, προβλέπεται η δημιουργία </w:t>
      </w:r>
      <w:r w:rsidRPr="00614454">
        <w:t>Δικτύου για την παρακολούθηση της Κλιματικής Αλλαγής</w:t>
      </w:r>
      <w:r>
        <w:t xml:space="preserve"> και η </w:t>
      </w:r>
      <w:r w:rsidRPr="00614454">
        <w:t>ναυπήγηση ωκεανογραφικού ερευνητικού σκάφους</w:t>
      </w:r>
      <w:r>
        <w:t xml:space="preserve">, συνολικού προϋπολογισμού 64 εκ. €. Το εν λόγω Δίκτυο </w:t>
      </w:r>
      <w:r w:rsidRPr="006C35A7">
        <w:t>θα απαρτίζεται από ερευνητικούς και ακαδημαϊκούς φορείς της χώρας οι οποίοι ήδη διαθέτουν τον απαιτούμενο εξοπλισμό και κατέχουν τη σχετική τεχνογνωσία</w:t>
      </w:r>
      <w:r>
        <w:t xml:space="preserve">, </w:t>
      </w:r>
      <w:r w:rsidRPr="00651313">
        <w:t>με αιχμή το Αστεροσκοπείο Αθηνών</w:t>
      </w:r>
      <w:r>
        <w:t xml:space="preserve"> (ΕΑΑ).</w:t>
      </w:r>
    </w:p>
    <w:p w14:paraId="1C113F0F" w14:textId="77777777" w:rsidR="00651313" w:rsidRDefault="00651313" w:rsidP="00651313">
      <w:r>
        <w:lastRenderedPageBreak/>
        <w:t>Η εμβληματική αυτή δράση προσβλέπει στο συντονισμό σε πανελλαδική κλίμακα ενός δικτύου φορέων που θα αποτελέσει το κύριο συμβουλευτικό όργανο για την πολιτεία και τους πολίτες σε θέματα κλιματικής αλλαγής και των επιπτώσεων που σχετίζονται με αυτήν.</w:t>
      </w:r>
    </w:p>
    <w:p w14:paraId="5CACD7DF" w14:textId="77777777" w:rsidR="00651313" w:rsidRDefault="00651313" w:rsidP="00651313">
      <w:r>
        <w:t>Συντονιστής του δικτύου θα είναι το ΕΑΑ και ένας από τους βασικούς στόχους του είναι η ενοποίηση, ο εναρμονισμός και η βελτιστοποίηση των υφιστάμενων κλιματικών υπηρεσιών και συστημάτων έγκαιρης προειδοποίησης για έντονα φυσικά φαινόμενα και φυσικές καταστροφές στην Ελλάδα, συμπεριλαμβανομένων των υποστηρικτικών παρατηρήσεων και της ανάπτυξης εξειδικευμένων εργαλείων από τις σχετικές εθνικές υποδομές.</w:t>
      </w:r>
      <w:r w:rsidR="006C35A7">
        <w:t xml:space="preserve"> Επιπλέον, στους στόχους </w:t>
      </w:r>
      <w:r>
        <w:t xml:space="preserve">του ΕΑΑ </w:t>
      </w:r>
      <w:r w:rsidR="006C35A7">
        <w:t xml:space="preserve">περιλαμβάνεται </w:t>
      </w:r>
      <w:r>
        <w:t xml:space="preserve">είναι και η υλοποίηση δράσεων διάχυσης αλλά και ενημέρωσης και ευαισθητοποίησης του ευρύτερου κοινού για το φαινόμενο της κλιματικής </w:t>
      </w:r>
      <w:r w:rsidR="00B56EF7">
        <w:t>αλλαγής και των επιπτώσεών του.</w:t>
      </w:r>
    </w:p>
    <w:p w14:paraId="6DE27368" w14:textId="77777777" w:rsidR="003770DC" w:rsidRPr="00CD0CAF" w:rsidRDefault="003770DC" w:rsidP="003770DC">
      <w:pPr>
        <w:pStyle w:val="Heading3"/>
        <w:rPr>
          <w:rFonts w:eastAsia="Calibri"/>
        </w:rPr>
      </w:pPr>
      <w:bookmarkStart w:id="18" w:name="_Toc22645407"/>
      <w:r>
        <w:rPr>
          <w:rFonts w:eastAsia="Calibri"/>
        </w:rPr>
        <w:t>Δ</w:t>
      </w:r>
      <w:r w:rsidRPr="00CD0CAF">
        <w:rPr>
          <w:rFonts w:eastAsia="Calibri"/>
        </w:rPr>
        <w:t>ράσεις ΕΛΙΔΕΚ</w:t>
      </w:r>
      <w:bookmarkEnd w:id="18"/>
    </w:p>
    <w:p w14:paraId="23723E1D" w14:textId="77777777" w:rsidR="003770DC" w:rsidRPr="001D47E9" w:rsidRDefault="003770DC" w:rsidP="001D47E9">
      <w:pPr>
        <w:spacing w:after="120"/>
        <w:rPr>
          <w:b/>
          <w:szCs w:val="18"/>
        </w:rPr>
      </w:pPr>
      <w:r w:rsidRPr="001D47E9">
        <w:rPr>
          <w:b/>
          <w:szCs w:val="18"/>
        </w:rPr>
        <w:t>1</w:t>
      </w:r>
      <w:r w:rsidRPr="001D47E9">
        <w:rPr>
          <w:b/>
          <w:szCs w:val="18"/>
          <w:vertAlign w:val="superscript"/>
        </w:rPr>
        <w:t>η</w:t>
      </w:r>
      <w:r w:rsidRPr="001D47E9">
        <w:rPr>
          <w:b/>
          <w:szCs w:val="18"/>
        </w:rPr>
        <w:t xml:space="preserve"> Δράση ΕΛΙΔΕΚ: Προκήρυξη υποτροφιών για υποψήφιους διδάκτορες</w:t>
      </w:r>
    </w:p>
    <w:p w14:paraId="2DD37195" w14:textId="77777777" w:rsidR="00A56E01" w:rsidRPr="00040A3A" w:rsidRDefault="00A56E01" w:rsidP="00A56E01">
      <w:pPr>
        <w:rPr>
          <w:szCs w:val="18"/>
        </w:rPr>
      </w:pPr>
      <w:r w:rsidRPr="00040A3A">
        <w:rPr>
          <w:szCs w:val="18"/>
        </w:rPr>
        <w:t>Η δράση προκηρύχθηκε τον Οκτώβριο του 2016. Αποτελεί την πρώτη δράση του ΕΛΙΔΕΚ και αποσκοπεί στη χρηματοδότηση Υποψηφίων Διδακτόρων για την εκπόνηση της Διδακτορικής τους διατριβής σε Ανώτατα Εκπαιδευτικά Ιδρύματα (ΑΕΙ) ή/και σε Ερευνητικά Κέντρα συνεργαζόμενα με ΑΕΙ, στην Ελλάδα. Αίτηση για χρηματοδότηση είχαν το δικαίωμα να υποβάλουν και υποψήφιοι διδάκτορες οι οποίοι εκπονούν ήδη τη διδακτορική διατριβή τους σε Α.Ε.Ι. της ημεδαπής ή της αλλοδαπής.</w:t>
      </w:r>
    </w:p>
    <w:p w14:paraId="23B92EFB" w14:textId="77777777" w:rsidR="00A56E01" w:rsidRPr="00040A3A" w:rsidRDefault="00A56E01" w:rsidP="00A56E01">
      <w:pPr>
        <w:rPr>
          <w:szCs w:val="18"/>
        </w:rPr>
      </w:pPr>
      <w:r w:rsidRPr="00040A3A">
        <w:rPr>
          <w:szCs w:val="18"/>
        </w:rPr>
        <w:t>Το μηνιαίο ύψος της υποτροφίας του υποψήφιου διδάκτορα ανέρχεται σε 900 €, ενώ η διάρκεια της χρηματοδότησης είναι έως 3 έτη. Η συνολική δημόσια δαπάνη της Πρόκλησ</w:t>
      </w:r>
      <w:r>
        <w:rPr>
          <w:szCs w:val="18"/>
        </w:rPr>
        <w:t>η</w:t>
      </w:r>
      <w:r w:rsidRPr="00040A3A">
        <w:rPr>
          <w:szCs w:val="18"/>
        </w:rPr>
        <w:t>ς ανήλθε στα 8.500.000 € και χρηματοδοτείται σύμφωνα με την υπογραφείσα δανειακή σύμβαση μεταξύ του Ελληνικού Δημοσίου και της Ευρωπαϊκής Τράπεζας Επενδύσεων.</w:t>
      </w:r>
    </w:p>
    <w:p w14:paraId="124C2276" w14:textId="77777777" w:rsidR="00A56E01" w:rsidRDefault="00A56E01" w:rsidP="00A56E01">
      <w:pPr>
        <w:rPr>
          <w:szCs w:val="18"/>
        </w:rPr>
      </w:pPr>
      <w:r w:rsidRPr="00040A3A">
        <w:rPr>
          <w:szCs w:val="18"/>
        </w:rPr>
        <w:t>Σύμφωνα με τα διαθέσιμα στοιχεία εγκρίθηκαν συνολικά 582 έργα συνολικού προϋπολογισμού 12,14 εκατ. €. δηλαδή κατά 43% περισσότερο του προϋπολογισμού της Πρόσκλησης. Οι αιτήσεις κατατάχθηκαν κατ’ επιλογή του υποβάλλοντος την αίτηση σε μια ή περισσότερες από τις τέσσερεις (4) ευρείες επιστημονικές περιοχές. Τα στοιχεία προϋπολογισμού των εγκεκριμένων έργων παρουσιάζονται στην πίνακα που ακολουθεί:</w:t>
      </w:r>
    </w:p>
    <w:p w14:paraId="2A13106D" w14:textId="642ADC38" w:rsidR="003770DC" w:rsidRPr="00370C56" w:rsidRDefault="00305C7F" w:rsidP="00305C7F">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E76FBF">
        <w:t>27</w:t>
      </w:r>
      <w:r w:rsidR="00C17BF2">
        <w:t>:</w:t>
      </w:r>
      <w:r>
        <w:t xml:space="preserve"> </w:t>
      </w:r>
      <w:r w:rsidR="003770DC" w:rsidRPr="00370C56">
        <w:t>Στοιχεία προϋπολογισμού εγκεκριμένων έργων στο πλαίσιο της Προκήρυξης της δράσης του ΕΛΙΔΕΚ για τη χρηματοδότηση υποτροφιών σε υποψήφιους διδάκτορες</w:t>
      </w:r>
    </w:p>
    <w:tbl>
      <w:tblPr>
        <w:tblStyle w:val="TableGrid1"/>
        <w:tblW w:w="9443"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977"/>
        <w:gridCol w:w="4688"/>
        <w:gridCol w:w="993"/>
        <w:gridCol w:w="2785"/>
      </w:tblGrid>
      <w:tr w:rsidR="003770DC" w:rsidRPr="00C33E1A" w14:paraId="63CFC83C" w14:textId="77777777" w:rsidTr="003E7153">
        <w:trPr>
          <w:trHeight w:val="900"/>
        </w:trPr>
        <w:tc>
          <w:tcPr>
            <w:tcW w:w="977" w:type="dxa"/>
            <w:shd w:val="clear" w:color="auto" w:fill="800000"/>
            <w:vAlign w:val="center"/>
            <w:hideMark/>
          </w:tcPr>
          <w:p w14:paraId="3869F7F2" w14:textId="77777777" w:rsidR="003770DC" w:rsidRPr="00C33E1A" w:rsidRDefault="003770DC" w:rsidP="003E7153">
            <w:pPr>
              <w:jc w:val="center"/>
              <w:rPr>
                <w:b/>
                <w:bCs/>
                <w:color w:val="FFFFFF"/>
                <w:sz w:val="16"/>
                <w:szCs w:val="16"/>
              </w:rPr>
            </w:pPr>
            <w:r w:rsidRPr="00C33E1A">
              <w:rPr>
                <w:b/>
                <w:bCs/>
                <w:color w:val="FFFFFF"/>
                <w:sz w:val="16"/>
                <w:szCs w:val="16"/>
              </w:rPr>
              <w:t>Ε.Π.</w:t>
            </w:r>
          </w:p>
        </w:tc>
        <w:tc>
          <w:tcPr>
            <w:tcW w:w="4688" w:type="dxa"/>
            <w:shd w:val="clear" w:color="auto" w:fill="800000"/>
            <w:vAlign w:val="center"/>
            <w:hideMark/>
          </w:tcPr>
          <w:p w14:paraId="5459CA4A" w14:textId="77777777" w:rsidR="003770DC" w:rsidRPr="00C33E1A" w:rsidRDefault="003770DC" w:rsidP="003E7153">
            <w:pPr>
              <w:jc w:val="center"/>
              <w:rPr>
                <w:b/>
                <w:bCs/>
                <w:color w:val="FFFFFF"/>
                <w:sz w:val="16"/>
                <w:szCs w:val="16"/>
              </w:rPr>
            </w:pPr>
            <w:r>
              <w:rPr>
                <w:b/>
                <w:bCs/>
                <w:color w:val="FFFFFF"/>
                <w:sz w:val="16"/>
                <w:szCs w:val="16"/>
              </w:rPr>
              <w:t>Επιστημονικές Περιοχές</w:t>
            </w:r>
          </w:p>
        </w:tc>
        <w:tc>
          <w:tcPr>
            <w:tcW w:w="993" w:type="dxa"/>
            <w:shd w:val="clear" w:color="auto" w:fill="800000"/>
            <w:vAlign w:val="center"/>
            <w:hideMark/>
          </w:tcPr>
          <w:p w14:paraId="13B26EBF" w14:textId="77777777" w:rsidR="003770DC" w:rsidRPr="00C33E1A" w:rsidRDefault="003770DC" w:rsidP="003E7153">
            <w:pPr>
              <w:jc w:val="center"/>
              <w:rPr>
                <w:b/>
                <w:bCs/>
                <w:color w:val="FFFFFF"/>
                <w:sz w:val="16"/>
                <w:szCs w:val="16"/>
              </w:rPr>
            </w:pPr>
            <w:r>
              <w:rPr>
                <w:b/>
                <w:bCs/>
                <w:color w:val="FFFFFF"/>
                <w:sz w:val="16"/>
                <w:szCs w:val="16"/>
              </w:rPr>
              <w:t>Αριθμός Υποτροφιών</w:t>
            </w:r>
          </w:p>
        </w:tc>
        <w:tc>
          <w:tcPr>
            <w:tcW w:w="2785" w:type="dxa"/>
            <w:shd w:val="clear" w:color="auto" w:fill="800000"/>
            <w:vAlign w:val="center"/>
            <w:hideMark/>
          </w:tcPr>
          <w:p w14:paraId="3F4F6483" w14:textId="77777777" w:rsidR="003770DC" w:rsidRPr="00C33E1A" w:rsidRDefault="003770DC" w:rsidP="003E7153">
            <w:pPr>
              <w:jc w:val="center"/>
              <w:rPr>
                <w:b/>
                <w:bCs/>
                <w:color w:val="FFFFFF"/>
                <w:sz w:val="16"/>
                <w:szCs w:val="16"/>
              </w:rPr>
            </w:pPr>
            <w:r>
              <w:rPr>
                <w:b/>
                <w:bCs/>
                <w:color w:val="FFFFFF"/>
                <w:sz w:val="16"/>
                <w:szCs w:val="16"/>
              </w:rPr>
              <w:t xml:space="preserve">Προϋπολογισμός ανά Επιστημονική Περιοχή </w:t>
            </w:r>
            <w:r w:rsidRPr="00C33E1A">
              <w:rPr>
                <w:b/>
                <w:bCs/>
                <w:color w:val="FFFFFF"/>
                <w:sz w:val="16"/>
                <w:szCs w:val="16"/>
              </w:rPr>
              <w:t>(με πρόβλεψη 5μηνης παράτασης)</w:t>
            </w:r>
          </w:p>
        </w:tc>
      </w:tr>
      <w:tr w:rsidR="003770DC" w:rsidRPr="00C33E1A" w14:paraId="257EAED3" w14:textId="77777777" w:rsidTr="003E7153">
        <w:trPr>
          <w:trHeight w:val="450"/>
        </w:trPr>
        <w:tc>
          <w:tcPr>
            <w:tcW w:w="977" w:type="dxa"/>
            <w:noWrap/>
            <w:hideMark/>
          </w:tcPr>
          <w:p w14:paraId="35418D0D" w14:textId="77777777" w:rsidR="003770DC" w:rsidRPr="00C33E1A" w:rsidRDefault="003770DC" w:rsidP="005F5D19">
            <w:pPr>
              <w:jc w:val="center"/>
              <w:rPr>
                <w:color w:val="000000"/>
                <w:sz w:val="16"/>
                <w:szCs w:val="16"/>
              </w:rPr>
            </w:pPr>
            <w:r w:rsidRPr="00C33E1A">
              <w:rPr>
                <w:color w:val="000000"/>
                <w:sz w:val="16"/>
                <w:szCs w:val="16"/>
              </w:rPr>
              <w:t>Α.</w:t>
            </w:r>
          </w:p>
        </w:tc>
        <w:tc>
          <w:tcPr>
            <w:tcW w:w="4688" w:type="dxa"/>
            <w:noWrap/>
            <w:hideMark/>
          </w:tcPr>
          <w:p w14:paraId="2ECCEABD" w14:textId="77777777" w:rsidR="003770DC" w:rsidRPr="00C33E1A" w:rsidRDefault="003770DC" w:rsidP="005F5D19">
            <w:pPr>
              <w:rPr>
                <w:color w:val="000000"/>
                <w:sz w:val="16"/>
                <w:szCs w:val="16"/>
              </w:rPr>
            </w:pPr>
            <w:r w:rsidRPr="00C33E1A">
              <w:rPr>
                <w:color w:val="000000"/>
                <w:sz w:val="16"/>
                <w:szCs w:val="16"/>
              </w:rPr>
              <w:t>Φυσικές Επιστήμες</w:t>
            </w:r>
          </w:p>
        </w:tc>
        <w:tc>
          <w:tcPr>
            <w:tcW w:w="993" w:type="dxa"/>
            <w:noWrap/>
            <w:hideMark/>
          </w:tcPr>
          <w:p w14:paraId="06562549" w14:textId="77777777" w:rsidR="003770DC" w:rsidRPr="00C33E1A" w:rsidRDefault="003770DC" w:rsidP="005F5D19">
            <w:pPr>
              <w:jc w:val="center"/>
              <w:rPr>
                <w:color w:val="000000"/>
                <w:sz w:val="16"/>
                <w:szCs w:val="16"/>
              </w:rPr>
            </w:pPr>
            <w:r w:rsidRPr="00C33E1A">
              <w:rPr>
                <w:color w:val="000000"/>
                <w:sz w:val="16"/>
                <w:szCs w:val="16"/>
              </w:rPr>
              <w:t>147</w:t>
            </w:r>
          </w:p>
        </w:tc>
        <w:tc>
          <w:tcPr>
            <w:tcW w:w="2785" w:type="dxa"/>
            <w:noWrap/>
            <w:hideMark/>
          </w:tcPr>
          <w:p w14:paraId="31E12615" w14:textId="77777777" w:rsidR="003770DC" w:rsidRPr="00C33E1A" w:rsidRDefault="003770DC" w:rsidP="005F5D19">
            <w:pPr>
              <w:jc w:val="center"/>
              <w:rPr>
                <w:color w:val="000000"/>
                <w:sz w:val="16"/>
                <w:szCs w:val="16"/>
              </w:rPr>
            </w:pPr>
            <w:r w:rsidRPr="00C33E1A">
              <w:rPr>
                <w:color w:val="000000"/>
                <w:sz w:val="16"/>
                <w:szCs w:val="16"/>
              </w:rPr>
              <w:t>3.015.000,00 €</w:t>
            </w:r>
          </w:p>
        </w:tc>
      </w:tr>
      <w:tr w:rsidR="003770DC" w:rsidRPr="00C33E1A" w14:paraId="26D3685E" w14:textId="77777777" w:rsidTr="003E7153">
        <w:trPr>
          <w:trHeight w:val="375"/>
        </w:trPr>
        <w:tc>
          <w:tcPr>
            <w:tcW w:w="977" w:type="dxa"/>
            <w:noWrap/>
            <w:hideMark/>
          </w:tcPr>
          <w:p w14:paraId="08059B2A" w14:textId="77777777" w:rsidR="003770DC" w:rsidRPr="00C33E1A" w:rsidRDefault="003770DC" w:rsidP="005F5D19">
            <w:pPr>
              <w:jc w:val="center"/>
              <w:rPr>
                <w:color w:val="000000"/>
                <w:sz w:val="16"/>
                <w:szCs w:val="16"/>
              </w:rPr>
            </w:pPr>
            <w:r w:rsidRPr="00C33E1A">
              <w:rPr>
                <w:color w:val="000000"/>
                <w:sz w:val="16"/>
                <w:szCs w:val="16"/>
              </w:rPr>
              <w:t>Β.</w:t>
            </w:r>
          </w:p>
        </w:tc>
        <w:tc>
          <w:tcPr>
            <w:tcW w:w="4688" w:type="dxa"/>
            <w:noWrap/>
            <w:hideMark/>
          </w:tcPr>
          <w:p w14:paraId="5A1E4ACF" w14:textId="77777777" w:rsidR="003770DC" w:rsidRPr="00C33E1A" w:rsidRDefault="003770DC" w:rsidP="005F5D19">
            <w:pPr>
              <w:rPr>
                <w:color w:val="000000"/>
                <w:sz w:val="16"/>
                <w:szCs w:val="16"/>
              </w:rPr>
            </w:pPr>
            <w:r w:rsidRPr="00C33E1A">
              <w:rPr>
                <w:color w:val="000000"/>
                <w:sz w:val="16"/>
                <w:szCs w:val="16"/>
              </w:rPr>
              <w:t>Επιστήμες Μηχανικού και Τεχνολογικές Επιστήμες</w:t>
            </w:r>
          </w:p>
        </w:tc>
        <w:tc>
          <w:tcPr>
            <w:tcW w:w="993" w:type="dxa"/>
            <w:noWrap/>
            <w:hideMark/>
          </w:tcPr>
          <w:p w14:paraId="5728DC03" w14:textId="77777777" w:rsidR="003770DC" w:rsidRPr="00C33E1A" w:rsidRDefault="003770DC" w:rsidP="005F5D19">
            <w:pPr>
              <w:jc w:val="center"/>
              <w:rPr>
                <w:color w:val="000000"/>
                <w:sz w:val="16"/>
                <w:szCs w:val="16"/>
              </w:rPr>
            </w:pPr>
            <w:r w:rsidRPr="00C33E1A">
              <w:rPr>
                <w:color w:val="000000"/>
                <w:sz w:val="16"/>
                <w:szCs w:val="16"/>
              </w:rPr>
              <w:t>130</w:t>
            </w:r>
          </w:p>
        </w:tc>
        <w:tc>
          <w:tcPr>
            <w:tcW w:w="2785" w:type="dxa"/>
            <w:noWrap/>
            <w:hideMark/>
          </w:tcPr>
          <w:p w14:paraId="558D3FBF" w14:textId="77777777" w:rsidR="003770DC" w:rsidRPr="00C33E1A" w:rsidRDefault="003770DC" w:rsidP="005F5D19">
            <w:pPr>
              <w:jc w:val="center"/>
              <w:rPr>
                <w:color w:val="000000"/>
                <w:sz w:val="16"/>
                <w:szCs w:val="16"/>
              </w:rPr>
            </w:pPr>
            <w:r w:rsidRPr="00C33E1A">
              <w:rPr>
                <w:color w:val="000000"/>
                <w:sz w:val="16"/>
                <w:szCs w:val="16"/>
              </w:rPr>
              <w:t>2.812.890,00 €</w:t>
            </w:r>
          </w:p>
        </w:tc>
      </w:tr>
      <w:tr w:rsidR="003770DC" w:rsidRPr="00C33E1A" w14:paraId="40E5458B" w14:textId="77777777" w:rsidTr="003E7153">
        <w:trPr>
          <w:trHeight w:val="420"/>
        </w:trPr>
        <w:tc>
          <w:tcPr>
            <w:tcW w:w="977" w:type="dxa"/>
            <w:noWrap/>
            <w:hideMark/>
          </w:tcPr>
          <w:p w14:paraId="175799CB" w14:textId="77777777" w:rsidR="003770DC" w:rsidRPr="00C33E1A" w:rsidRDefault="003770DC" w:rsidP="005F5D19">
            <w:pPr>
              <w:jc w:val="center"/>
              <w:rPr>
                <w:color w:val="000000"/>
                <w:sz w:val="16"/>
                <w:szCs w:val="16"/>
              </w:rPr>
            </w:pPr>
            <w:r w:rsidRPr="00C33E1A">
              <w:rPr>
                <w:color w:val="000000"/>
                <w:sz w:val="16"/>
                <w:szCs w:val="16"/>
              </w:rPr>
              <w:t>Γ.</w:t>
            </w:r>
          </w:p>
        </w:tc>
        <w:tc>
          <w:tcPr>
            <w:tcW w:w="4688" w:type="dxa"/>
            <w:noWrap/>
            <w:hideMark/>
          </w:tcPr>
          <w:p w14:paraId="16B3CAB4" w14:textId="77777777" w:rsidR="003770DC" w:rsidRPr="00C33E1A" w:rsidRDefault="003770DC" w:rsidP="005F5D19">
            <w:pPr>
              <w:rPr>
                <w:color w:val="000000"/>
                <w:sz w:val="16"/>
                <w:szCs w:val="16"/>
              </w:rPr>
            </w:pPr>
            <w:r w:rsidRPr="00C33E1A">
              <w:rPr>
                <w:color w:val="000000"/>
                <w:sz w:val="16"/>
                <w:szCs w:val="16"/>
              </w:rPr>
              <w:t>Επιστήμες Ζωής</w:t>
            </w:r>
          </w:p>
        </w:tc>
        <w:tc>
          <w:tcPr>
            <w:tcW w:w="993" w:type="dxa"/>
            <w:noWrap/>
            <w:hideMark/>
          </w:tcPr>
          <w:p w14:paraId="0A741996" w14:textId="77777777" w:rsidR="003770DC" w:rsidRPr="00C33E1A" w:rsidRDefault="003770DC" w:rsidP="005F5D19">
            <w:pPr>
              <w:jc w:val="center"/>
              <w:rPr>
                <w:color w:val="000000"/>
                <w:sz w:val="16"/>
                <w:szCs w:val="16"/>
              </w:rPr>
            </w:pPr>
            <w:r w:rsidRPr="00C33E1A">
              <w:rPr>
                <w:color w:val="000000"/>
                <w:sz w:val="16"/>
                <w:szCs w:val="16"/>
              </w:rPr>
              <w:t>140</w:t>
            </w:r>
          </w:p>
        </w:tc>
        <w:tc>
          <w:tcPr>
            <w:tcW w:w="2785" w:type="dxa"/>
            <w:noWrap/>
            <w:hideMark/>
          </w:tcPr>
          <w:p w14:paraId="230639D4" w14:textId="77777777" w:rsidR="003770DC" w:rsidRPr="00C33E1A" w:rsidRDefault="003770DC" w:rsidP="005F5D19">
            <w:pPr>
              <w:jc w:val="center"/>
              <w:rPr>
                <w:color w:val="000000"/>
                <w:sz w:val="16"/>
                <w:szCs w:val="16"/>
              </w:rPr>
            </w:pPr>
            <w:r w:rsidRPr="00C33E1A">
              <w:rPr>
                <w:color w:val="000000"/>
                <w:sz w:val="16"/>
                <w:szCs w:val="16"/>
              </w:rPr>
              <w:t>2.799.450,00 €</w:t>
            </w:r>
          </w:p>
        </w:tc>
      </w:tr>
      <w:tr w:rsidR="003770DC" w:rsidRPr="00C33E1A" w14:paraId="70CD7F9E" w14:textId="77777777" w:rsidTr="003E7153">
        <w:trPr>
          <w:trHeight w:val="420"/>
        </w:trPr>
        <w:tc>
          <w:tcPr>
            <w:tcW w:w="977" w:type="dxa"/>
            <w:noWrap/>
            <w:hideMark/>
          </w:tcPr>
          <w:p w14:paraId="36A9C2EF" w14:textId="77777777" w:rsidR="003770DC" w:rsidRPr="00C33E1A" w:rsidRDefault="003770DC" w:rsidP="005F5D19">
            <w:pPr>
              <w:jc w:val="center"/>
              <w:rPr>
                <w:color w:val="000000"/>
                <w:sz w:val="16"/>
                <w:szCs w:val="16"/>
              </w:rPr>
            </w:pPr>
            <w:r w:rsidRPr="00C33E1A">
              <w:rPr>
                <w:color w:val="000000"/>
                <w:sz w:val="16"/>
                <w:szCs w:val="16"/>
              </w:rPr>
              <w:t>Δ.</w:t>
            </w:r>
          </w:p>
        </w:tc>
        <w:tc>
          <w:tcPr>
            <w:tcW w:w="4688" w:type="dxa"/>
            <w:noWrap/>
            <w:hideMark/>
          </w:tcPr>
          <w:p w14:paraId="29A811B5" w14:textId="77777777" w:rsidR="003770DC" w:rsidRPr="00C33E1A" w:rsidRDefault="003770DC" w:rsidP="005F5D19">
            <w:pPr>
              <w:rPr>
                <w:color w:val="000000"/>
                <w:sz w:val="16"/>
                <w:szCs w:val="16"/>
              </w:rPr>
            </w:pPr>
            <w:r w:rsidRPr="00C33E1A">
              <w:rPr>
                <w:color w:val="000000"/>
                <w:sz w:val="16"/>
                <w:szCs w:val="16"/>
              </w:rPr>
              <w:t>Κοινωνικές Επιστήμες, Ανθρωπιστικές Επιστήμες και Τέχνες</w:t>
            </w:r>
          </w:p>
        </w:tc>
        <w:tc>
          <w:tcPr>
            <w:tcW w:w="993" w:type="dxa"/>
            <w:noWrap/>
            <w:hideMark/>
          </w:tcPr>
          <w:p w14:paraId="2FBC2027" w14:textId="77777777" w:rsidR="003770DC" w:rsidRPr="00C33E1A" w:rsidRDefault="003770DC" w:rsidP="005F5D19">
            <w:pPr>
              <w:jc w:val="center"/>
              <w:rPr>
                <w:color w:val="000000"/>
                <w:sz w:val="16"/>
                <w:szCs w:val="16"/>
              </w:rPr>
            </w:pPr>
            <w:r w:rsidRPr="00C33E1A">
              <w:rPr>
                <w:color w:val="000000"/>
                <w:sz w:val="16"/>
                <w:szCs w:val="16"/>
              </w:rPr>
              <w:t>165</w:t>
            </w:r>
          </w:p>
        </w:tc>
        <w:tc>
          <w:tcPr>
            <w:tcW w:w="2785" w:type="dxa"/>
            <w:noWrap/>
            <w:hideMark/>
          </w:tcPr>
          <w:p w14:paraId="5F2A3203" w14:textId="77777777" w:rsidR="003770DC" w:rsidRPr="00C33E1A" w:rsidRDefault="003770DC" w:rsidP="005F5D19">
            <w:pPr>
              <w:jc w:val="center"/>
              <w:rPr>
                <w:color w:val="000000"/>
                <w:sz w:val="16"/>
                <w:szCs w:val="16"/>
              </w:rPr>
            </w:pPr>
            <w:r w:rsidRPr="00C33E1A">
              <w:rPr>
                <w:color w:val="000000"/>
                <w:sz w:val="16"/>
                <w:szCs w:val="16"/>
              </w:rPr>
              <w:t>3.518.580,00 €</w:t>
            </w:r>
          </w:p>
        </w:tc>
      </w:tr>
      <w:tr w:rsidR="003770DC" w:rsidRPr="00C33E1A" w14:paraId="651A93BC" w14:textId="77777777" w:rsidTr="003E7153">
        <w:trPr>
          <w:trHeight w:val="416"/>
        </w:trPr>
        <w:tc>
          <w:tcPr>
            <w:tcW w:w="5665" w:type="dxa"/>
            <w:gridSpan w:val="2"/>
            <w:noWrap/>
            <w:hideMark/>
          </w:tcPr>
          <w:p w14:paraId="16A5CB22" w14:textId="77777777" w:rsidR="003770DC" w:rsidRPr="00C33E1A" w:rsidRDefault="003770DC" w:rsidP="005F5D19">
            <w:pPr>
              <w:rPr>
                <w:b/>
                <w:bCs/>
                <w:color w:val="000000"/>
                <w:sz w:val="16"/>
                <w:szCs w:val="16"/>
              </w:rPr>
            </w:pPr>
            <w:r w:rsidRPr="00C33E1A">
              <w:rPr>
                <w:b/>
                <w:bCs/>
                <w:color w:val="000000"/>
                <w:sz w:val="16"/>
                <w:szCs w:val="16"/>
              </w:rPr>
              <w:t>ΓΕΝΙΚΟ ΣΥΝΟΛΟ</w:t>
            </w:r>
          </w:p>
        </w:tc>
        <w:tc>
          <w:tcPr>
            <w:tcW w:w="993" w:type="dxa"/>
            <w:noWrap/>
            <w:hideMark/>
          </w:tcPr>
          <w:p w14:paraId="716E9F35" w14:textId="77777777" w:rsidR="003770DC" w:rsidRPr="00C33E1A" w:rsidRDefault="003770DC" w:rsidP="005F5D19">
            <w:pPr>
              <w:jc w:val="center"/>
              <w:rPr>
                <w:b/>
                <w:bCs/>
                <w:color w:val="000000"/>
                <w:sz w:val="16"/>
                <w:szCs w:val="16"/>
              </w:rPr>
            </w:pPr>
            <w:r w:rsidRPr="00C33E1A">
              <w:rPr>
                <w:b/>
                <w:bCs/>
                <w:color w:val="000000"/>
                <w:sz w:val="16"/>
                <w:szCs w:val="16"/>
              </w:rPr>
              <w:t>582</w:t>
            </w:r>
          </w:p>
        </w:tc>
        <w:tc>
          <w:tcPr>
            <w:tcW w:w="2785" w:type="dxa"/>
            <w:noWrap/>
            <w:hideMark/>
          </w:tcPr>
          <w:p w14:paraId="3BDE9583" w14:textId="77777777" w:rsidR="003770DC" w:rsidRPr="00C33E1A" w:rsidRDefault="003770DC" w:rsidP="005F5D19">
            <w:pPr>
              <w:jc w:val="center"/>
              <w:rPr>
                <w:b/>
                <w:bCs/>
                <w:color w:val="000000"/>
                <w:sz w:val="16"/>
                <w:szCs w:val="16"/>
              </w:rPr>
            </w:pPr>
            <w:r w:rsidRPr="00C33E1A">
              <w:rPr>
                <w:b/>
                <w:bCs/>
                <w:color w:val="000000"/>
                <w:sz w:val="16"/>
                <w:szCs w:val="16"/>
              </w:rPr>
              <w:t>12.145.920,00 €</w:t>
            </w:r>
          </w:p>
        </w:tc>
      </w:tr>
    </w:tbl>
    <w:p w14:paraId="416099ED" w14:textId="7D727ABD" w:rsidR="003770DC" w:rsidRPr="001D47E9" w:rsidRDefault="003770DC" w:rsidP="001D47E9">
      <w:pPr>
        <w:spacing w:after="120"/>
        <w:rPr>
          <w:b/>
          <w:szCs w:val="18"/>
        </w:rPr>
      </w:pPr>
      <w:r w:rsidRPr="001D47E9">
        <w:rPr>
          <w:b/>
          <w:szCs w:val="18"/>
        </w:rPr>
        <w:t>2</w:t>
      </w:r>
      <w:r w:rsidRPr="00A56E01">
        <w:rPr>
          <w:b/>
          <w:szCs w:val="18"/>
          <w:vertAlign w:val="superscript"/>
        </w:rPr>
        <w:t>η</w:t>
      </w:r>
      <w:r w:rsidR="00A56E01">
        <w:rPr>
          <w:b/>
          <w:szCs w:val="18"/>
        </w:rPr>
        <w:t xml:space="preserve"> </w:t>
      </w:r>
      <w:r w:rsidRPr="001D47E9">
        <w:rPr>
          <w:b/>
          <w:szCs w:val="18"/>
        </w:rPr>
        <w:t xml:space="preserve">Δράση ΕΛΙΔΕΚ: Προκήρυξη ερευνητικών έργων για την ενίσχυση Μεταδιδακτόρων Ερευνητών/τριών </w:t>
      </w:r>
    </w:p>
    <w:p w14:paraId="31FDE23B" w14:textId="77777777" w:rsidR="003770DC" w:rsidRPr="00C33E1A" w:rsidRDefault="003770DC" w:rsidP="003770DC">
      <w:pPr>
        <w:rPr>
          <w:szCs w:val="18"/>
        </w:rPr>
      </w:pPr>
      <w:r w:rsidRPr="00C33E1A">
        <w:rPr>
          <w:szCs w:val="18"/>
        </w:rPr>
        <w:t>Η Πρόσκληση δημοσιεύθηκε τον Ιανουάριο του 2017 με συνολικό προϋπολογισμό (δημόσιας δαπάνης) ύψο</w:t>
      </w:r>
      <w:r w:rsidR="001D47E9">
        <w:rPr>
          <w:szCs w:val="18"/>
        </w:rPr>
        <w:t>υ</w:t>
      </w:r>
      <w:r w:rsidRPr="00C33E1A">
        <w:rPr>
          <w:szCs w:val="18"/>
        </w:rPr>
        <w:t xml:space="preserve">ς 9 εκατ. €. Αφορά στην υποστήριξη της υλοποίησης επιλεγμένων ερευνητικών έργων υψηλής επιστημονικής ποιότητας στα οποία επιστημονικοί υπεύθυνοι είναι Μεταδιδάκτορες Ερευνητές (ΜΕ). Στο πλαίσιο αυτό, δίνεται η δυνατότητα στους ΜΕ να διαμορφώσουν την δική τους ερευνητική ομάδα και να κατευθύνουν την υλοποίηση του έργου που θα αναλάβουν, ως επιστημονικοί Υπεύθυνοι. Τα ερευνητικά έργα των ΜΕ </w:t>
      </w:r>
      <w:r w:rsidR="001D47E9">
        <w:rPr>
          <w:szCs w:val="18"/>
        </w:rPr>
        <w:t>υλοποιούνται</w:t>
      </w:r>
      <w:r w:rsidRPr="00C33E1A">
        <w:rPr>
          <w:szCs w:val="18"/>
        </w:rPr>
        <w:t xml:space="preserve"> σε Πανεπιστήμια, ΤΕΙ και Ερευνητικά Κέντρα της χώρας, εμπλουτίζοντας τις ερευνητικές δραστηριότητες που διεξάγονται σε αυτά. </w:t>
      </w:r>
    </w:p>
    <w:p w14:paraId="73DCAFB2" w14:textId="77777777" w:rsidR="003770DC" w:rsidRPr="00C33E1A" w:rsidRDefault="003770DC" w:rsidP="003770DC">
      <w:pPr>
        <w:rPr>
          <w:szCs w:val="18"/>
        </w:rPr>
      </w:pPr>
      <w:r w:rsidRPr="00C33E1A">
        <w:rPr>
          <w:szCs w:val="18"/>
        </w:rPr>
        <w:t xml:space="preserve">Η διάρκεια των ερευνητικών έργων (υποτροφίες) είναι από 24 έως 36 μήνες, ενώ το ανώτατο όριο χρηματοδότησης </w:t>
      </w:r>
      <w:r w:rsidR="00A94BA9">
        <w:rPr>
          <w:szCs w:val="18"/>
        </w:rPr>
        <w:t xml:space="preserve">για </w:t>
      </w:r>
      <w:r w:rsidRPr="00C33E1A">
        <w:rPr>
          <w:szCs w:val="18"/>
        </w:rPr>
        <w:t xml:space="preserve">κάθε ερευνητικό έργο είναι τα 200.000€ (που αυξάνεται έως τα 450.000€ όταν πρόκειται </w:t>
      </w:r>
      <w:r w:rsidRPr="00C33E1A">
        <w:rPr>
          <w:szCs w:val="18"/>
        </w:rPr>
        <w:lastRenderedPageBreak/>
        <w:t>για συνεργασία μεταξύ 3 ΜΕ).  Κάθε έργο υλοποιείται σε Φορέα Υποδοχής ο οποίος είναι Α.Ε.Ι. (Πανεπιστήμιο ή ΤΕΙ) ή Ερευνητικό Κέντρο της χώρας και θα επιλέγεται από τον ΜΕ.</w:t>
      </w:r>
    </w:p>
    <w:p w14:paraId="744D3DB1" w14:textId="77777777" w:rsidR="003770DC" w:rsidRDefault="003770DC" w:rsidP="003770DC">
      <w:pPr>
        <w:rPr>
          <w:szCs w:val="18"/>
        </w:rPr>
      </w:pPr>
      <w:r w:rsidRPr="00C33E1A">
        <w:rPr>
          <w:szCs w:val="18"/>
        </w:rPr>
        <w:t>Σύμφωνα με τα διαθέσιμα στοιχεία εγκρίθηκαν συνολικά 186 έργα (ερευνητικά σχέδια) συνολικού προϋπολογισμού 33,62 εκατ. €. δηλαδή κατά πολύ περισσότερο τον αρχικό προϋπολογισμό της Πρόσκλησης. Τα έργα  έπρεπε να εμπίπτουν σε 8 (οχτώ) ευρείες επιστημονικές περιοχές. Τα στοιχεία προϋπολογισμού των εγκεκριμένων έργων παρουσιάζονται στην πίνακα που ακολουθεί:</w:t>
      </w:r>
    </w:p>
    <w:p w14:paraId="52449D38" w14:textId="4D84283B" w:rsidR="003770DC" w:rsidRPr="00370C56" w:rsidRDefault="00C17BF2" w:rsidP="00C17BF2">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3</w:t>
      </w:r>
      <w:r w:rsidR="00833098">
        <w:rPr>
          <w:noProof/>
        </w:rPr>
        <w:fldChar w:fldCharType="end"/>
      </w:r>
      <w:r w:rsidR="009C23C4">
        <w:noBreakHyphen/>
      </w:r>
      <w:r w:rsidR="00E76FBF">
        <w:t>2</w:t>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8</w:t>
      </w:r>
      <w:r w:rsidR="00833098">
        <w:rPr>
          <w:noProof/>
        </w:rPr>
        <w:fldChar w:fldCharType="end"/>
      </w:r>
      <w:r w:rsidR="003770DC" w:rsidRPr="00370C56">
        <w:t>:</w:t>
      </w:r>
      <w:r>
        <w:t xml:space="preserve"> </w:t>
      </w:r>
      <w:r w:rsidR="003770DC" w:rsidRPr="00370C56">
        <w:t>Στοιχεία προϋπολογισμού εγκεκριμένων έργων στο πλαίσιο της Προκήρυξης της δράσης του ΕΛΙΔΕΚ για την ενίσχυση Μεταδιδακτόρων Ερευνητών/τριών</w:t>
      </w:r>
    </w:p>
    <w:tbl>
      <w:tblPr>
        <w:tblStyle w:val="TableGrid1"/>
        <w:tblW w:w="952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70"/>
        <w:gridCol w:w="4931"/>
        <w:gridCol w:w="1469"/>
        <w:gridCol w:w="2150"/>
      </w:tblGrid>
      <w:tr w:rsidR="003770DC" w:rsidRPr="00C33E1A" w14:paraId="07AF1D81" w14:textId="77777777" w:rsidTr="003E7153">
        <w:trPr>
          <w:trHeight w:val="900"/>
        </w:trPr>
        <w:tc>
          <w:tcPr>
            <w:tcW w:w="950" w:type="dxa"/>
            <w:shd w:val="clear" w:color="auto" w:fill="800000"/>
            <w:vAlign w:val="center"/>
            <w:hideMark/>
          </w:tcPr>
          <w:p w14:paraId="2D50592B" w14:textId="77777777" w:rsidR="003770DC" w:rsidRPr="00C33E1A" w:rsidRDefault="003770DC" w:rsidP="003E7153">
            <w:pPr>
              <w:jc w:val="center"/>
              <w:rPr>
                <w:b/>
                <w:bCs/>
                <w:color w:val="FFFFFF"/>
                <w:sz w:val="16"/>
                <w:szCs w:val="16"/>
              </w:rPr>
            </w:pPr>
            <w:r w:rsidRPr="00C33E1A">
              <w:rPr>
                <w:b/>
                <w:bCs/>
                <w:color w:val="FFFFFF"/>
                <w:sz w:val="16"/>
                <w:szCs w:val="16"/>
              </w:rPr>
              <w:t>Ε.Π.</w:t>
            </w:r>
          </w:p>
        </w:tc>
        <w:tc>
          <w:tcPr>
            <w:tcW w:w="4827" w:type="dxa"/>
            <w:shd w:val="clear" w:color="auto" w:fill="800000"/>
            <w:vAlign w:val="center"/>
            <w:hideMark/>
          </w:tcPr>
          <w:p w14:paraId="7E7988B4" w14:textId="77777777" w:rsidR="003770DC" w:rsidRPr="00C33E1A" w:rsidRDefault="003770DC" w:rsidP="003E7153">
            <w:pPr>
              <w:jc w:val="center"/>
              <w:rPr>
                <w:b/>
                <w:bCs/>
                <w:color w:val="FFFFFF"/>
                <w:sz w:val="16"/>
                <w:szCs w:val="16"/>
              </w:rPr>
            </w:pPr>
            <w:r>
              <w:rPr>
                <w:b/>
                <w:bCs/>
                <w:color w:val="FFFFFF"/>
                <w:sz w:val="16"/>
                <w:szCs w:val="16"/>
              </w:rPr>
              <w:t>Επιστημονικές Περιοχές</w:t>
            </w:r>
          </w:p>
        </w:tc>
        <w:tc>
          <w:tcPr>
            <w:tcW w:w="1438" w:type="dxa"/>
            <w:shd w:val="clear" w:color="auto" w:fill="800000"/>
            <w:vAlign w:val="center"/>
            <w:hideMark/>
          </w:tcPr>
          <w:p w14:paraId="177E698A" w14:textId="77777777" w:rsidR="003770DC" w:rsidRPr="00C33E1A" w:rsidRDefault="003770DC" w:rsidP="003E7153">
            <w:pPr>
              <w:jc w:val="center"/>
              <w:rPr>
                <w:b/>
                <w:bCs/>
                <w:color w:val="FFFFFF"/>
                <w:sz w:val="16"/>
                <w:szCs w:val="16"/>
              </w:rPr>
            </w:pPr>
            <w:r>
              <w:rPr>
                <w:b/>
                <w:bCs/>
                <w:color w:val="FFFFFF"/>
                <w:sz w:val="16"/>
                <w:szCs w:val="16"/>
              </w:rPr>
              <w:t>Αριθμός Ερευνητικών Έργων</w:t>
            </w:r>
          </w:p>
        </w:tc>
        <w:tc>
          <w:tcPr>
            <w:tcW w:w="2105" w:type="dxa"/>
            <w:shd w:val="clear" w:color="auto" w:fill="800000"/>
            <w:vAlign w:val="center"/>
            <w:hideMark/>
          </w:tcPr>
          <w:p w14:paraId="67A38841" w14:textId="77777777" w:rsidR="003770DC" w:rsidRPr="00C33E1A" w:rsidRDefault="003770DC" w:rsidP="003E7153">
            <w:pPr>
              <w:jc w:val="center"/>
              <w:rPr>
                <w:b/>
                <w:bCs/>
                <w:color w:val="FFFFFF"/>
                <w:sz w:val="16"/>
                <w:szCs w:val="16"/>
              </w:rPr>
            </w:pPr>
            <w:r>
              <w:rPr>
                <w:b/>
                <w:bCs/>
                <w:color w:val="FFFFFF"/>
                <w:sz w:val="16"/>
                <w:szCs w:val="16"/>
              </w:rPr>
              <w:t>Προϋπολογισμός ανά Επιστημονική Περιοχή</w:t>
            </w:r>
          </w:p>
        </w:tc>
      </w:tr>
      <w:tr w:rsidR="003770DC" w:rsidRPr="00C33E1A" w14:paraId="7AFE70E0" w14:textId="77777777" w:rsidTr="003E7153">
        <w:trPr>
          <w:trHeight w:val="345"/>
        </w:trPr>
        <w:tc>
          <w:tcPr>
            <w:tcW w:w="950" w:type="dxa"/>
            <w:noWrap/>
            <w:hideMark/>
          </w:tcPr>
          <w:p w14:paraId="640B82F3" w14:textId="77777777" w:rsidR="003770DC" w:rsidRPr="00C33E1A" w:rsidRDefault="003770DC" w:rsidP="005F5D19">
            <w:pPr>
              <w:jc w:val="center"/>
              <w:rPr>
                <w:color w:val="000000"/>
                <w:sz w:val="16"/>
                <w:szCs w:val="16"/>
              </w:rPr>
            </w:pPr>
            <w:r w:rsidRPr="00C33E1A">
              <w:rPr>
                <w:color w:val="000000"/>
                <w:sz w:val="16"/>
                <w:szCs w:val="16"/>
              </w:rPr>
              <w:t>Α.</w:t>
            </w:r>
          </w:p>
        </w:tc>
        <w:tc>
          <w:tcPr>
            <w:tcW w:w="4827" w:type="dxa"/>
            <w:noWrap/>
            <w:hideMark/>
          </w:tcPr>
          <w:p w14:paraId="28ABA11C" w14:textId="77777777" w:rsidR="003770DC" w:rsidRPr="00C33E1A" w:rsidRDefault="003770DC" w:rsidP="005F5D19">
            <w:pPr>
              <w:rPr>
                <w:color w:val="000000"/>
                <w:sz w:val="16"/>
                <w:szCs w:val="16"/>
              </w:rPr>
            </w:pPr>
            <w:r w:rsidRPr="00C33E1A">
              <w:rPr>
                <w:color w:val="000000"/>
                <w:sz w:val="16"/>
                <w:szCs w:val="16"/>
              </w:rPr>
              <w:t>Φυσικές Επιστήμες</w:t>
            </w:r>
          </w:p>
        </w:tc>
        <w:tc>
          <w:tcPr>
            <w:tcW w:w="1438" w:type="dxa"/>
            <w:noWrap/>
            <w:hideMark/>
          </w:tcPr>
          <w:p w14:paraId="5B507A2C" w14:textId="77777777" w:rsidR="003770DC" w:rsidRPr="00C33E1A" w:rsidRDefault="003770DC" w:rsidP="005F5D19">
            <w:pPr>
              <w:jc w:val="center"/>
              <w:rPr>
                <w:color w:val="000000"/>
                <w:sz w:val="16"/>
                <w:szCs w:val="16"/>
              </w:rPr>
            </w:pPr>
            <w:r w:rsidRPr="00C33E1A">
              <w:rPr>
                <w:color w:val="000000"/>
                <w:sz w:val="16"/>
                <w:szCs w:val="16"/>
              </w:rPr>
              <w:t>22</w:t>
            </w:r>
          </w:p>
        </w:tc>
        <w:tc>
          <w:tcPr>
            <w:tcW w:w="2105" w:type="dxa"/>
            <w:noWrap/>
            <w:hideMark/>
          </w:tcPr>
          <w:p w14:paraId="396BE35E" w14:textId="77777777" w:rsidR="003770DC" w:rsidRPr="00C33E1A" w:rsidRDefault="003770DC" w:rsidP="005F5D19">
            <w:pPr>
              <w:jc w:val="center"/>
              <w:rPr>
                <w:color w:val="000000"/>
                <w:sz w:val="16"/>
                <w:szCs w:val="16"/>
              </w:rPr>
            </w:pPr>
            <w:r w:rsidRPr="00C33E1A">
              <w:rPr>
                <w:color w:val="000000"/>
                <w:sz w:val="16"/>
                <w:szCs w:val="16"/>
              </w:rPr>
              <w:t>5.070.846,54 €</w:t>
            </w:r>
          </w:p>
        </w:tc>
      </w:tr>
      <w:tr w:rsidR="003770DC" w:rsidRPr="00C33E1A" w14:paraId="26CC395C" w14:textId="77777777" w:rsidTr="003E7153">
        <w:trPr>
          <w:trHeight w:val="435"/>
        </w:trPr>
        <w:tc>
          <w:tcPr>
            <w:tcW w:w="950" w:type="dxa"/>
            <w:noWrap/>
            <w:hideMark/>
          </w:tcPr>
          <w:p w14:paraId="0E3D3884" w14:textId="77777777" w:rsidR="003770DC" w:rsidRPr="00C33E1A" w:rsidRDefault="003770DC" w:rsidP="005F5D19">
            <w:pPr>
              <w:jc w:val="center"/>
              <w:rPr>
                <w:color w:val="000000"/>
                <w:sz w:val="16"/>
                <w:szCs w:val="16"/>
              </w:rPr>
            </w:pPr>
            <w:r w:rsidRPr="00C33E1A">
              <w:rPr>
                <w:color w:val="000000"/>
                <w:sz w:val="16"/>
                <w:szCs w:val="16"/>
              </w:rPr>
              <w:t>Β.</w:t>
            </w:r>
          </w:p>
        </w:tc>
        <w:tc>
          <w:tcPr>
            <w:tcW w:w="4827" w:type="dxa"/>
            <w:noWrap/>
            <w:hideMark/>
          </w:tcPr>
          <w:p w14:paraId="5DADCC3C" w14:textId="77777777" w:rsidR="003770DC" w:rsidRPr="00C33E1A" w:rsidRDefault="003770DC" w:rsidP="005F5D19">
            <w:pPr>
              <w:rPr>
                <w:color w:val="000000"/>
                <w:sz w:val="16"/>
                <w:szCs w:val="16"/>
              </w:rPr>
            </w:pPr>
            <w:r w:rsidRPr="00C33E1A">
              <w:rPr>
                <w:color w:val="000000"/>
                <w:sz w:val="16"/>
                <w:szCs w:val="16"/>
              </w:rPr>
              <w:t>Επιστήμες Μηχανικού και Τεχνολογικές Επιστήμες</w:t>
            </w:r>
          </w:p>
        </w:tc>
        <w:tc>
          <w:tcPr>
            <w:tcW w:w="1438" w:type="dxa"/>
            <w:noWrap/>
            <w:hideMark/>
          </w:tcPr>
          <w:p w14:paraId="6F81010C" w14:textId="77777777" w:rsidR="003770DC" w:rsidRPr="00C33E1A" w:rsidRDefault="003770DC" w:rsidP="005F5D19">
            <w:pPr>
              <w:jc w:val="center"/>
              <w:rPr>
                <w:color w:val="000000"/>
                <w:sz w:val="16"/>
                <w:szCs w:val="16"/>
              </w:rPr>
            </w:pPr>
            <w:r w:rsidRPr="00C33E1A">
              <w:rPr>
                <w:color w:val="000000"/>
                <w:sz w:val="16"/>
                <w:szCs w:val="16"/>
              </w:rPr>
              <w:t>38</w:t>
            </w:r>
          </w:p>
        </w:tc>
        <w:tc>
          <w:tcPr>
            <w:tcW w:w="2105" w:type="dxa"/>
            <w:noWrap/>
            <w:hideMark/>
          </w:tcPr>
          <w:p w14:paraId="43120EBD" w14:textId="77777777" w:rsidR="003770DC" w:rsidRPr="00C33E1A" w:rsidRDefault="003770DC" w:rsidP="005F5D19">
            <w:pPr>
              <w:jc w:val="center"/>
              <w:rPr>
                <w:color w:val="000000"/>
                <w:sz w:val="16"/>
                <w:szCs w:val="16"/>
              </w:rPr>
            </w:pPr>
            <w:r w:rsidRPr="00C33E1A">
              <w:rPr>
                <w:color w:val="000000"/>
                <w:sz w:val="16"/>
                <w:szCs w:val="16"/>
              </w:rPr>
              <w:t>6.003.434,58 €</w:t>
            </w:r>
          </w:p>
        </w:tc>
      </w:tr>
      <w:tr w:rsidR="003770DC" w:rsidRPr="00C33E1A" w14:paraId="7B8FA2EA" w14:textId="77777777" w:rsidTr="003E7153">
        <w:trPr>
          <w:trHeight w:val="405"/>
        </w:trPr>
        <w:tc>
          <w:tcPr>
            <w:tcW w:w="950" w:type="dxa"/>
            <w:noWrap/>
            <w:hideMark/>
          </w:tcPr>
          <w:p w14:paraId="03C149F4" w14:textId="77777777" w:rsidR="003770DC" w:rsidRPr="00C33E1A" w:rsidRDefault="003770DC" w:rsidP="005F5D19">
            <w:pPr>
              <w:jc w:val="center"/>
              <w:rPr>
                <w:color w:val="000000"/>
                <w:sz w:val="16"/>
                <w:szCs w:val="16"/>
              </w:rPr>
            </w:pPr>
            <w:r w:rsidRPr="00C33E1A">
              <w:rPr>
                <w:color w:val="000000"/>
                <w:sz w:val="16"/>
                <w:szCs w:val="16"/>
              </w:rPr>
              <w:t>Γ.</w:t>
            </w:r>
          </w:p>
        </w:tc>
        <w:tc>
          <w:tcPr>
            <w:tcW w:w="4827" w:type="dxa"/>
            <w:noWrap/>
            <w:hideMark/>
          </w:tcPr>
          <w:p w14:paraId="293ECCB7" w14:textId="77777777" w:rsidR="003770DC" w:rsidRPr="00C33E1A" w:rsidRDefault="003770DC" w:rsidP="005F5D19">
            <w:pPr>
              <w:rPr>
                <w:color w:val="000000"/>
                <w:sz w:val="16"/>
                <w:szCs w:val="16"/>
              </w:rPr>
            </w:pPr>
            <w:r w:rsidRPr="00C33E1A">
              <w:rPr>
                <w:color w:val="000000"/>
                <w:sz w:val="16"/>
                <w:szCs w:val="16"/>
              </w:rPr>
              <w:t>Επιστήμες Ζωής (Ιατρικής και επιστημών υγείας)</w:t>
            </w:r>
          </w:p>
        </w:tc>
        <w:tc>
          <w:tcPr>
            <w:tcW w:w="1438" w:type="dxa"/>
            <w:noWrap/>
            <w:hideMark/>
          </w:tcPr>
          <w:p w14:paraId="69404F5C" w14:textId="77777777" w:rsidR="003770DC" w:rsidRPr="00C33E1A" w:rsidRDefault="003770DC" w:rsidP="005F5D19">
            <w:pPr>
              <w:jc w:val="center"/>
              <w:rPr>
                <w:color w:val="000000"/>
                <w:sz w:val="16"/>
                <w:szCs w:val="16"/>
              </w:rPr>
            </w:pPr>
            <w:r w:rsidRPr="00C33E1A">
              <w:rPr>
                <w:color w:val="000000"/>
                <w:sz w:val="16"/>
                <w:szCs w:val="16"/>
              </w:rPr>
              <w:t>43</w:t>
            </w:r>
          </w:p>
        </w:tc>
        <w:tc>
          <w:tcPr>
            <w:tcW w:w="2105" w:type="dxa"/>
            <w:noWrap/>
            <w:hideMark/>
          </w:tcPr>
          <w:p w14:paraId="6331762E" w14:textId="77777777" w:rsidR="003770DC" w:rsidRPr="00C33E1A" w:rsidRDefault="003770DC" w:rsidP="005F5D19">
            <w:pPr>
              <w:jc w:val="center"/>
              <w:rPr>
                <w:color w:val="000000"/>
                <w:sz w:val="16"/>
                <w:szCs w:val="16"/>
              </w:rPr>
            </w:pPr>
            <w:r w:rsidRPr="00C33E1A">
              <w:rPr>
                <w:color w:val="000000"/>
                <w:sz w:val="16"/>
                <w:szCs w:val="16"/>
              </w:rPr>
              <w:t>7.745.000,00 €</w:t>
            </w:r>
          </w:p>
        </w:tc>
      </w:tr>
      <w:tr w:rsidR="003770DC" w:rsidRPr="00C33E1A" w14:paraId="7A5DF6C9" w14:textId="77777777" w:rsidTr="003E7153">
        <w:trPr>
          <w:trHeight w:val="420"/>
        </w:trPr>
        <w:tc>
          <w:tcPr>
            <w:tcW w:w="950" w:type="dxa"/>
            <w:noWrap/>
            <w:hideMark/>
          </w:tcPr>
          <w:p w14:paraId="5069F3E7" w14:textId="77777777" w:rsidR="003770DC" w:rsidRPr="00C33E1A" w:rsidRDefault="003770DC" w:rsidP="005F5D19">
            <w:pPr>
              <w:jc w:val="center"/>
              <w:rPr>
                <w:color w:val="000000"/>
                <w:sz w:val="16"/>
                <w:szCs w:val="16"/>
              </w:rPr>
            </w:pPr>
            <w:r w:rsidRPr="00C33E1A">
              <w:rPr>
                <w:color w:val="000000"/>
                <w:sz w:val="16"/>
                <w:szCs w:val="16"/>
              </w:rPr>
              <w:t>Δ.</w:t>
            </w:r>
          </w:p>
        </w:tc>
        <w:tc>
          <w:tcPr>
            <w:tcW w:w="4827" w:type="dxa"/>
            <w:noWrap/>
            <w:hideMark/>
          </w:tcPr>
          <w:p w14:paraId="0BBEB95E" w14:textId="77777777" w:rsidR="003770DC" w:rsidRPr="00C33E1A" w:rsidRDefault="003770DC" w:rsidP="005F5D19">
            <w:pPr>
              <w:rPr>
                <w:color w:val="000000"/>
                <w:sz w:val="16"/>
                <w:szCs w:val="16"/>
              </w:rPr>
            </w:pPr>
            <w:r w:rsidRPr="00C33E1A">
              <w:rPr>
                <w:color w:val="000000"/>
                <w:sz w:val="16"/>
                <w:szCs w:val="16"/>
              </w:rPr>
              <w:t>Γεωπονικές Επιστήμες</w:t>
            </w:r>
          </w:p>
        </w:tc>
        <w:tc>
          <w:tcPr>
            <w:tcW w:w="1438" w:type="dxa"/>
            <w:noWrap/>
            <w:hideMark/>
          </w:tcPr>
          <w:p w14:paraId="2ED9F376" w14:textId="77777777" w:rsidR="003770DC" w:rsidRPr="00C33E1A" w:rsidRDefault="003770DC" w:rsidP="005F5D19">
            <w:pPr>
              <w:jc w:val="center"/>
              <w:rPr>
                <w:color w:val="000000"/>
                <w:sz w:val="16"/>
                <w:szCs w:val="16"/>
              </w:rPr>
            </w:pPr>
            <w:r w:rsidRPr="00C33E1A">
              <w:rPr>
                <w:color w:val="000000"/>
                <w:sz w:val="16"/>
                <w:szCs w:val="16"/>
              </w:rPr>
              <w:t>14</w:t>
            </w:r>
          </w:p>
        </w:tc>
        <w:tc>
          <w:tcPr>
            <w:tcW w:w="2105" w:type="dxa"/>
            <w:noWrap/>
            <w:hideMark/>
          </w:tcPr>
          <w:p w14:paraId="7A5DC510" w14:textId="77777777" w:rsidR="003770DC" w:rsidRPr="00C33E1A" w:rsidRDefault="003770DC" w:rsidP="005F5D19">
            <w:pPr>
              <w:jc w:val="center"/>
              <w:rPr>
                <w:color w:val="000000"/>
                <w:sz w:val="16"/>
                <w:szCs w:val="16"/>
              </w:rPr>
            </w:pPr>
            <w:r w:rsidRPr="00C33E1A">
              <w:rPr>
                <w:color w:val="000000"/>
                <w:sz w:val="16"/>
                <w:szCs w:val="16"/>
              </w:rPr>
              <w:t>3.459.226,89 €</w:t>
            </w:r>
          </w:p>
        </w:tc>
      </w:tr>
      <w:tr w:rsidR="003770DC" w:rsidRPr="00C33E1A" w14:paraId="3E04937D" w14:textId="77777777" w:rsidTr="003E7153">
        <w:trPr>
          <w:trHeight w:val="435"/>
        </w:trPr>
        <w:tc>
          <w:tcPr>
            <w:tcW w:w="950" w:type="dxa"/>
            <w:noWrap/>
            <w:hideMark/>
          </w:tcPr>
          <w:p w14:paraId="01D18684" w14:textId="77777777" w:rsidR="003770DC" w:rsidRPr="00C33E1A" w:rsidRDefault="003770DC" w:rsidP="005F5D19">
            <w:pPr>
              <w:jc w:val="center"/>
              <w:rPr>
                <w:color w:val="000000"/>
                <w:sz w:val="16"/>
                <w:szCs w:val="16"/>
              </w:rPr>
            </w:pPr>
            <w:r w:rsidRPr="00C33E1A">
              <w:rPr>
                <w:color w:val="000000"/>
                <w:sz w:val="16"/>
                <w:szCs w:val="16"/>
              </w:rPr>
              <w:t>Ε.</w:t>
            </w:r>
          </w:p>
        </w:tc>
        <w:tc>
          <w:tcPr>
            <w:tcW w:w="4827" w:type="dxa"/>
            <w:noWrap/>
            <w:hideMark/>
          </w:tcPr>
          <w:p w14:paraId="5E22356A" w14:textId="77777777" w:rsidR="003770DC" w:rsidRPr="00C33E1A" w:rsidRDefault="003770DC" w:rsidP="005F5D19">
            <w:pPr>
              <w:rPr>
                <w:color w:val="000000"/>
                <w:sz w:val="16"/>
                <w:szCs w:val="16"/>
              </w:rPr>
            </w:pPr>
            <w:r w:rsidRPr="00C33E1A">
              <w:rPr>
                <w:color w:val="000000"/>
                <w:sz w:val="16"/>
                <w:szCs w:val="16"/>
              </w:rPr>
              <w:t>Μαθηματικά και Επιστήμες της Πληροφορίας</w:t>
            </w:r>
          </w:p>
        </w:tc>
        <w:tc>
          <w:tcPr>
            <w:tcW w:w="1438" w:type="dxa"/>
            <w:noWrap/>
            <w:hideMark/>
          </w:tcPr>
          <w:p w14:paraId="61681DF1" w14:textId="77777777" w:rsidR="003770DC" w:rsidRPr="00C33E1A" w:rsidRDefault="003770DC" w:rsidP="005F5D19">
            <w:pPr>
              <w:jc w:val="center"/>
              <w:rPr>
                <w:color w:val="000000"/>
                <w:sz w:val="16"/>
                <w:szCs w:val="16"/>
              </w:rPr>
            </w:pPr>
            <w:r w:rsidRPr="00C33E1A">
              <w:rPr>
                <w:color w:val="000000"/>
                <w:sz w:val="16"/>
                <w:szCs w:val="16"/>
              </w:rPr>
              <w:t>12</w:t>
            </w:r>
          </w:p>
        </w:tc>
        <w:tc>
          <w:tcPr>
            <w:tcW w:w="2105" w:type="dxa"/>
            <w:noWrap/>
            <w:hideMark/>
          </w:tcPr>
          <w:p w14:paraId="72518FBF" w14:textId="77777777" w:rsidR="003770DC" w:rsidRPr="00C33E1A" w:rsidRDefault="003770DC" w:rsidP="005F5D19">
            <w:pPr>
              <w:jc w:val="center"/>
              <w:rPr>
                <w:color w:val="000000"/>
                <w:sz w:val="16"/>
                <w:szCs w:val="16"/>
              </w:rPr>
            </w:pPr>
            <w:r w:rsidRPr="00C33E1A">
              <w:rPr>
                <w:color w:val="000000"/>
                <w:sz w:val="16"/>
                <w:szCs w:val="16"/>
              </w:rPr>
              <w:t>2.163.162,02 €</w:t>
            </w:r>
          </w:p>
        </w:tc>
      </w:tr>
      <w:tr w:rsidR="003770DC" w:rsidRPr="00C33E1A" w14:paraId="084C890C" w14:textId="77777777" w:rsidTr="003E7153">
        <w:trPr>
          <w:trHeight w:val="360"/>
        </w:trPr>
        <w:tc>
          <w:tcPr>
            <w:tcW w:w="950" w:type="dxa"/>
            <w:noWrap/>
            <w:hideMark/>
          </w:tcPr>
          <w:p w14:paraId="509AFB0D" w14:textId="77777777" w:rsidR="003770DC" w:rsidRPr="00C33E1A" w:rsidRDefault="003770DC" w:rsidP="005F5D19">
            <w:pPr>
              <w:jc w:val="center"/>
              <w:rPr>
                <w:color w:val="000000"/>
                <w:sz w:val="16"/>
                <w:szCs w:val="16"/>
              </w:rPr>
            </w:pPr>
            <w:r w:rsidRPr="00C33E1A">
              <w:rPr>
                <w:color w:val="000000"/>
                <w:sz w:val="16"/>
                <w:szCs w:val="16"/>
              </w:rPr>
              <w:t>ΣΤ.</w:t>
            </w:r>
          </w:p>
        </w:tc>
        <w:tc>
          <w:tcPr>
            <w:tcW w:w="4827" w:type="dxa"/>
            <w:noWrap/>
            <w:hideMark/>
          </w:tcPr>
          <w:p w14:paraId="649DF6FD" w14:textId="77777777" w:rsidR="003770DC" w:rsidRPr="00C33E1A" w:rsidRDefault="003770DC" w:rsidP="005F5D19">
            <w:pPr>
              <w:rPr>
                <w:color w:val="000000"/>
                <w:sz w:val="16"/>
                <w:szCs w:val="16"/>
              </w:rPr>
            </w:pPr>
            <w:r w:rsidRPr="00C33E1A">
              <w:rPr>
                <w:color w:val="000000"/>
                <w:sz w:val="16"/>
                <w:szCs w:val="16"/>
              </w:rPr>
              <w:t>Κοινωνικές Επιστήμες</w:t>
            </w:r>
          </w:p>
        </w:tc>
        <w:tc>
          <w:tcPr>
            <w:tcW w:w="1438" w:type="dxa"/>
            <w:noWrap/>
            <w:hideMark/>
          </w:tcPr>
          <w:p w14:paraId="1B193CE0" w14:textId="77777777" w:rsidR="003770DC" w:rsidRPr="00C33E1A" w:rsidRDefault="003770DC" w:rsidP="005F5D19">
            <w:pPr>
              <w:jc w:val="center"/>
              <w:rPr>
                <w:color w:val="000000"/>
                <w:sz w:val="16"/>
                <w:szCs w:val="16"/>
              </w:rPr>
            </w:pPr>
            <w:r w:rsidRPr="00C33E1A">
              <w:rPr>
                <w:color w:val="000000"/>
                <w:sz w:val="16"/>
                <w:szCs w:val="16"/>
              </w:rPr>
              <w:t>28</w:t>
            </w:r>
          </w:p>
        </w:tc>
        <w:tc>
          <w:tcPr>
            <w:tcW w:w="2105" w:type="dxa"/>
            <w:noWrap/>
            <w:hideMark/>
          </w:tcPr>
          <w:p w14:paraId="3241259B" w14:textId="77777777" w:rsidR="003770DC" w:rsidRPr="00C33E1A" w:rsidRDefault="003770DC" w:rsidP="005F5D19">
            <w:pPr>
              <w:jc w:val="center"/>
              <w:rPr>
                <w:color w:val="000000"/>
                <w:sz w:val="16"/>
                <w:szCs w:val="16"/>
              </w:rPr>
            </w:pPr>
            <w:r w:rsidRPr="00C33E1A">
              <w:rPr>
                <w:color w:val="000000"/>
                <w:sz w:val="16"/>
                <w:szCs w:val="16"/>
              </w:rPr>
              <w:t>4.761.489,00 €</w:t>
            </w:r>
          </w:p>
        </w:tc>
      </w:tr>
      <w:tr w:rsidR="003770DC" w:rsidRPr="00C33E1A" w14:paraId="06DB2237" w14:textId="77777777" w:rsidTr="003E7153">
        <w:trPr>
          <w:trHeight w:val="390"/>
        </w:trPr>
        <w:tc>
          <w:tcPr>
            <w:tcW w:w="950" w:type="dxa"/>
            <w:noWrap/>
            <w:hideMark/>
          </w:tcPr>
          <w:p w14:paraId="7B324DC0" w14:textId="77777777" w:rsidR="003770DC" w:rsidRPr="00C33E1A" w:rsidRDefault="003770DC" w:rsidP="005F5D19">
            <w:pPr>
              <w:jc w:val="center"/>
              <w:rPr>
                <w:color w:val="000000"/>
                <w:sz w:val="16"/>
                <w:szCs w:val="16"/>
              </w:rPr>
            </w:pPr>
            <w:r w:rsidRPr="00C33E1A">
              <w:rPr>
                <w:color w:val="000000"/>
                <w:sz w:val="16"/>
                <w:szCs w:val="16"/>
              </w:rPr>
              <w:t>Ζ.</w:t>
            </w:r>
          </w:p>
        </w:tc>
        <w:tc>
          <w:tcPr>
            <w:tcW w:w="4827" w:type="dxa"/>
            <w:noWrap/>
            <w:hideMark/>
          </w:tcPr>
          <w:p w14:paraId="53DDA806" w14:textId="77777777" w:rsidR="003770DC" w:rsidRPr="00C33E1A" w:rsidRDefault="003770DC" w:rsidP="005F5D19">
            <w:pPr>
              <w:rPr>
                <w:color w:val="000000"/>
                <w:sz w:val="16"/>
                <w:szCs w:val="16"/>
              </w:rPr>
            </w:pPr>
            <w:r w:rsidRPr="00C33E1A">
              <w:rPr>
                <w:color w:val="000000"/>
                <w:sz w:val="16"/>
                <w:szCs w:val="16"/>
              </w:rPr>
              <w:t>Ανθρωπιστικές Επιστήμες (και Τέχνες)</w:t>
            </w:r>
          </w:p>
        </w:tc>
        <w:tc>
          <w:tcPr>
            <w:tcW w:w="1438" w:type="dxa"/>
            <w:noWrap/>
            <w:hideMark/>
          </w:tcPr>
          <w:p w14:paraId="7983CFF5" w14:textId="77777777" w:rsidR="003770DC" w:rsidRPr="00C33E1A" w:rsidRDefault="003770DC" w:rsidP="005F5D19">
            <w:pPr>
              <w:jc w:val="center"/>
              <w:rPr>
                <w:color w:val="000000"/>
                <w:sz w:val="16"/>
                <w:szCs w:val="16"/>
              </w:rPr>
            </w:pPr>
            <w:r w:rsidRPr="00C33E1A">
              <w:rPr>
                <w:color w:val="000000"/>
                <w:sz w:val="16"/>
                <w:szCs w:val="16"/>
              </w:rPr>
              <w:t>14</w:t>
            </w:r>
          </w:p>
        </w:tc>
        <w:tc>
          <w:tcPr>
            <w:tcW w:w="2105" w:type="dxa"/>
            <w:noWrap/>
            <w:hideMark/>
          </w:tcPr>
          <w:p w14:paraId="50CDEBC7" w14:textId="77777777" w:rsidR="003770DC" w:rsidRPr="00C33E1A" w:rsidRDefault="003770DC" w:rsidP="005F5D19">
            <w:pPr>
              <w:jc w:val="center"/>
              <w:rPr>
                <w:color w:val="000000"/>
                <w:sz w:val="16"/>
                <w:szCs w:val="16"/>
              </w:rPr>
            </w:pPr>
            <w:r w:rsidRPr="00C33E1A">
              <w:rPr>
                <w:color w:val="000000"/>
                <w:sz w:val="16"/>
                <w:szCs w:val="16"/>
              </w:rPr>
              <w:t>2.406.284,43 €</w:t>
            </w:r>
          </w:p>
        </w:tc>
      </w:tr>
      <w:tr w:rsidR="003770DC" w:rsidRPr="00C33E1A" w14:paraId="6076BAAA" w14:textId="77777777" w:rsidTr="003E7153">
        <w:trPr>
          <w:trHeight w:val="420"/>
        </w:trPr>
        <w:tc>
          <w:tcPr>
            <w:tcW w:w="950" w:type="dxa"/>
            <w:noWrap/>
            <w:hideMark/>
          </w:tcPr>
          <w:p w14:paraId="1FBC4131" w14:textId="77777777" w:rsidR="003770DC" w:rsidRPr="00C33E1A" w:rsidRDefault="003770DC" w:rsidP="005F5D19">
            <w:pPr>
              <w:jc w:val="center"/>
              <w:rPr>
                <w:color w:val="000000"/>
                <w:sz w:val="16"/>
                <w:szCs w:val="16"/>
              </w:rPr>
            </w:pPr>
            <w:r w:rsidRPr="00C33E1A">
              <w:rPr>
                <w:color w:val="000000"/>
                <w:sz w:val="16"/>
                <w:szCs w:val="16"/>
              </w:rPr>
              <w:t>Η.</w:t>
            </w:r>
          </w:p>
        </w:tc>
        <w:tc>
          <w:tcPr>
            <w:tcW w:w="4827" w:type="dxa"/>
            <w:noWrap/>
            <w:hideMark/>
          </w:tcPr>
          <w:p w14:paraId="141DCAE5" w14:textId="77777777" w:rsidR="003770DC" w:rsidRPr="00C33E1A" w:rsidRDefault="003770DC" w:rsidP="005F5D19">
            <w:pPr>
              <w:rPr>
                <w:color w:val="000000"/>
                <w:sz w:val="16"/>
                <w:szCs w:val="16"/>
              </w:rPr>
            </w:pPr>
            <w:r w:rsidRPr="00C33E1A">
              <w:rPr>
                <w:color w:val="000000"/>
                <w:sz w:val="16"/>
                <w:szCs w:val="16"/>
              </w:rPr>
              <w:t>Περιβάλλον και Ενέργεια</w:t>
            </w:r>
          </w:p>
        </w:tc>
        <w:tc>
          <w:tcPr>
            <w:tcW w:w="1438" w:type="dxa"/>
            <w:noWrap/>
            <w:hideMark/>
          </w:tcPr>
          <w:p w14:paraId="55FD81B7" w14:textId="77777777" w:rsidR="003770DC" w:rsidRPr="00C33E1A" w:rsidRDefault="003770DC" w:rsidP="005F5D19">
            <w:pPr>
              <w:jc w:val="center"/>
              <w:rPr>
                <w:color w:val="000000"/>
                <w:sz w:val="16"/>
                <w:szCs w:val="16"/>
              </w:rPr>
            </w:pPr>
            <w:r w:rsidRPr="00C33E1A">
              <w:rPr>
                <w:color w:val="000000"/>
                <w:sz w:val="16"/>
                <w:szCs w:val="16"/>
              </w:rPr>
              <w:t>15</w:t>
            </w:r>
          </w:p>
        </w:tc>
        <w:tc>
          <w:tcPr>
            <w:tcW w:w="2105" w:type="dxa"/>
            <w:noWrap/>
            <w:hideMark/>
          </w:tcPr>
          <w:p w14:paraId="7966311A" w14:textId="77777777" w:rsidR="003770DC" w:rsidRPr="00C33E1A" w:rsidRDefault="003770DC" w:rsidP="005F5D19">
            <w:pPr>
              <w:jc w:val="center"/>
              <w:rPr>
                <w:color w:val="000000"/>
                <w:sz w:val="16"/>
                <w:szCs w:val="16"/>
              </w:rPr>
            </w:pPr>
            <w:r w:rsidRPr="00C33E1A">
              <w:rPr>
                <w:color w:val="000000"/>
                <w:sz w:val="16"/>
                <w:szCs w:val="16"/>
              </w:rPr>
              <w:t>2.010.000,00 €</w:t>
            </w:r>
          </w:p>
        </w:tc>
      </w:tr>
      <w:tr w:rsidR="003770DC" w:rsidRPr="00C33E1A" w14:paraId="3944E66A" w14:textId="77777777" w:rsidTr="003E7153">
        <w:trPr>
          <w:trHeight w:val="377"/>
        </w:trPr>
        <w:tc>
          <w:tcPr>
            <w:tcW w:w="950" w:type="dxa"/>
            <w:noWrap/>
            <w:hideMark/>
          </w:tcPr>
          <w:p w14:paraId="45E3EE4A" w14:textId="77777777" w:rsidR="003770DC" w:rsidRPr="00C33E1A" w:rsidRDefault="003770DC" w:rsidP="0026685F">
            <w:pPr>
              <w:spacing w:before="0"/>
              <w:rPr>
                <w:color w:val="000000"/>
                <w:sz w:val="16"/>
                <w:szCs w:val="16"/>
              </w:rPr>
            </w:pPr>
          </w:p>
        </w:tc>
        <w:tc>
          <w:tcPr>
            <w:tcW w:w="4827" w:type="dxa"/>
            <w:noWrap/>
            <w:hideMark/>
          </w:tcPr>
          <w:p w14:paraId="54396140" w14:textId="77777777" w:rsidR="003770DC" w:rsidRPr="00C33E1A" w:rsidRDefault="003770DC" w:rsidP="0026685F">
            <w:pPr>
              <w:spacing w:before="0"/>
              <w:rPr>
                <w:b/>
                <w:bCs/>
                <w:color w:val="000000"/>
                <w:sz w:val="16"/>
                <w:szCs w:val="16"/>
              </w:rPr>
            </w:pPr>
            <w:r w:rsidRPr="00C33E1A">
              <w:rPr>
                <w:b/>
                <w:bCs/>
                <w:color w:val="000000"/>
                <w:sz w:val="16"/>
                <w:szCs w:val="16"/>
              </w:rPr>
              <w:t>ΓΕΝΙΚΟ ΣΥΝΟΛΟ</w:t>
            </w:r>
          </w:p>
        </w:tc>
        <w:tc>
          <w:tcPr>
            <w:tcW w:w="1438" w:type="dxa"/>
            <w:noWrap/>
            <w:hideMark/>
          </w:tcPr>
          <w:p w14:paraId="3854C252" w14:textId="77777777" w:rsidR="003770DC" w:rsidRPr="00C33E1A" w:rsidRDefault="003770DC" w:rsidP="0026685F">
            <w:pPr>
              <w:spacing w:before="0"/>
              <w:jc w:val="center"/>
              <w:rPr>
                <w:b/>
                <w:bCs/>
                <w:color w:val="000000"/>
                <w:sz w:val="16"/>
                <w:szCs w:val="16"/>
              </w:rPr>
            </w:pPr>
            <w:r w:rsidRPr="00C33E1A">
              <w:rPr>
                <w:b/>
                <w:bCs/>
                <w:color w:val="000000"/>
                <w:sz w:val="16"/>
                <w:szCs w:val="16"/>
              </w:rPr>
              <w:t>186</w:t>
            </w:r>
          </w:p>
        </w:tc>
        <w:tc>
          <w:tcPr>
            <w:tcW w:w="2105" w:type="dxa"/>
            <w:noWrap/>
            <w:hideMark/>
          </w:tcPr>
          <w:p w14:paraId="26AF971C" w14:textId="77777777" w:rsidR="003770DC" w:rsidRPr="00C33E1A" w:rsidRDefault="003770DC" w:rsidP="0026685F">
            <w:pPr>
              <w:spacing w:before="0"/>
              <w:jc w:val="center"/>
              <w:rPr>
                <w:b/>
                <w:bCs/>
                <w:color w:val="000000"/>
                <w:sz w:val="16"/>
                <w:szCs w:val="16"/>
              </w:rPr>
            </w:pPr>
            <w:r w:rsidRPr="00C33E1A">
              <w:rPr>
                <w:b/>
                <w:bCs/>
                <w:color w:val="000000"/>
                <w:sz w:val="16"/>
                <w:szCs w:val="16"/>
              </w:rPr>
              <w:t>33.619.443,46 €</w:t>
            </w:r>
          </w:p>
        </w:tc>
      </w:tr>
    </w:tbl>
    <w:p w14:paraId="2384D61B" w14:textId="77777777" w:rsidR="00727101" w:rsidRDefault="00727101" w:rsidP="00727101"/>
    <w:p w14:paraId="3A16950A" w14:textId="77777777" w:rsidR="00727101" w:rsidRDefault="003E6266" w:rsidP="00727101">
      <w:pPr>
        <w:pStyle w:val="Heading1"/>
      </w:pPr>
      <w:bookmarkStart w:id="19" w:name="_Toc22645408"/>
      <w:r>
        <w:t xml:space="preserve">Άλλες </w:t>
      </w:r>
      <w:r w:rsidR="00EB5844">
        <w:t xml:space="preserve">Πηγές χρηματοδότησης </w:t>
      </w:r>
      <w:r>
        <w:t xml:space="preserve">της </w:t>
      </w:r>
      <w:r w:rsidR="00EB5844">
        <w:t>στρατηγικής</w:t>
      </w:r>
      <w:bookmarkEnd w:id="19"/>
    </w:p>
    <w:p w14:paraId="0F606233" w14:textId="77777777" w:rsidR="00561137" w:rsidRDefault="00626112" w:rsidP="00626112">
      <w:r>
        <w:t>Βασική π</w:t>
      </w:r>
      <w:r w:rsidR="0011315C">
        <w:t>ηγ</w:t>
      </w:r>
      <w:r w:rsidR="00E75CB8">
        <w:t>ή</w:t>
      </w:r>
      <w:r w:rsidR="0011315C">
        <w:t xml:space="preserve"> χρηματοδότησης της Στρατηγικής είναι </w:t>
      </w:r>
      <w:r w:rsidR="00005818" w:rsidRPr="00005818">
        <w:t>το Επιχειρησιακό Πρόγραμμα Ανταγωνιστικότητα Επιχειρηματικότητα και Κ</w:t>
      </w:r>
      <w:r>
        <w:t xml:space="preserve">αινοτομία (ΕΠΑνΕΚ) 2014 – 2020. Υπάρχουν ωστόσο λοιπές πηγές χρηματοδότησης που συμβάλουν στην επίτευξη των στόχων της </w:t>
      </w:r>
      <w:r>
        <w:rPr>
          <w:lang w:val="en-US"/>
        </w:rPr>
        <w:t>RIS</w:t>
      </w:r>
      <w:r>
        <w:t>, όπως:</w:t>
      </w:r>
    </w:p>
    <w:p w14:paraId="7FA3EF87" w14:textId="77777777" w:rsidR="002838A6" w:rsidRPr="00B34C18" w:rsidRDefault="00626112" w:rsidP="00B34C18">
      <w:pPr>
        <w:pStyle w:val="Heading2"/>
      </w:pPr>
      <w:bookmarkStart w:id="20" w:name="_Toc22645409"/>
      <w:r>
        <w:t xml:space="preserve">Το πρόγραμμα </w:t>
      </w:r>
      <w:r w:rsidR="002838A6" w:rsidRPr="00B34C18">
        <w:t>Horizon 2020</w:t>
      </w:r>
      <w:bookmarkEnd w:id="20"/>
    </w:p>
    <w:p w14:paraId="4F29064D" w14:textId="77777777" w:rsidR="00E503A1" w:rsidRDefault="006B4E03" w:rsidP="006B4E03">
      <w:r w:rsidRPr="006B4E03">
        <w:t xml:space="preserve">Παρότι η εθνική RIS3 έχει διαμορφωθεί από το 2015, η χρηματοδότηση των έργων που </w:t>
      </w:r>
      <w:r w:rsidR="00A94BA9">
        <w:t>την αφορούν</w:t>
      </w:r>
      <w:r w:rsidRPr="006B4E03">
        <w:t xml:space="preserve"> ξεκίνησε πρακτικά στο τέλος του 2018 με την καταβολή των προκαταβολών των έργων που εντάχθηκαν στην Δράση του ΕΔΚ. Κατά συνέπεια, ο Η2020 και οι θεματικές ενότητες που προκρίνει έπαιξαν καθοριστικό ρόλο στον προσδιορισμό των προτεραιοτήτων των ερευνητικών φορέων της χώρας.</w:t>
      </w:r>
    </w:p>
    <w:p w14:paraId="73E3A657" w14:textId="77777777" w:rsidR="006B4E03" w:rsidRDefault="006B4E03" w:rsidP="006B4E03"/>
    <w:p w14:paraId="7F7146CC" w14:textId="77777777" w:rsidR="006B4E03" w:rsidRDefault="006B4E03" w:rsidP="006B4E03"/>
    <w:p w14:paraId="37B5EF3B" w14:textId="77777777" w:rsidR="0023575A" w:rsidRDefault="0023575A" w:rsidP="006B4E03"/>
    <w:p w14:paraId="59A76C4B" w14:textId="77777777" w:rsidR="0023575A" w:rsidRDefault="0023575A" w:rsidP="006B4E03"/>
    <w:p w14:paraId="06F26C7D" w14:textId="77777777" w:rsidR="0023575A" w:rsidRDefault="0023575A" w:rsidP="006B4E03"/>
    <w:p w14:paraId="24174016" w14:textId="77777777" w:rsidR="0023575A" w:rsidRDefault="0023575A" w:rsidP="006B4E03"/>
    <w:p w14:paraId="01CC3940" w14:textId="77777777" w:rsidR="00B44B51" w:rsidRDefault="00B44B51" w:rsidP="006B4E03"/>
    <w:p w14:paraId="12BD087F" w14:textId="77777777" w:rsidR="00B44B51" w:rsidRDefault="00B44B51" w:rsidP="006B4E03"/>
    <w:p w14:paraId="78FBA51C" w14:textId="77777777" w:rsidR="00B44B51" w:rsidRDefault="00B44B51" w:rsidP="006B4E03"/>
    <w:p w14:paraId="2B023FC5" w14:textId="77777777" w:rsidR="006B4E03" w:rsidRDefault="006B4E03" w:rsidP="006B4E03">
      <w:pPr>
        <w:pStyle w:val="Caption"/>
      </w:pPr>
      <w:r>
        <w:lastRenderedPageBreak/>
        <w:t xml:space="preserve">Διάγραμμα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397ACE">
        <w:noBreakHyphen/>
      </w:r>
      <w:r w:rsidR="00833098">
        <w:rPr>
          <w:noProof/>
        </w:rPr>
        <w:fldChar w:fldCharType="begin"/>
      </w:r>
      <w:r w:rsidR="00833098">
        <w:rPr>
          <w:noProof/>
        </w:rPr>
        <w:instrText xml:space="preserve"> SEQ Διάγραμμα_ \* ARABIC \s 1 </w:instrText>
      </w:r>
      <w:r w:rsidR="00833098">
        <w:rPr>
          <w:noProof/>
        </w:rPr>
        <w:fldChar w:fldCharType="separate"/>
      </w:r>
      <w:r w:rsidR="00D56CA9">
        <w:rPr>
          <w:noProof/>
        </w:rPr>
        <w:t>1</w:t>
      </w:r>
      <w:r w:rsidR="00833098">
        <w:rPr>
          <w:noProof/>
        </w:rPr>
        <w:fldChar w:fldCharType="end"/>
      </w:r>
      <w:r w:rsidRPr="006B4E03">
        <w:t xml:space="preserve">: Θεματικές Συνέργειες Έξυπνης εξειδίκευσης με </w:t>
      </w:r>
      <w:r w:rsidRPr="006B4E03">
        <w:rPr>
          <w:lang w:val="en-US"/>
        </w:rPr>
        <w:t>Horizon</w:t>
      </w:r>
      <w:r w:rsidRPr="006B4E03">
        <w:t xml:space="preserve"> 2020</w:t>
      </w:r>
    </w:p>
    <w:p w14:paraId="10552FC0" w14:textId="77777777" w:rsidR="006B4E03" w:rsidRPr="006B4E03" w:rsidRDefault="006B4E03" w:rsidP="006B4E03"/>
    <w:p w14:paraId="2F15A1A8" w14:textId="77777777" w:rsidR="006B4E03" w:rsidRDefault="006B4E03" w:rsidP="006B4E03">
      <w:pPr>
        <w:ind w:left="567"/>
      </w:pPr>
      <w:r w:rsidRPr="006C1529">
        <w:rPr>
          <w:noProof/>
          <w:lang w:eastAsia="el-GR"/>
        </w:rPr>
        <mc:AlternateContent>
          <mc:Choice Requires="wpg">
            <w:drawing>
              <wp:inline distT="0" distB="0" distL="0" distR="0" wp14:anchorId="65A885A3" wp14:editId="0D1B9CED">
                <wp:extent cx="5274310" cy="3323538"/>
                <wp:effectExtent l="0" t="0" r="21590" b="10795"/>
                <wp:docPr id="7" name="Ομάδα 4"/>
                <wp:cNvGraphicFramePr/>
                <a:graphic xmlns:a="http://schemas.openxmlformats.org/drawingml/2006/main">
                  <a:graphicData uri="http://schemas.microsoft.com/office/word/2010/wordprocessingGroup">
                    <wpg:wgp>
                      <wpg:cNvGrpSpPr/>
                      <wpg:grpSpPr>
                        <a:xfrm>
                          <a:off x="0" y="0"/>
                          <a:ext cx="5274310" cy="3323538"/>
                          <a:chOff x="-90562" y="-2"/>
                          <a:chExt cx="11899874" cy="5728998"/>
                        </a:xfrm>
                      </wpg:grpSpPr>
                      <wps:wsp>
                        <wps:cNvPr id="8" name="Rounded Rectangle 12"/>
                        <wps:cNvSpPr/>
                        <wps:spPr>
                          <a:xfrm>
                            <a:off x="5729150" y="-2"/>
                            <a:ext cx="1524534" cy="5643580"/>
                          </a:xfrm>
                          <a:prstGeom prst="roundRect">
                            <a:avLst/>
                          </a:prstGeom>
                          <a:solidFill>
                            <a:schemeClr val="bg2">
                              <a:lumMod val="60000"/>
                              <a:lumOff val="40000"/>
                            </a:schemeClr>
                          </a:solidFill>
                        </wps:spPr>
                        <wps:style>
                          <a:lnRef idx="3">
                            <a:schemeClr val="lt1"/>
                          </a:lnRef>
                          <a:fillRef idx="1">
                            <a:schemeClr val="accent5"/>
                          </a:fillRef>
                          <a:effectRef idx="1">
                            <a:schemeClr val="accent5"/>
                          </a:effectRef>
                          <a:fontRef idx="minor">
                            <a:schemeClr val="lt1"/>
                          </a:fontRef>
                        </wps:style>
                        <wps:txbx>
                          <w:txbxContent>
                            <w:p w14:paraId="27A26794"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Ενέργεια</w:t>
                              </w:r>
                            </w:p>
                          </w:txbxContent>
                        </wps:txbx>
                        <wps:bodyPr rtlCol="0" anchor="t"/>
                      </wps:wsp>
                      <wps:wsp>
                        <wps:cNvPr id="12" name="Rounded Rectangle 13"/>
                        <wps:cNvSpPr/>
                        <wps:spPr>
                          <a:xfrm>
                            <a:off x="1248139" y="11212"/>
                            <a:ext cx="1354593" cy="5643578"/>
                          </a:xfrm>
                          <a:prstGeom prst="roundRect">
                            <a:avLst/>
                          </a:prstGeom>
                        </wps:spPr>
                        <wps:style>
                          <a:lnRef idx="3">
                            <a:schemeClr val="lt1"/>
                          </a:lnRef>
                          <a:fillRef idx="1">
                            <a:schemeClr val="accent5"/>
                          </a:fillRef>
                          <a:effectRef idx="1">
                            <a:schemeClr val="accent5"/>
                          </a:effectRef>
                          <a:fontRef idx="minor">
                            <a:schemeClr val="lt1"/>
                          </a:fontRef>
                        </wps:style>
                        <wps:txbx>
                          <w:txbxContent>
                            <w:p w14:paraId="02F4C9D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Αγρο-διατροφή</w:t>
                              </w:r>
                            </w:p>
                          </w:txbxContent>
                        </wps:txbx>
                        <wps:bodyPr rtlCol="0" anchor="t"/>
                      </wps:wsp>
                      <wps:wsp>
                        <wps:cNvPr id="17" name="Rounded Rectangle 15"/>
                        <wps:cNvSpPr/>
                        <wps:spPr>
                          <a:xfrm>
                            <a:off x="4151523" y="11210"/>
                            <a:ext cx="1560307" cy="5643578"/>
                          </a:xfrm>
                          <a:prstGeom prst="roundRect">
                            <a:avLst/>
                          </a:prstGeom>
                        </wps:spPr>
                        <wps:style>
                          <a:lnRef idx="3">
                            <a:schemeClr val="lt1"/>
                          </a:lnRef>
                          <a:fillRef idx="1">
                            <a:schemeClr val="accent5"/>
                          </a:fillRef>
                          <a:effectRef idx="1">
                            <a:schemeClr val="accent5"/>
                          </a:effectRef>
                          <a:fontRef idx="minor">
                            <a:schemeClr val="lt1"/>
                          </a:fontRef>
                        </wps:style>
                        <wps:txbx>
                          <w:txbxContent>
                            <w:p w14:paraId="2D0BEF5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r w:rsidRPr="00C36DBF">
                                <w:rPr>
                                  <w:rFonts w:asciiTheme="minorHAnsi" w:hAnsiTheme="minorHAnsi" w:cstheme="minorHAnsi"/>
                                  <w:b/>
                                  <w:bCs/>
                                  <w:color w:val="000000"/>
                                  <w:kern w:val="24"/>
                                  <w:sz w:val="12"/>
                                  <w:szCs w:val="14"/>
                                </w:rPr>
                                <w:t>Βιοεπιστημες-</w:t>
                              </w:r>
                              <w:r>
                                <w:rPr>
                                  <w:rFonts w:asciiTheme="minorHAnsi" w:hAnsiTheme="minorHAnsi" w:cstheme="minorHAnsi"/>
                                  <w:b/>
                                  <w:bCs/>
                                  <w:color w:val="000000"/>
                                  <w:kern w:val="24"/>
                                  <w:sz w:val="12"/>
                                  <w:szCs w:val="14"/>
                                </w:rPr>
                                <w:t xml:space="preserve"> </w:t>
                              </w:r>
                              <w:r w:rsidRPr="00C36DBF">
                                <w:rPr>
                                  <w:rFonts w:asciiTheme="minorHAnsi" w:hAnsiTheme="minorHAnsi" w:cstheme="minorHAnsi"/>
                                  <w:b/>
                                  <w:bCs/>
                                  <w:color w:val="000000"/>
                                  <w:kern w:val="24"/>
                                  <w:sz w:val="12"/>
                                  <w:szCs w:val="14"/>
                                </w:rPr>
                                <w:t>Υγεία</w:t>
                              </w:r>
                              <w:r w:rsidRPr="00C36DBF">
                                <w:rPr>
                                  <w:rFonts w:asciiTheme="minorHAnsi" w:hAnsiTheme="minorHAnsi" w:cstheme="minorHAnsi"/>
                                  <w:color w:val="000000"/>
                                  <w:kern w:val="24"/>
                                  <w:sz w:val="12"/>
                                  <w:szCs w:val="14"/>
                                </w:rPr>
                                <w:t xml:space="preserve"> </w:t>
                              </w:r>
                              <w:r w:rsidRPr="00C36DBF">
                                <w:rPr>
                                  <w:rFonts w:asciiTheme="minorHAnsi" w:hAnsiTheme="minorHAnsi" w:cstheme="minorHAnsi"/>
                                  <w:b/>
                                  <w:bCs/>
                                  <w:color w:val="000000"/>
                                  <w:kern w:val="24"/>
                                  <w:sz w:val="12"/>
                                  <w:szCs w:val="14"/>
                                </w:rPr>
                                <w:t>φάρμακ</w:t>
                              </w:r>
                              <w:r>
                                <w:rPr>
                                  <w:rFonts w:asciiTheme="minorHAnsi" w:hAnsiTheme="minorHAnsi" w:cstheme="minorHAnsi"/>
                                  <w:b/>
                                  <w:bCs/>
                                  <w:color w:val="000000"/>
                                  <w:kern w:val="24"/>
                                  <w:sz w:val="12"/>
                                  <w:szCs w:val="14"/>
                                </w:rPr>
                                <w:t>α</w:t>
                              </w:r>
                            </w:p>
                          </w:txbxContent>
                        </wps:txbx>
                        <wps:bodyPr rtlCol="0" anchor="t"/>
                      </wps:wsp>
                      <wps:wsp>
                        <wps:cNvPr id="23" name="Rounded Rectangle 14"/>
                        <wps:cNvSpPr/>
                        <wps:spPr>
                          <a:xfrm>
                            <a:off x="2602617" y="11208"/>
                            <a:ext cx="1547765" cy="5643578"/>
                          </a:xfrm>
                          <a:prstGeom prst="roundRect">
                            <a:avLst/>
                          </a:prstGeom>
                          <a:solidFill>
                            <a:srgbClr val="00B0F0"/>
                          </a:solidFill>
                        </wps:spPr>
                        <wps:style>
                          <a:lnRef idx="3">
                            <a:schemeClr val="lt1"/>
                          </a:lnRef>
                          <a:fillRef idx="1">
                            <a:schemeClr val="accent5"/>
                          </a:fillRef>
                          <a:effectRef idx="1">
                            <a:schemeClr val="accent5"/>
                          </a:effectRef>
                          <a:fontRef idx="minor">
                            <a:schemeClr val="lt1"/>
                          </a:fontRef>
                        </wps:style>
                        <wps:txbx>
                          <w:txbxContent>
                            <w:p w14:paraId="2D89315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Πολιτισμός-Τουρισμός</w:t>
                              </w:r>
                            </w:p>
                          </w:txbxContent>
                        </wps:txbx>
                        <wps:bodyPr rtlCol="0" anchor="t"/>
                      </wps:wsp>
                      <wps:wsp>
                        <wps:cNvPr id="24" name="Rounded Rectangle 24"/>
                        <wps:cNvSpPr/>
                        <wps:spPr>
                          <a:xfrm>
                            <a:off x="7344472" y="0"/>
                            <a:ext cx="1583372" cy="5715016"/>
                          </a:xfrm>
                          <a:prstGeom prst="roundRect">
                            <a:avLst/>
                          </a:prstGeom>
                          <a:solidFill>
                            <a:schemeClr val="bg2">
                              <a:lumMod val="60000"/>
                              <a:lumOff val="40000"/>
                            </a:schemeClr>
                          </a:solidFill>
                        </wps:spPr>
                        <wps:style>
                          <a:lnRef idx="3">
                            <a:schemeClr val="lt1"/>
                          </a:lnRef>
                          <a:fillRef idx="1">
                            <a:schemeClr val="accent1"/>
                          </a:fillRef>
                          <a:effectRef idx="1">
                            <a:schemeClr val="accent1"/>
                          </a:effectRef>
                          <a:fontRef idx="minor">
                            <a:schemeClr val="lt1"/>
                          </a:fontRef>
                        </wps:style>
                        <wps:txbx>
                          <w:txbxContent>
                            <w:p w14:paraId="650A6C5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r w:rsidRPr="00C36DBF">
                                <w:rPr>
                                  <w:rFonts w:asciiTheme="minorHAnsi" w:hAnsiTheme="minorHAnsi" w:cstheme="minorHAnsi"/>
                                  <w:b/>
                                  <w:bCs/>
                                  <w:color w:val="000000"/>
                                  <w:kern w:val="24"/>
                                  <w:sz w:val="12"/>
                                  <w:szCs w:val="14"/>
                                </w:rPr>
                                <w:t>Περιβάλλον &amp;</w:t>
                              </w:r>
                              <w:r>
                                <w:rPr>
                                  <w:rFonts w:asciiTheme="minorHAnsi" w:hAnsiTheme="minorHAnsi" w:cstheme="minorHAnsi"/>
                                  <w:b/>
                                  <w:bCs/>
                                  <w:color w:val="000000"/>
                                  <w:kern w:val="24"/>
                                  <w:sz w:val="12"/>
                                  <w:szCs w:val="14"/>
                                </w:rPr>
                                <w:t xml:space="preserve"> </w:t>
                              </w:r>
                              <w:r w:rsidRPr="00C36DBF">
                                <w:rPr>
                                  <w:rFonts w:asciiTheme="minorHAnsi" w:hAnsiTheme="minorHAnsi" w:cstheme="minorHAnsi"/>
                                  <w:b/>
                                  <w:bCs/>
                                  <w:color w:val="000000"/>
                                  <w:kern w:val="24"/>
                                  <w:sz w:val="12"/>
                                  <w:szCs w:val="14"/>
                                </w:rPr>
                                <w:t>Βιώσιμη Ανάπτυξη</w:t>
                              </w:r>
                            </w:p>
                          </w:txbxContent>
                        </wps:txbx>
                        <wps:bodyPr rtlCol="0" anchor="t"/>
                      </wps:wsp>
                      <wps:wsp>
                        <wps:cNvPr id="25" name="Rounded Rectangle 25"/>
                        <wps:cNvSpPr/>
                        <wps:spPr>
                          <a:xfrm>
                            <a:off x="8960089" y="11210"/>
                            <a:ext cx="1429962" cy="5715016"/>
                          </a:xfrm>
                          <a:prstGeom prst="roundRect">
                            <a:avLst/>
                          </a:prstGeom>
                          <a:solidFill>
                            <a:schemeClr val="bg2">
                              <a:lumMod val="60000"/>
                              <a:lumOff val="40000"/>
                            </a:schemeClr>
                          </a:solidFill>
                        </wps:spPr>
                        <wps:style>
                          <a:lnRef idx="3">
                            <a:schemeClr val="lt1"/>
                          </a:lnRef>
                          <a:fillRef idx="1">
                            <a:schemeClr val="accent6"/>
                          </a:fillRef>
                          <a:effectRef idx="1">
                            <a:schemeClr val="accent6"/>
                          </a:effectRef>
                          <a:fontRef idx="minor">
                            <a:schemeClr val="lt1"/>
                          </a:fontRef>
                        </wps:style>
                        <wps:txbx>
                          <w:txbxContent>
                            <w:p w14:paraId="77CBD5A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r w:rsidRPr="00C36DBF">
                                <w:rPr>
                                  <w:rFonts w:asciiTheme="minorHAnsi" w:hAnsiTheme="minorHAnsi" w:cstheme="minorHAnsi"/>
                                  <w:b/>
                                  <w:bCs/>
                                  <w:color w:val="000000"/>
                                  <w:kern w:val="24"/>
                                  <w:sz w:val="12"/>
                                  <w:szCs w:val="14"/>
                                </w:rPr>
                                <w:t xml:space="preserve">Μεταφορές και </w:t>
                              </w:r>
                              <w:r w:rsidRPr="00C36DBF">
                                <w:rPr>
                                  <w:rFonts w:asciiTheme="minorHAnsi" w:hAnsiTheme="minorHAnsi" w:cstheme="minorHAnsi"/>
                                  <w:b/>
                                  <w:bCs/>
                                  <w:color w:val="000000"/>
                                  <w:kern w:val="24"/>
                                  <w:sz w:val="12"/>
                                  <w:szCs w:val="14"/>
                                  <w:lang w:val="en-US"/>
                                </w:rPr>
                                <w:t>logistics</w:t>
                              </w:r>
                            </w:p>
                          </w:txbxContent>
                        </wps:txbx>
                        <wps:bodyPr rtlCol="0" anchor="t"/>
                      </wps:wsp>
                      <wps:wsp>
                        <wps:cNvPr id="26" name="Rounded Rectangle 27"/>
                        <wps:cNvSpPr/>
                        <wps:spPr>
                          <a:xfrm>
                            <a:off x="10390574" y="13980"/>
                            <a:ext cx="1418738" cy="5715016"/>
                          </a:xfrm>
                          <a:prstGeom prst="roundRect">
                            <a:avLst/>
                          </a:prstGeom>
                          <a:solidFill>
                            <a:schemeClr val="bg2">
                              <a:lumMod val="60000"/>
                              <a:lumOff val="40000"/>
                            </a:schemeClr>
                          </a:solidFill>
                        </wps:spPr>
                        <wps:style>
                          <a:lnRef idx="3">
                            <a:schemeClr val="lt1"/>
                          </a:lnRef>
                          <a:fillRef idx="1">
                            <a:schemeClr val="accent2"/>
                          </a:fillRef>
                          <a:effectRef idx="1">
                            <a:schemeClr val="accent2"/>
                          </a:effectRef>
                          <a:fontRef idx="minor">
                            <a:schemeClr val="lt1"/>
                          </a:fontRef>
                        </wps:style>
                        <wps:txbx>
                          <w:txbxContent>
                            <w:p w14:paraId="17A5B44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ΤΠΕ και</w:t>
                              </w:r>
                              <w:r w:rsidRPr="00C36DBF">
                                <w:rPr>
                                  <w:rFonts w:asciiTheme="minorHAnsi" w:hAnsiTheme="minorHAnsi" w:cstheme="minorHAnsi"/>
                                  <w:b/>
                                  <w:bCs/>
                                  <w:color w:val="000000"/>
                                  <w:kern w:val="24"/>
                                  <w:sz w:val="14"/>
                                  <w:szCs w:val="14"/>
                                  <w:lang w:val="en-US"/>
                                </w:rPr>
                                <w:t xml:space="preserve"> </w:t>
                              </w:r>
                              <w:r w:rsidRPr="00C36DBF">
                                <w:rPr>
                                  <w:rFonts w:asciiTheme="minorHAnsi" w:hAnsiTheme="minorHAnsi" w:cstheme="minorHAnsi"/>
                                  <w:b/>
                                  <w:bCs/>
                                  <w:color w:val="000000"/>
                                  <w:kern w:val="24"/>
                                  <w:sz w:val="14"/>
                                  <w:szCs w:val="14"/>
                                </w:rPr>
                                <w:t xml:space="preserve">άλλες </w:t>
                              </w:r>
                              <w:r w:rsidRPr="00C36DBF">
                                <w:rPr>
                                  <w:rFonts w:asciiTheme="minorHAnsi" w:hAnsiTheme="minorHAnsi" w:cstheme="minorHAnsi"/>
                                  <w:b/>
                                  <w:bCs/>
                                  <w:color w:val="000000"/>
                                  <w:kern w:val="24"/>
                                  <w:sz w:val="14"/>
                                  <w:szCs w:val="14"/>
                                  <w:lang w:val="en-US"/>
                                </w:rPr>
                                <w:t>KET</w:t>
                              </w:r>
                              <w:r w:rsidRPr="00C36DBF">
                                <w:rPr>
                                  <w:rFonts w:asciiTheme="minorHAnsi" w:hAnsiTheme="minorHAnsi" w:cstheme="minorHAnsi"/>
                                  <w:b/>
                                  <w:bCs/>
                                  <w:color w:val="000000"/>
                                  <w:kern w:val="24"/>
                                  <w:sz w:val="14"/>
                                  <w:szCs w:val="14"/>
                                </w:rPr>
                                <w:t xml:space="preserve"> </w:t>
                              </w:r>
                            </w:p>
                          </w:txbxContent>
                        </wps:txbx>
                        <wps:bodyPr rtlCol="0" anchor="t"/>
                      </wps:wsp>
                      <wps:wsp>
                        <wps:cNvPr id="27" name="Pentagon 28"/>
                        <wps:cNvSpPr/>
                        <wps:spPr>
                          <a:xfrm>
                            <a:off x="-90562" y="2764070"/>
                            <a:ext cx="1242690" cy="1872208"/>
                          </a:xfrm>
                          <a:prstGeom prst="homePlate">
                            <a:avLst/>
                          </a:prstGeom>
                        </wps:spPr>
                        <wps:style>
                          <a:lnRef idx="3">
                            <a:schemeClr val="lt1"/>
                          </a:lnRef>
                          <a:fillRef idx="1">
                            <a:schemeClr val="accent1"/>
                          </a:fillRef>
                          <a:effectRef idx="1">
                            <a:schemeClr val="accent1"/>
                          </a:effectRef>
                          <a:fontRef idx="minor">
                            <a:schemeClr val="lt1"/>
                          </a:fontRef>
                        </wps:style>
                        <wps:txbx>
                          <w:txbxContent>
                            <w:p w14:paraId="301D958C"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79FEF9D1"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 xml:space="preserve">Industrial </w:t>
                              </w:r>
                            </w:p>
                            <w:p w14:paraId="45C2BE96"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leadership</w:t>
                              </w:r>
                            </w:p>
                          </w:txbxContent>
                        </wps:txbx>
                        <wps:bodyPr vert="vert270" rtlCol="0" anchor="ctr"/>
                      </wps:wsp>
                      <wps:wsp>
                        <wps:cNvPr id="28" name="Rounded Rectangle 29"/>
                        <wps:cNvSpPr/>
                        <wps:spPr>
                          <a:xfrm>
                            <a:off x="1152128" y="2729846"/>
                            <a:ext cx="10657184" cy="1944216"/>
                          </a:xfrm>
                          <a:prstGeom prst="roundRect">
                            <a:avLst>
                              <a:gd name="adj" fmla="val 9738"/>
                            </a:avLst>
                          </a:prstGeom>
                          <a:solidFill>
                            <a:schemeClr val="accent1">
                              <a:alpha val="38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Rounded Rectangle 30"/>
                        <wps:cNvSpPr/>
                        <wps:spPr>
                          <a:xfrm>
                            <a:off x="1248138" y="2801854"/>
                            <a:ext cx="10561173" cy="504056"/>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040CFB1F"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sidRPr="00A94BA9">
                                <w:rPr>
                                  <w:rFonts w:asciiTheme="minorHAnsi" w:hAnsiTheme="minorHAnsi" w:cstheme="minorHAnsi"/>
                                  <w:color w:val="FFFFFF" w:themeColor="light1"/>
                                  <w:kern w:val="24"/>
                                  <w:sz w:val="14"/>
                                  <w:szCs w:val="14"/>
                                </w:rPr>
                                <w:t>Ηγεσία σ</w:t>
                              </w:r>
                              <w:r>
                                <w:rPr>
                                  <w:rFonts w:asciiTheme="minorHAnsi" w:hAnsiTheme="minorHAnsi" w:cstheme="minorHAnsi"/>
                                  <w:color w:val="FFFFFF" w:themeColor="light1"/>
                                  <w:kern w:val="24"/>
                                  <w:sz w:val="14"/>
                                  <w:szCs w:val="14"/>
                                </w:rPr>
                                <w:t>ε</w:t>
                              </w:r>
                              <w:r w:rsidRPr="00A94BA9">
                                <w:rPr>
                                  <w:rFonts w:asciiTheme="minorHAnsi" w:hAnsiTheme="minorHAnsi" w:cstheme="minorHAnsi"/>
                                  <w:color w:val="FFFFFF" w:themeColor="light1"/>
                                  <w:kern w:val="24"/>
                                  <w:sz w:val="14"/>
                                  <w:szCs w:val="14"/>
                                </w:rPr>
                                <w:t xml:space="preserve"> γενικές και βιομηχανικές τεχνολογίες</w:t>
                              </w:r>
                            </w:p>
                          </w:txbxContent>
                        </wps:txbx>
                        <wps:bodyPr rtlCol="0" anchor="ctr"/>
                      </wps:wsp>
                      <wps:wsp>
                        <wps:cNvPr id="30" name="Rounded Rectangle 31"/>
                        <wps:cNvSpPr/>
                        <wps:spPr>
                          <a:xfrm>
                            <a:off x="1248138" y="3449926"/>
                            <a:ext cx="10561173" cy="504056"/>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0EC38FC8"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Pr>
                                  <w:rFonts w:asciiTheme="minorHAnsi" w:hAnsiTheme="minorHAnsi" w:cstheme="minorHAnsi"/>
                                  <w:color w:val="FFFFFF" w:themeColor="light1"/>
                                  <w:kern w:val="24"/>
                                  <w:sz w:val="14"/>
                                  <w:szCs w:val="14"/>
                                </w:rPr>
                                <w:t>Καινοτομία στις ΜΜΕ</w:t>
                              </w:r>
                            </w:p>
                          </w:txbxContent>
                        </wps:txbx>
                        <wps:bodyPr rtlCol="0" anchor="ctr"/>
                      </wps:wsp>
                      <wps:wsp>
                        <wps:cNvPr id="31" name="Rounded Rectangle 32"/>
                        <wps:cNvSpPr/>
                        <wps:spPr>
                          <a:xfrm>
                            <a:off x="1248138" y="4097998"/>
                            <a:ext cx="10561173" cy="504056"/>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76F10744"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Pr>
                                  <w:rFonts w:asciiTheme="minorHAnsi" w:hAnsiTheme="minorHAnsi" w:cstheme="minorHAnsi"/>
                                  <w:color w:val="FFFFFF" w:themeColor="light1"/>
                                  <w:kern w:val="24"/>
                                  <w:sz w:val="14"/>
                                  <w:szCs w:val="14"/>
                                </w:rPr>
                                <w:t>Πρόσβαση σε χρηματοδότηση επιχειρηματικού κινδύνου</w:t>
                              </w:r>
                            </w:p>
                          </w:txbxContent>
                        </wps:txbx>
                        <wps:bodyPr rtlCol="0" anchor="ctr"/>
                      </wps:wsp>
                      <wps:wsp>
                        <wps:cNvPr id="32" name="Pentagon 35"/>
                        <wps:cNvSpPr/>
                        <wps:spPr>
                          <a:xfrm>
                            <a:off x="-90560" y="4745499"/>
                            <a:ext cx="1242690" cy="969517"/>
                          </a:xfrm>
                          <a:prstGeom prst="homePlate">
                            <a:avLst/>
                          </a:prstGeom>
                        </wps:spPr>
                        <wps:style>
                          <a:lnRef idx="3">
                            <a:schemeClr val="lt1"/>
                          </a:lnRef>
                          <a:fillRef idx="1">
                            <a:schemeClr val="accent1"/>
                          </a:fillRef>
                          <a:effectRef idx="1">
                            <a:schemeClr val="accent1"/>
                          </a:effectRef>
                          <a:fontRef idx="minor">
                            <a:schemeClr val="lt1"/>
                          </a:fontRef>
                        </wps:style>
                        <wps:txbx>
                          <w:txbxContent>
                            <w:p w14:paraId="6FF21E60"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36842B55"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Excellence in science</w:t>
                              </w:r>
                            </w:p>
                          </w:txbxContent>
                        </wps:txbx>
                        <wps:bodyPr vert="vert270" rtlCol="0" anchor="ctr"/>
                      </wps:wsp>
                      <wps:wsp>
                        <wps:cNvPr id="33" name="Rounded Rectangle 36"/>
                        <wps:cNvSpPr/>
                        <wps:spPr>
                          <a:xfrm>
                            <a:off x="1248138" y="4818078"/>
                            <a:ext cx="10561173" cy="836712"/>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34653AB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 xml:space="preserve">ΕΡΕΥΝΗΤΙΚΕΣ ΥΠΟΔΟΜΕΣ </w:t>
                              </w:r>
                              <w:r w:rsidRPr="00C36DBF">
                                <w:rPr>
                                  <w:rFonts w:asciiTheme="minorHAnsi" w:hAnsiTheme="minorHAnsi" w:cstheme="minorHAnsi"/>
                                  <w:color w:val="FFFFFF" w:themeColor="light1"/>
                                  <w:kern w:val="24"/>
                                  <w:sz w:val="14"/>
                                  <w:szCs w:val="14"/>
                                  <w:lang w:val="en-US"/>
                                </w:rPr>
                                <w:t>ESFRI</w:t>
                              </w:r>
                            </w:p>
                          </w:txbxContent>
                        </wps:txbx>
                        <wps:bodyPr rtlCol="0" anchor="ctr"/>
                      </wps:wsp>
                      <wps:wsp>
                        <wps:cNvPr id="34" name="Rounded Rectangle 23"/>
                        <wps:cNvSpPr/>
                        <wps:spPr>
                          <a:xfrm>
                            <a:off x="1152128" y="797030"/>
                            <a:ext cx="10657183" cy="1801910"/>
                          </a:xfrm>
                          <a:prstGeom prst="roundRect">
                            <a:avLst>
                              <a:gd name="adj" fmla="val 9738"/>
                            </a:avLst>
                          </a:prstGeom>
                          <a:solidFill>
                            <a:schemeClr val="accent1">
                              <a:alpha val="38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5" name="Rounded Rectangle 16"/>
                        <wps:cNvSpPr/>
                        <wps:spPr>
                          <a:xfrm>
                            <a:off x="1248138" y="934840"/>
                            <a:ext cx="1344149" cy="1514235"/>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2765A6F1"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Επισιτιστική ασφάλεια και αειφόρος χρήση των βιολογικών πόρων</w:t>
                              </w:r>
                            </w:p>
                          </w:txbxContent>
                        </wps:txbx>
                        <wps:bodyPr rtlCol="0" anchor="ctr"/>
                      </wps:wsp>
                      <wps:wsp>
                        <wps:cNvPr id="36" name="Rounded Rectangle 20"/>
                        <wps:cNvSpPr/>
                        <wps:spPr>
                          <a:xfrm>
                            <a:off x="5711576" y="840168"/>
                            <a:ext cx="3215617" cy="516494"/>
                          </a:xfrm>
                          <a:prstGeom prst="roundRect">
                            <a:avLst/>
                          </a:prstGeom>
                          <a:solidFill>
                            <a:srgbClr val="6699FF"/>
                          </a:solidFill>
                        </wps:spPr>
                        <wps:style>
                          <a:lnRef idx="3">
                            <a:schemeClr val="lt1"/>
                          </a:lnRef>
                          <a:fillRef idx="1">
                            <a:schemeClr val="accent1"/>
                          </a:fillRef>
                          <a:effectRef idx="1">
                            <a:schemeClr val="accent1"/>
                          </a:effectRef>
                          <a:fontRef idx="minor">
                            <a:schemeClr val="lt1"/>
                          </a:fontRef>
                        </wps:style>
                        <wps:txbx>
                          <w:txbxContent>
                            <w:p w14:paraId="1320F3B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Βιώσιμη ενέργεια</w:t>
                              </w:r>
                            </w:p>
                          </w:txbxContent>
                        </wps:txbx>
                        <wps:bodyPr rtlCol="0" anchor="ctr"/>
                      </wps:wsp>
                      <wps:wsp>
                        <wps:cNvPr id="40" name="Rounded Rectangle 21"/>
                        <wps:cNvSpPr/>
                        <wps:spPr>
                          <a:xfrm>
                            <a:off x="4287983" y="963202"/>
                            <a:ext cx="1264860" cy="1514235"/>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76E8AD1C"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Υγεία και καλή διαβίωση</w:t>
                              </w:r>
                            </w:p>
                          </w:txbxContent>
                        </wps:txbx>
                        <wps:bodyPr rtlCol="0" anchor="ctr"/>
                      </wps:wsp>
                      <wps:wsp>
                        <wps:cNvPr id="41" name="Pentagon 22"/>
                        <wps:cNvSpPr/>
                        <wps:spPr>
                          <a:xfrm>
                            <a:off x="-90562" y="641614"/>
                            <a:ext cx="1312077" cy="1872208"/>
                          </a:xfrm>
                          <a:prstGeom prst="homePlate">
                            <a:avLst/>
                          </a:prstGeom>
                        </wps:spPr>
                        <wps:style>
                          <a:lnRef idx="3">
                            <a:schemeClr val="lt1"/>
                          </a:lnRef>
                          <a:fillRef idx="1">
                            <a:schemeClr val="accent1"/>
                          </a:fillRef>
                          <a:effectRef idx="1">
                            <a:schemeClr val="accent1"/>
                          </a:effectRef>
                          <a:fontRef idx="minor">
                            <a:schemeClr val="lt1"/>
                          </a:fontRef>
                        </wps:style>
                        <wps:txbx>
                          <w:txbxContent>
                            <w:p w14:paraId="35ADADEF"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62F66E4F"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 xml:space="preserve">Societal </w:t>
                              </w:r>
                            </w:p>
                            <w:p w14:paraId="22F2A74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challenges</w:t>
                              </w:r>
                            </w:p>
                          </w:txbxContent>
                        </wps:txbx>
                        <wps:bodyPr vert="vert270" rtlCol="0" anchor="ctr"/>
                      </wps:wsp>
                      <wps:wsp>
                        <wps:cNvPr id="42" name="Rounded Rectangle 25"/>
                        <wps:cNvSpPr/>
                        <wps:spPr>
                          <a:xfrm>
                            <a:off x="9045903" y="977725"/>
                            <a:ext cx="1344149" cy="1428463"/>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2D03542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Πράσινη, ολοκληρωμένη κινητικότητα</w:t>
                              </w:r>
                            </w:p>
                          </w:txbxContent>
                        </wps:txbx>
                        <wps:bodyPr rtlCol="0" anchor="ctr"/>
                      </wps:wsp>
                      <wps:wsp>
                        <wps:cNvPr id="43" name="Rounded Rectangle 26"/>
                        <wps:cNvSpPr/>
                        <wps:spPr>
                          <a:xfrm>
                            <a:off x="5729146" y="1423840"/>
                            <a:ext cx="3197905" cy="522378"/>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11F8350E"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Αποδοτικότητα πόρων και πρώτων υλών</w:t>
                              </w:r>
                            </w:p>
                          </w:txbxContent>
                        </wps:txbx>
                        <wps:bodyPr rtlCol="0" anchor="ctr"/>
                      </wps:wsp>
                      <wps:wsp>
                        <wps:cNvPr id="47" name="Rounded Rectangle 37"/>
                        <wps:cNvSpPr/>
                        <wps:spPr>
                          <a:xfrm>
                            <a:off x="7481889" y="1949074"/>
                            <a:ext cx="1320789" cy="648072"/>
                          </a:xfrm>
                          <a:prstGeom prst="roundRect">
                            <a:avLst/>
                          </a:prstGeom>
                          <a:solidFill>
                            <a:schemeClr val="accent2"/>
                          </a:solidFill>
                        </wps:spPr>
                        <wps:style>
                          <a:lnRef idx="3">
                            <a:schemeClr val="lt1"/>
                          </a:lnRef>
                          <a:fillRef idx="1">
                            <a:schemeClr val="accent1"/>
                          </a:fillRef>
                          <a:effectRef idx="1">
                            <a:schemeClr val="accent1"/>
                          </a:effectRef>
                          <a:fontRef idx="minor">
                            <a:schemeClr val="lt1"/>
                          </a:fontRef>
                        </wps:style>
                        <wps:txbx>
                          <w:txbxContent>
                            <w:p w14:paraId="0959CD24"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Θαλάσσια έρευνα</w:t>
                              </w:r>
                            </w:p>
                          </w:txbxContent>
                        </wps:txbx>
                        <wps:bodyPr rtlCol="0" anchor="ctr"/>
                      </wps:wsp>
                      <wps:wsp>
                        <wps:cNvPr id="48" name="Rounded Rectangle 26"/>
                        <wps:cNvSpPr/>
                        <wps:spPr>
                          <a:xfrm>
                            <a:off x="5745523" y="1423839"/>
                            <a:ext cx="3197904" cy="522378"/>
                          </a:xfrm>
                          <a:prstGeom prst="roundRect">
                            <a:avLst/>
                          </a:prstGeom>
                        </wps:spPr>
                        <wps:style>
                          <a:lnRef idx="3">
                            <a:schemeClr val="lt1"/>
                          </a:lnRef>
                          <a:fillRef idx="1">
                            <a:schemeClr val="accent1"/>
                          </a:fillRef>
                          <a:effectRef idx="1">
                            <a:schemeClr val="accent1"/>
                          </a:effectRef>
                          <a:fontRef idx="minor">
                            <a:schemeClr val="lt1"/>
                          </a:fontRef>
                        </wps:style>
                        <wps:txbx>
                          <w:txbxContent>
                            <w:p w14:paraId="38113B65" w14:textId="77777777" w:rsidR="00842E11" w:rsidRPr="00F07C91" w:rsidRDefault="00842E11" w:rsidP="006B4E03">
                              <w:pPr>
                                <w:pStyle w:val="NormalWeb"/>
                                <w:spacing w:before="0" w:beforeAutospacing="0" w:after="0" w:afterAutospacing="0"/>
                                <w:jc w:val="center"/>
                                <w:rPr>
                                  <w:rFonts w:asciiTheme="minorHAnsi" w:hAnsiTheme="minorHAnsi" w:cstheme="minorHAnsi"/>
                                  <w:sz w:val="10"/>
                                  <w:szCs w:val="14"/>
                                </w:rPr>
                              </w:pPr>
                              <w:r w:rsidRPr="00F07C91">
                                <w:rPr>
                                  <w:rFonts w:asciiTheme="minorHAnsi" w:hAnsiTheme="minorHAnsi" w:cstheme="minorHAnsi"/>
                                  <w:color w:val="FFFFFF" w:themeColor="light1"/>
                                  <w:kern w:val="24"/>
                                  <w:sz w:val="10"/>
                                  <w:szCs w:val="14"/>
                                </w:rPr>
                                <w:t>Κλιματική αλλαγή, περιβάλλον, αποδοτικότητα πόρων και πρώτες ύλες</w:t>
                              </w:r>
                            </w:p>
                          </w:txbxContent>
                        </wps:txbx>
                        <wps:bodyPr rtlCol="0" anchor="ctr"/>
                      </wps:wsp>
                    </wpg:wgp>
                  </a:graphicData>
                </a:graphic>
              </wp:inline>
            </w:drawing>
          </mc:Choice>
          <mc:Fallback>
            <w:pict>
              <v:group w14:anchorId="65A885A3" id="Ομάδα 4" o:spid="_x0000_s1027" style="width:415.3pt;height:261.7pt;mso-position-horizontal-relative:char;mso-position-vertical-relative:line" coordorigin="-905" coordsize="118998,57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">
                <v:roundrect id="Rounded Rectangle 12" o:spid="_x0000_s1028" style="position:absolute;left:57291;width:15245;height:564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" fillcolor="#f0efef [1950]" strokecolor="white [3201]" strokeweight="1.5pt">
                  <v:stroke joinstyle="miter"/>
                  <v:textbox>
                    <w:txbxContent>
                      <w:p w14:paraId="27A26794"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Ενέργεια</w:t>
                        </w:r>
                      </w:p>
                    </w:txbxContent>
                  </v:textbox>
                </v:roundrect>
                <v:roundrect id="Rounded Rectangle 13" o:spid="_x0000_s1029" style="position:absolute;left:12481;top:112;width:13546;height:564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" fillcolor="#4472c4 [3208]" strokecolor="white [3201]" strokeweight="1.5pt">
                  <v:stroke joinstyle="miter"/>
                  <v:textbox>
                    <w:txbxContent>
                      <w:p w14:paraId="02F4C9D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proofErr w:type="spellStart"/>
                        <w:r w:rsidRPr="00C36DBF">
                          <w:rPr>
                            <w:rFonts w:asciiTheme="minorHAnsi" w:hAnsiTheme="minorHAnsi" w:cstheme="minorHAnsi"/>
                            <w:b/>
                            <w:bCs/>
                            <w:color w:val="000000"/>
                            <w:kern w:val="24"/>
                            <w:sz w:val="14"/>
                            <w:szCs w:val="14"/>
                          </w:rPr>
                          <w:t>Αγρο</w:t>
                        </w:r>
                        <w:proofErr w:type="spellEnd"/>
                        <w:r w:rsidRPr="00C36DBF">
                          <w:rPr>
                            <w:rFonts w:asciiTheme="minorHAnsi" w:hAnsiTheme="minorHAnsi" w:cstheme="minorHAnsi"/>
                            <w:b/>
                            <w:bCs/>
                            <w:color w:val="000000"/>
                            <w:kern w:val="24"/>
                            <w:sz w:val="14"/>
                            <w:szCs w:val="14"/>
                          </w:rPr>
                          <w:t>-διατροφή</w:t>
                        </w:r>
                      </w:p>
                    </w:txbxContent>
                  </v:textbox>
                </v:roundrect>
                <v:roundrect id="Rounded Rectangle 15" o:spid="_x0000_s1030" style="position:absolute;left:41515;top:112;width:15603;height:564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" fillcolor="#4472c4 [3208]" strokecolor="white [3201]" strokeweight="1.5pt">
                  <v:stroke joinstyle="miter"/>
                  <v:textbox>
                    <w:txbxContent>
                      <w:p w14:paraId="2D0BEF5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proofErr w:type="spellStart"/>
                        <w:r w:rsidRPr="00C36DBF">
                          <w:rPr>
                            <w:rFonts w:asciiTheme="minorHAnsi" w:hAnsiTheme="minorHAnsi" w:cstheme="minorHAnsi"/>
                            <w:b/>
                            <w:bCs/>
                            <w:color w:val="000000"/>
                            <w:kern w:val="24"/>
                            <w:sz w:val="12"/>
                            <w:szCs w:val="14"/>
                          </w:rPr>
                          <w:t>Βιοεπιστημες</w:t>
                        </w:r>
                        <w:proofErr w:type="spellEnd"/>
                        <w:r w:rsidRPr="00C36DBF">
                          <w:rPr>
                            <w:rFonts w:asciiTheme="minorHAnsi" w:hAnsiTheme="minorHAnsi" w:cstheme="minorHAnsi"/>
                            <w:b/>
                            <w:bCs/>
                            <w:color w:val="000000"/>
                            <w:kern w:val="24"/>
                            <w:sz w:val="12"/>
                            <w:szCs w:val="14"/>
                          </w:rPr>
                          <w:t>-</w:t>
                        </w:r>
                        <w:r>
                          <w:rPr>
                            <w:rFonts w:asciiTheme="minorHAnsi" w:hAnsiTheme="minorHAnsi" w:cstheme="minorHAnsi"/>
                            <w:b/>
                            <w:bCs/>
                            <w:color w:val="000000"/>
                            <w:kern w:val="24"/>
                            <w:sz w:val="12"/>
                            <w:szCs w:val="14"/>
                          </w:rPr>
                          <w:t xml:space="preserve"> </w:t>
                        </w:r>
                        <w:r w:rsidRPr="00C36DBF">
                          <w:rPr>
                            <w:rFonts w:asciiTheme="minorHAnsi" w:hAnsiTheme="minorHAnsi" w:cstheme="minorHAnsi"/>
                            <w:b/>
                            <w:bCs/>
                            <w:color w:val="000000"/>
                            <w:kern w:val="24"/>
                            <w:sz w:val="12"/>
                            <w:szCs w:val="14"/>
                          </w:rPr>
                          <w:t>Υγεία</w:t>
                        </w:r>
                        <w:r w:rsidRPr="00C36DBF">
                          <w:rPr>
                            <w:rFonts w:asciiTheme="minorHAnsi" w:hAnsiTheme="minorHAnsi" w:cstheme="minorHAnsi"/>
                            <w:color w:val="000000"/>
                            <w:kern w:val="24"/>
                            <w:sz w:val="12"/>
                            <w:szCs w:val="14"/>
                          </w:rPr>
                          <w:t xml:space="preserve"> </w:t>
                        </w:r>
                        <w:r w:rsidRPr="00C36DBF">
                          <w:rPr>
                            <w:rFonts w:asciiTheme="minorHAnsi" w:hAnsiTheme="minorHAnsi" w:cstheme="minorHAnsi"/>
                            <w:b/>
                            <w:bCs/>
                            <w:color w:val="000000"/>
                            <w:kern w:val="24"/>
                            <w:sz w:val="12"/>
                            <w:szCs w:val="14"/>
                          </w:rPr>
                          <w:t>φάρμακ</w:t>
                        </w:r>
                        <w:r>
                          <w:rPr>
                            <w:rFonts w:asciiTheme="minorHAnsi" w:hAnsiTheme="minorHAnsi" w:cstheme="minorHAnsi"/>
                            <w:b/>
                            <w:bCs/>
                            <w:color w:val="000000"/>
                            <w:kern w:val="24"/>
                            <w:sz w:val="12"/>
                            <w:szCs w:val="14"/>
                          </w:rPr>
                          <w:t>α</w:t>
                        </w:r>
                      </w:p>
                    </w:txbxContent>
                  </v:textbox>
                </v:roundrect>
                <v:roundrect id="Rounded Rectangle 14" o:spid="_x0000_s1031" style="position:absolute;left:26026;top:112;width:15477;height:564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" fillcolor="#00b0f0" strokecolor="white [3201]" strokeweight="1.5pt">
                  <v:stroke joinstyle="miter"/>
                  <v:textbox>
                    <w:txbxContent>
                      <w:p w14:paraId="2D89315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Πολιτισμός-Τουρισμός</w:t>
                        </w:r>
                      </w:p>
                    </w:txbxContent>
                  </v:textbox>
                </v:roundrect>
                <v:roundrect id="Rounded Rectangle 24" o:spid="_x0000_s1032" style="position:absolute;left:73444;width:15834;height:571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" fillcolor="#f0efef [1950]" strokecolor="white [3201]" strokeweight="1.5pt">
                  <v:stroke joinstyle="miter"/>
                  <v:textbox>
                    <w:txbxContent>
                      <w:p w14:paraId="650A6C5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r w:rsidRPr="00C36DBF">
                          <w:rPr>
                            <w:rFonts w:asciiTheme="minorHAnsi" w:hAnsiTheme="minorHAnsi" w:cstheme="minorHAnsi"/>
                            <w:b/>
                            <w:bCs/>
                            <w:color w:val="000000"/>
                            <w:kern w:val="24"/>
                            <w:sz w:val="12"/>
                            <w:szCs w:val="14"/>
                          </w:rPr>
                          <w:t>Περιβάλλον &amp;</w:t>
                        </w:r>
                        <w:r>
                          <w:rPr>
                            <w:rFonts w:asciiTheme="minorHAnsi" w:hAnsiTheme="minorHAnsi" w:cstheme="minorHAnsi"/>
                            <w:b/>
                            <w:bCs/>
                            <w:color w:val="000000"/>
                            <w:kern w:val="24"/>
                            <w:sz w:val="12"/>
                            <w:szCs w:val="14"/>
                          </w:rPr>
                          <w:t xml:space="preserve"> </w:t>
                        </w:r>
                        <w:r w:rsidRPr="00C36DBF">
                          <w:rPr>
                            <w:rFonts w:asciiTheme="minorHAnsi" w:hAnsiTheme="minorHAnsi" w:cstheme="minorHAnsi"/>
                            <w:b/>
                            <w:bCs/>
                            <w:color w:val="000000"/>
                            <w:kern w:val="24"/>
                            <w:sz w:val="12"/>
                            <w:szCs w:val="14"/>
                          </w:rPr>
                          <w:t>Βιώσιμη Ανάπτυξη</w:t>
                        </w:r>
                      </w:p>
                    </w:txbxContent>
                  </v:textbox>
                </v:roundrect>
                <v:roundrect id="Rounded Rectangle 25" o:spid="_x0000_s1033" style="position:absolute;left:89600;top:112;width:14300;height:571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" fillcolor="#f0efef [1950]" strokecolor="white [3201]" strokeweight="1.5pt">
                  <v:stroke joinstyle="miter"/>
                  <v:textbox>
                    <w:txbxContent>
                      <w:p w14:paraId="77CBD5A8"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2"/>
                            <w:szCs w:val="14"/>
                          </w:rPr>
                        </w:pPr>
                        <w:r w:rsidRPr="00C36DBF">
                          <w:rPr>
                            <w:rFonts w:asciiTheme="minorHAnsi" w:hAnsiTheme="minorHAnsi" w:cstheme="minorHAnsi"/>
                            <w:b/>
                            <w:bCs/>
                            <w:color w:val="000000"/>
                            <w:kern w:val="24"/>
                            <w:sz w:val="12"/>
                            <w:szCs w:val="14"/>
                          </w:rPr>
                          <w:t xml:space="preserve">Μεταφορές και </w:t>
                        </w:r>
                        <w:r w:rsidRPr="00C36DBF">
                          <w:rPr>
                            <w:rFonts w:asciiTheme="minorHAnsi" w:hAnsiTheme="minorHAnsi" w:cstheme="minorHAnsi"/>
                            <w:b/>
                            <w:bCs/>
                            <w:color w:val="000000"/>
                            <w:kern w:val="24"/>
                            <w:sz w:val="12"/>
                            <w:szCs w:val="14"/>
                            <w:lang w:val="en-US"/>
                          </w:rPr>
                          <w:t>logistics</w:t>
                        </w:r>
                      </w:p>
                    </w:txbxContent>
                  </v:textbox>
                </v:roundrect>
                <v:roundrect id="Rounded Rectangle 27" o:spid="_x0000_s1034" style="position:absolute;left:103905;top:139;width:14188;height:571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" fillcolor="#f0efef [1950]" strokecolor="white [3201]" strokeweight="1.5pt">
                  <v:stroke joinstyle="miter"/>
                  <v:textbox>
                    <w:txbxContent>
                      <w:p w14:paraId="17A5B44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000000"/>
                            <w:kern w:val="24"/>
                            <w:sz w:val="14"/>
                            <w:szCs w:val="14"/>
                          </w:rPr>
                          <w:t>ΤΠΕ και</w:t>
                        </w:r>
                        <w:r w:rsidRPr="00C36DBF">
                          <w:rPr>
                            <w:rFonts w:asciiTheme="minorHAnsi" w:hAnsiTheme="minorHAnsi" w:cstheme="minorHAnsi"/>
                            <w:b/>
                            <w:bCs/>
                            <w:color w:val="000000"/>
                            <w:kern w:val="24"/>
                            <w:sz w:val="14"/>
                            <w:szCs w:val="14"/>
                            <w:lang w:val="en-US"/>
                          </w:rPr>
                          <w:t xml:space="preserve"> </w:t>
                        </w:r>
                        <w:r w:rsidRPr="00C36DBF">
                          <w:rPr>
                            <w:rFonts w:asciiTheme="minorHAnsi" w:hAnsiTheme="minorHAnsi" w:cstheme="minorHAnsi"/>
                            <w:b/>
                            <w:bCs/>
                            <w:color w:val="000000"/>
                            <w:kern w:val="24"/>
                            <w:sz w:val="14"/>
                            <w:szCs w:val="14"/>
                          </w:rPr>
                          <w:t xml:space="preserve">άλλες </w:t>
                        </w:r>
                        <w:r w:rsidRPr="00C36DBF">
                          <w:rPr>
                            <w:rFonts w:asciiTheme="minorHAnsi" w:hAnsiTheme="minorHAnsi" w:cstheme="minorHAnsi"/>
                            <w:b/>
                            <w:bCs/>
                            <w:color w:val="000000"/>
                            <w:kern w:val="24"/>
                            <w:sz w:val="14"/>
                            <w:szCs w:val="14"/>
                            <w:lang w:val="en-US"/>
                          </w:rPr>
                          <w:t>KET</w:t>
                        </w:r>
                        <w:r w:rsidRPr="00C36DBF">
                          <w:rPr>
                            <w:rFonts w:asciiTheme="minorHAnsi" w:hAnsiTheme="minorHAnsi" w:cstheme="minorHAnsi"/>
                            <w:b/>
                            <w:bCs/>
                            <w:color w:val="000000"/>
                            <w:kern w:val="24"/>
                            <w:sz w:val="14"/>
                            <w:szCs w:val="14"/>
                          </w:rPr>
                          <w:t xml:space="preserve"> </w:t>
                        </w: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8" o:spid="_x0000_s1035" type="#_x0000_t15" style="position:absolute;left:-905;top:27640;width:12426;height:18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" adj="10800" fillcolor="#5b9bd5 [3204]" strokecolor="white [3201]" strokeweight="1.5pt">
                  <v:textbox style="layout-flow:vertical;mso-layout-flow-alt:bottom-to-top">
                    <w:txbxContent>
                      <w:p w14:paraId="301D958C"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79FEF9D1"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 xml:space="preserve">Industrial </w:t>
                        </w:r>
                      </w:p>
                      <w:p w14:paraId="45C2BE96"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leadership</w:t>
                        </w:r>
                      </w:p>
                    </w:txbxContent>
                  </v:textbox>
                </v:shape>
                <v:roundrect id="Rounded Rectangle 29" o:spid="_x0000_s1036" style="position:absolute;left:11521;top:27298;width:106572;height:19442;visibility:visible;mso-wrap-style:square;v-text-anchor:middle" arcsize="63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" fillcolor="#5b9bd5 [3204]" strokecolor="#1f4d78 [1604]" strokeweight="1pt">
                  <v:fill opacity="24929f"/>
                  <v:stroke joinstyle="miter"/>
                </v:roundrect>
                <v:roundrect id="Rounded Rectangle 30" o:spid="_x0000_s1037" style="position:absolute;left:12481;top:28018;width:105612;height:50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" fillcolor="#5b9bd5 [3204]" strokecolor="white [3201]" strokeweight="1.5pt">
                  <v:stroke joinstyle="miter"/>
                  <v:textbox>
                    <w:txbxContent>
                      <w:p w14:paraId="040CFB1F"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sidRPr="00A94BA9">
                          <w:rPr>
                            <w:rFonts w:asciiTheme="minorHAnsi" w:hAnsiTheme="minorHAnsi" w:cstheme="minorHAnsi"/>
                            <w:color w:val="FFFFFF" w:themeColor="light1"/>
                            <w:kern w:val="24"/>
                            <w:sz w:val="14"/>
                            <w:szCs w:val="14"/>
                          </w:rPr>
                          <w:t>Ηγεσία σ</w:t>
                        </w:r>
                        <w:r>
                          <w:rPr>
                            <w:rFonts w:asciiTheme="minorHAnsi" w:hAnsiTheme="minorHAnsi" w:cstheme="minorHAnsi"/>
                            <w:color w:val="FFFFFF" w:themeColor="light1"/>
                            <w:kern w:val="24"/>
                            <w:sz w:val="14"/>
                            <w:szCs w:val="14"/>
                          </w:rPr>
                          <w:t>ε</w:t>
                        </w:r>
                        <w:r w:rsidRPr="00A94BA9">
                          <w:rPr>
                            <w:rFonts w:asciiTheme="minorHAnsi" w:hAnsiTheme="minorHAnsi" w:cstheme="minorHAnsi"/>
                            <w:color w:val="FFFFFF" w:themeColor="light1"/>
                            <w:kern w:val="24"/>
                            <w:sz w:val="14"/>
                            <w:szCs w:val="14"/>
                          </w:rPr>
                          <w:t xml:space="preserve"> γενικές και βιομηχανικές τεχνολογίες</w:t>
                        </w:r>
                      </w:p>
                    </w:txbxContent>
                  </v:textbox>
                </v:roundrect>
                <v:roundrect id="Rounded Rectangle 31" o:spid="_x0000_s1038" style="position:absolute;left:12481;top:34499;width:105612;height:50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" fillcolor="#5b9bd5 [3204]" strokecolor="white [3201]" strokeweight="1.5pt">
                  <v:stroke joinstyle="miter"/>
                  <v:textbox>
                    <w:txbxContent>
                      <w:p w14:paraId="0EC38FC8"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Pr>
                            <w:rFonts w:asciiTheme="minorHAnsi" w:hAnsiTheme="minorHAnsi" w:cstheme="minorHAnsi"/>
                            <w:color w:val="FFFFFF" w:themeColor="light1"/>
                            <w:kern w:val="24"/>
                            <w:sz w:val="14"/>
                            <w:szCs w:val="14"/>
                          </w:rPr>
                          <w:t>Καινοτομία στις ΜΜΕ</w:t>
                        </w:r>
                      </w:p>
                    </w:txbxContent>
                  </v:textbox>
                </v:roundrect>
                <v:roundrect id="Rounded Rectangle 32" o:spid="_x0000_s1039" style="position:absolute;left:12481;top:40979;width:105612;height:50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" fillcolor="#5b9bd5 [3204]" strokecolor="white [3201]" strokeweight="1.5pt">
                  <v:stroke joinstyle="miter"/>
                  <v:textbox>
                    <w:txbxContent>
                      <w:p w14:paraId="76F10744" w14:textId="77777777" w:rsidR="00842E11" w:rsidRPr="00A94BA9" w:rsidRDefault="00842E11" w:rsidP="006B4E03">
                        <w:pPr>
                          <w:pStyle w:val="NormalWeb"/>
                          <w:spacing w:before="0" w:beforeAutospacing="0" w:after="0" w:afterAutospacing="0"/>
                          <w:jc w:val="center"/>
                          <w:rPr>
                            <w:rFonts w:asciiTheme="minorHAnsi" w:hAnsiTheme="minorHAnsi" w:cstheme="minorHAnsi"/>
                            <w:sz w:val="14"/>
                            <w:szCs w:val="14"/>
                          </w:rPr>
                        </w:pPr>
                        <w:r>
                          <w:rPr>
                            <w:rFonts w:asciiTheme="minorHAnsi" w:hAnsiTheme="minorHAnsi" w:cstheme="minorHAnsi"/>
                            <w:color w:val="FFFFFF" w:themeColor="light1"/>
                            <w:kern w:val="24"/>
                            <w:sz w:val="14"/>
                            <w:szCs w:val="14"/>
                          </w:rPr>
                          <w:t>Πρόσβαση σε χρηματοδότηση επιχειρηματικού κινδύνου</w:t>
                        </w:r>
                      </w:p>
                    </w:txbxContent>
                  </v:textbox>
                </v:roundrect>
                <v:shape id="Pentagon 35" o:spid="_x0000_s1040" type="#_x0000_t15" style="position:absolute;left:-905;top:47454;width:12426;height:9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" adj="13174" fillcolor="#5b9bd5 [3204]" strokecolor="white [3201]" strokeweight="1.5pt">
                  <v:textbox style="layout-flow:vertical;mso-layout-flow-alt:bottom-to-top">
                    <w:txbxContent>
                      <w:p w14:paraId="6FF21E60"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36842B55"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Excellence in science</w:t>
                        </w:r>
                      </w:p>
                    </w:txbxContent>
                  </v:textbox>
                </v:shape>
                <v:roundrect id="Rounded Rectangle 36" o:spid="_x0000_s1041" style="position:absolute;left:12481;top:48180;width:105612;height:8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" fillcolor="#5b9bd5 [3204]" strokecolor="white [3201]" strokeweight="1.5pt">
                  <v:stroke joinstyle="miter"/>
                  <v:textbox>
                    <w:txbxContent>
                      <w:p w14:paraId="34653AB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 xml:space="preserve">ΕΡΕΥΝΗΤΙΚΕΣ ΥΠΟΔΟΜΕΣ </w:t>
                        </w:r>
                        <w:r w:rsidRPr="00C36DBF">
                          <w:rPr>
                            <w:rFonts w:asciiTheme="minorHAnsi" w:hAnsiTheme="minorHAnsi" w:cstheme="minorHAnsi"/>
                            <w:color w:val="FFFFFF" w:themeColor="light1"/>
                            <w:kern w:val="24"/>
                            <w:sz w:val="14"/>
                            <w:szCs w:val="14"/>
                            <w:lang w:val="en-US"/>
                          </w:rPr>
                          <w:t>ESFRI</w:t>
                        </w:r>
                      </w:p>
                    </w:txbxContent>
                  </v:textbox>
                </v:roundrect>
                <v:roundrect id="Rounded Rectangle 23" o:spid="_x0000_s1042" style="position:absolute;left:11521;top:7970;width:106572;height:18019;visibility:visible;mso-wrap-style:square;v-text-anchor:middle" arcsize="63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" fillcolor="#5b9bd5 [3204]" strokecolor="#1f4d78 [1604]" strokeweight="1pt">
                  <v:fill opacity="24929f"/>
                  <v:stroke joinstyle="miter"/>
                </v:roundrect>
                <v:roundrect id="Rounded Rectangle 16" o:spid="_x0000_s1043" style="position:absolute;left:12481;top:9348;width:13441;height:151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" fillcolor="#5b9bd5 [3204]" strokecolor="white [3201]" strokeweight="1.5pt">
                  <v:stroke joinstyle="miter"/>
                  <v:textbox>
                    <w:txbxContent>
                      <w:p w14:paraId="2765A6F1"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Επισιτιστική ασφάλεια και αειφόρος χρήση των βιολογικών πόρων</w:t>
                        </w:r>
                      </w:p>
                    </w:txbxContent>
                  </v:textbox>
                </v:roundrect>
                <v:roundrect id="Rounded Rectangle 20" o:spid="_x0000_s1044" style="position:absolute;left:57115;top:8401;width:32156;height:51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" fillcolor="#69f" strokecolor="white [3201]" strokeweight="1.5pt">
                  <v:stroke joinstyle="miter"/>
                  <v:textbox>
                    <w:txbxContent>
                      <w:p w14:paraId="1320F3B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Βιώσιμη ενέργεια</w:t>
                        </w:r>
                      </w:p>
                    </w:txbxContent>
                  </v:textbox>
                </v:roundrect>
                <v:roundrect id="Rounded Rectangle 21" o:spid="_x0000_s1045" style="position:absolute;left:42879;top:9632;width:12649;height:151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" fillcolor="#5b9bd5 [3204]" strokecolor="white [3201]" strokeweight="1.5pt">
                  <v:stroke joinstyle="miter"/>
                  <v:textbox>
                    <w:txbxContent>
                      <w:p w14:paraId="76E8AD1C"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Υγεία και καλή διαβίωση</w:t>
                        </w:r>
                      </w:p>
                    </w:txbxContent>
                  </v:textbox>
                </v:roundrect>
                <v:shape id="Pentagon 22" o:spid="_x0000_s1046" type="#_x0000_t15" style="position:absolute;left:-905;top:6416;width:13120;height:18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" adj="10800" fillcolor="#5b9bd5 [3204]" strokecolor="white [3201]" strokeweight="1.5pt">
                  <v:textbox style="layout-flow:vertical;mso-layout-flow-alt:bottom-to-top">
                    <w:txbxContent>
                      <w:p w14:paraId="35ADADEF"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b/>
                            <w:bCs/>
                            <w:color w:val="FFFFFF" w:themeColor="light1"/>
                            <w:kern w:val="24"/>
                            <w:sz w:val="14"/>
                            <w:szCs w:val="14"/>
                            <w:lang w:val="en-US"/>
                          </w:rPr>
                          <w:t>Horizon</w:t>
                        </w:r>
                      </w:p>
                      <w:p w14:paraId="62F66E4F"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 xml:space="preserve">Societal </w:t>
                        </w:r>
                      </w:p>
                      <w:p w14:paraId="22F2A74A"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lang w:val="en-US"/>
                          </w:rPr>
                          <w:t>challenges</w:t>
                        </w:r>
                      </w:p>
                    </w:txbxContent>
                  </v:textbox>
                </v:shape>
                <v:roundrect id="Rounded Rectangle 25" o:spid="_x0000_s1047" style="position:absolute;left:90459;top:9777;width:13441;height:142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" fillcolor="#5b9bd5 [3204]" strokecolor="white [3201]" strokeweight="1.5pt">
                  <v:stroke joinstyle="miter"/>
                  <v:textbox>
                    <w:txbxContent>
                      <w:p w14:paraId="2D035422"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630E65">
                          <w:rPr>
                            <w:rFonts w:asciiTheme="minorHAnsi" w:hAnsiTheme="minorHAnsi" w:cstheme="minorHAnsi"/>
                            <w:color w:val="FFFFFF" w:themeColor="light1"/>
                            <w:kern w:val="24"/>
                            <w:sz w:val="14"/>
                            <w:szCs w:val="14"/>
                          </w:rPr>
                          <w:t>Πράσινη, ολοκληρωμένη κινητικότητα</w:t>
                        </w:r>
                      </w:p>
                    </w:txbxContent>
                  </v:textbox>
                </v:roundrect>
                <v:roundrect id="Rounded Rectangle 26" o:spid="_x0000_s1048" style="position:absolute;left:57291;top:14238;width:31979;height:52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" fillcolor="#5b9bd5 [3204]" strokecolor="white [3201]" strokeweight="1.5pt">
                  <v:stroke joinstyle="miter"/>
                  <v:textbox>
                    <w:txbxContent>
                      <w:p w14:paraId="11F8350E"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Αποδοτικότητα πόρων και πρώτων υλών</w:t>
                        </w:r>
                      </w:p>
                    </w:txbxContent>
                  </v:textbox>
                </v:roundrect>
                <v:roundrect id="Rounded Rectangle 37" o:spid="_x0000_s1049" style="position:absolute;left:74818;top:19490;width:13208;height:6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" fillcolor="#ed7d31 [3205]" strokecolor="white [3201]" strokeweight="1.5pt">
                  <v:stroke joinstyle="miter"/>
                  <v:textbox>
                    <w:txbxContent>
                      <w:p w14:paraId="0959CD24" w14:textId="77777777" w:rsidR="00842E11" w:rsidRPr="00C36DBF" w:rsidRDefault="00842E11" w:rsidP="006B4E03">
                        <w:pPr>
                          <w:pStyle w:val="NormalWeb"/>
                          <w:spacing w:before="0" w:beforeAutospacing="0" w:after="0" w:afterAutospacing="0"/>
                          <w:jc w:val="center"/>
                          <w:rPr>
                            <w:rFonts w:asciiTheme="minorHAnsi" w:hAnsiTheme="minorHAnsi" w:cstheme="minorHAnsi"/>
                            <w:sz w:val="14"/>
                            <w:szCs w:val="14"/>
                          </w:rPr>
                        </w:pPr>
                        <w:r w:rsidRPr="00C36DBF">
                          <w:rPr>
                            <w:rFonts w:asciiTheme="minorHAnsi" w:hAnsiTheme="minorHAnsi" w:cstheme="minorHAnsi"/>
                            <w:color w:val="FFFFFF" w:themeColor="light1"/>
                            <w:kern w:val="24"/>
                            <w:sz w:val="14"/>
                            <w:szCs w:val="14"/>
                          </w:rPr>
                          <w:t>Θαλάσσια έρευνα</w:t>
                        </w:r>
                      </w:p>
                    </w:txbxContent>
                  </v:textbox>
                </v:roundrect>
                <v:roundrect id="Rounded Rectangle 26" o:spid="_x0000_s1050" style="position:absolute;left:57455;top:14238;width:31979;height:52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" fillcolor="#5b9bd5 [3204]" strokecolor="white [3201]" strokeweight="1.5pt">
                  <v:stroke joinstyle="miter"/>
                  <v:textbox>
                    <w:txbxContent>
                      <w:p w14:paraId="38113B65" w14:textId="77777777" w:rsidR="00842E11" w:rsidRPr="00F07C91" w:rsidRDefault="00842E11" w:rsidP="006B4E03">
                        <w:pPr>
                          <w:pStyle w:val="NormalWeb"/>
                          <w:spacing w:before="0" w:beforeAutospacing="0" w:after="0" w:afterAutospacing="0"/>
                          <w:jc w:val="center"/>
                          <w:rPr>
                            <w:rFonts w:asciiTheme="minorHAnsi" w:hAnsiTheme="minorHAnsi" w:cstheme="minorHAnsi"/>
                            <w:sz w:val="10"/>
                            <w:szCs w:val="14"/>
                          </w:rPr>
                        </w:pPr>
                        <w:r w:rsidRPr="00F07C91">
                          <w:rPr>
                            <w:rFonts w:asciiTheme="minorHAnsi" w:hAnsiTheme="minorHAnsi" w:cstheme="minorHAnsi"/>
                            <w:color w:val="FFFFFF" w:themeColor="light1"/>
                            <w:kern w:val="24"/>
                            <w:sz w:val="10"/>
                            <w:szCs w:val="14"/>
                          </w:rPr>
                          <w:t>Κλιματική αλλαγή, περιβάλλον, αποδοτικότητα πόρων και πρώτες ύλες</w:t>
                        </w:r>
                      </w:p>
                    </w:txbxContent>
                  </v:textbox>
                </v:roundrect>
                <w10:anchorlock/>
              </v:group>
            </w:pict>
          </mc:Fallback>
        </mc:AlternateContent>
      </w:r>
    </w:p>
    <w:p w14:paraId="6BE779C1" w14:textId="5D4269A3" w:rsidR="006B4E03" w:rsidRDefault="006B4E03" w:rsidP="006B4E03">
      <w:r>
        <w:t>Στο σύνολο εγκρίθηκαν 1.725 έργα με ελληνικές συμμετοχές στα προγράμματα Η2020 συνολικού προϋπολογισμού</w:t>
      </w:r>
      <w:r w:rsidR="00A56E01">
        <w:t xml:space="preserve"> </w:t>
      </w:r>
      <w:r>
        <w:t xml:space="preserve">966 εκ. </w:t>
      </w:r>
      <w:r w:rsidR="00A56E01">
        <w:t xml:space="preserve">ευρώ </w:t>
      </w:r>
      <w:r>
        <w:t>εκ των οποίων 894,8 εκ</w:t>
      </w:r>
      <w:r w:rsidR="00A56E01">
        <w:t>.</w:t>
      </w:r>
      <w:r>
        <w:t xml:space="preserve"> </w:t>
      </w:r>
      <w:r w:rsidR="00A56E01">
        <w:t xml:space="preserve">ευρώ </w:t>
      </w:r>
      <w:r w:rsidR="00A94BA9">
        <w:t xml:space="preserve">συνιστούν </w:t>
      </w:r>
      <w:r>
        <w:t xml:space="preserve">ευρωπαϊκή συμμετοχή. Εγκρίθηκαν 2.956 ελληνικές συμμετοχές στα Έργα από 688 διαφορετικούς φορείς. </w:t>
      </w:r>
    </w:p>
    <w:p w14:paraId="2A36C525" w14:textId="3F60BAEE" w:rsidR="006B4E03" w:rsidRDefault="006B4E03" w:rsidP="006B4E03">
      <w:r>
        <w:t xml:space="preserve">Το πρόγραμμα H2020 προσελκύει συμμετέχοντες υψηλού επιπέδου από τους τομείς της τριτοβάθμιας εκπαίδευσης, της έρευνας και του ιδιωτικού τομέα και από ένα ευρύ φάσμα τομέων και θεματικών πεδίων. Οι κυριότεροι δικαιούχοι του προγράμματος </w:t>
      </w:r>
      <w:r w:rsidR="00A56E01">
        <w:t xml:space="preserve">H2020 </w:t>
      </w:r>
      <w:r>
        <w:t>είναι οργανισμοί τριτοβάθμιας εκπαίδευσης και έρευνας, οι οποίοι μαζί έλαβαν το 68,2 % της χρηματοδότησης της Ελλάδας, ενώ ο ιδιωτικός τομέας έλαβε το 28,6 %.</w:t>
      </w:r>
    </w:p>
    <w:p w14:paraId="1235E2CD" w14:textId="77777777" w:rsidR="006B4E03" w:rsidRDefault="006B4E03" w:rsidP="006B4E03"/>
    <w:p w14:paraId="384A9B74" w14:textId="77777777" w:rsidR="00847369" w:rsidRPr="00847369" w:rsidRDefault="00C17BF2" w:rsidP="00C17BF2">
      <w:pPr>
        <w:pStyle w:val="Caption"/>
      </w:pPr>
      <w:r>
        <w:t xml:space="preserve">Διάγραμμα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397ACE">
        <w:noBreakHyphen/>
      </w:r>
      <w:r w:rsidR="00833098">
        <w:rPr>
          <w:noProof/>
        </w:rPr>
        <w:fldChar w:fldCharType="begin"/>
      </w:r>
      <w:r w:rsidR="00833098">
        <w:rPr>
          <w:noProof/>
        </w:rPr>
        <w:instrText xml:space="preserve"> SEQ Διάγραμμα_ \* ARABIC \s 1 </w:instrText>
      </w:r>
      <w:r w:rsidR="00833098">
        <w:rPr>
          <w:noProof/>
        </w:rPr>
        <w:fldChar w:fldCharType="separate"/>
      </w:r>
      <w:r w:rsidR="00D56CA9">
        <w:rPr>
          <w:noProof/>
        </w:rPr>
        <w:t>2</w:t>
      </w:r>
      <w:r w:rsidR="00833098">
        <w:rPr>
          <w:noProof/>
        </w:rPr>
        <w:fldChar w:fldCharType="end"/>
      </w:r>
      <w:r>
        <w:t xml:space="preserve">: </w:t>
      </w:r>
      <w:r w:rsidR="00847369">
        <w:t xml:space="preserve">Προϋπολογισμός </w:t>
      </w:r>
      <w:r w:rsidR="00847369" w:rsidRPr="00C13005">
        <w:t>ελληνικών φορέων</w:t>
      </w:r>
      <w:r w:rsidR="00847369">
        <w:t xml:space="preserve"> στο σύνολο του Η2020</w:t>
      </w:r>
      <w:r w:rsidR="00847369" w:rsidRPr="00C13005">
        <w:t>, ανά κατηγορία φορέα</w:t>
      </w:r>
      <w:r w:rsidR="00847369">
        <w:t xml:space="preserve">, 2014-2018 (Πηγή </w:t>
      </w:r>
      <w:r w:rsidR="00847369" w:rsidRPr="00A022A3">
        <w:t>webgate.ec.europa.eu</w:t>
      </w:r>
      <w:r w:rsidR="00847369">
        <w:t>)</w:t>
      </w:r>
    </w:p>
    <w:p w14:paraId="213A87D6" w14:textId="77777777" w:rsidR="00711DA4" w:rsidRDefault="00711DA4" w:rsidP="006B4E03">
      <w:pPr>
        <w:jc w:val="center"/>
      </w:pPr>
      <w:r>
        <w:rPr>
          <w:noProof/>
          <w:lang w:eastAsia="el-GR"/>
        </w:rPr>
        <w:drawing>
          <wp:inline distT="0" distB="0" distL="0" distR="0" wp14:anchorId="775FFA59" wp14:editId="381428C3">
            <wp:extent cx="4829175" cy="2630819"/>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0">
                      <a:extLst>
                        <a:ext uri="{28A0092B-C50C-407E-A947-70E740481C1C}">
                          <a14:useLocalDpi xmlns:a14="http://schemas.microsoft.com/office/drawing/2010/main" val="0"/>
                        </a:ext>
                      </a:extLst>
                    </a:blip>
                    <a:srcRect l="12195" t="5589" r="16566"/>
                    <a:stretch/>
                  </pic:blipFill>
                  <pic:spPr bwMode="auto">
                    <a:xfrm>
                      <a:off x="0" y="0"/>
                      <a:ext cx="4868065" cy="2652005"/>
                    </a:xfrm>
                    <a:prstGeom prst="rect">
                      <a:avLst/>
                    </a:prstGeom>
                    <a:noFill/>
                    <a:ln>
                      <a:noFill/>
                    </a:ln>
                    <a:extLst>
                      <a:ext uri="{53640926-AAD7-44D8-BBD7-CCE9431645EC}">
                        <a14:shadowObscured xmlns:a14="http://schemas.microsoft.com/office/drawing/2010/main"/>
                      </a:ext>
                    </a:extLst>
                  </pic:spPr>
                </pic:pic>
              </a:graphicData>
            </a:graphic>
          </wp:inline>
        </w:drawing>
      </w:r>
    </w:p>
    <w:p w14:paraId="5D79D649" w14:textId="77777777" w:rsidR="00711DA4" w:rsidRDefault="00711DA4" w:rsidP="002838A6">
      <w:r>
        <w:t>Από τις ελληνικές συμμετοχές, τον μεγαλύτερο προϋπολογισμό τον έλαβαν οι ελληνικοί φορείς που συμμετείχαν στη</w:t>
      </w:r>
      <w:r w:rsidR="00E503A1">
        <w:t xml:space="preserve"> θεματική ενότητα ΤΠΕ του προγράμματος </w:t>
      </w:r>
      <w:r w:rsidR="00E503A1" w:rsidRPr="00AD225E">
        <w:t>Βιομηχανική υπεροχή</w:t>
      </w:r>
      <w:r w:rsidR="00F07C91">
        <w:t xml:space="preserve"> </w:t>
      </w:r>
      <w:r w:rsidR="00E503A1">
        <w:t xml:space="preserve">του </w:t>
      </w:r>
      <w:r w:rsidR="00E503A1">
        <w:rPr>
          <w:lang w:val="en-US"/>
        </w:rPr>
        <w:t>H</w:t>
      </w:r>
      <w:r w:rsidR="00E503A1" w:rsidRPr="00E503A1">
        <w:t xml:space="preserve">2020. </w:t>
      </w:r>
      <w:r w:rsidR="00E503A1">
        <w:t xml:space="preserve">Στο παρακάτω γράφημα </w:t>
      </w:r>
      <w:r w:rsidR="00E503A1">
        <w:lastRenderedPageBreak/>
        <w:t xml:space="preserve">παρουσιάζεται η κατανομή του Π/Υ των ελληνικών συμμετοχών στις σημαντικότερες θεματικές προτεραιότητες </w:t>
      </w:r>
      <w:r w:rsidR="007635FD">
        <w:t>στο σύνολο του</w:t>
      </w:r>
      <w:r w:rsidR="00E503A1">
        <w:t xml:space="preserve"> προγράμματος </w:t>
      </w:r>
      <w:r w:rsidR="00E503A1">
        <w:rPr>
          <w:lang w:val="en-US"/>
        </w:rPr>
        <w:t>H</w:t>
      </w:r>
      <w:r w:rsidR="00E503A1" w:rsidRPr="00E503A1">
        <w:t>2020.</w:t>
      </w:r>
    </w:p>
    <w:p w14:paraId="261E9B8B" w14:textId="77777777" w:rsidR="00847369" w:rsidRPr="007635FD" w:rsidRDefault="00C17BF2" w:rsidP="00C17BF2">
      <w:pPr>
        <w:pStyle w:val="Caption"/>
      </w:pPr>
      <w:r>
        <w:t xml:space="preserve">Διάγραμμα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397ACE">
        <w:noBreakHyphen/>
      </w:r>
      <w:r w:rsidR="00833098">
        <w:rPr>
          <w:noProof/>
        </w:rPr>
        <w:fldChar w:fldCharType="begin"/>
      </w:r>
      <w:r w:rsidR="00833098">
        <w:rPr>
          <w:noProof/>
        </w:rPr>
        <w:instrText xml:space="preserve"> SEQ Διάγραμμα_ \* ARABIC \s 1 </w:instrText>
      </w:r>
      <w:r w:rsidR="00833098">
        <w:rPr>
          <w:noProof/>
        </w:rPr>
        <w:fldChar w:fldCharType="separate"/>
      </w:r>
      <w:r w:rsidR="00D56CA9">
        <w:rPr>
          <w:noProof/>
        </w:rPr>
        <w:t>3</w:t>
      </w:r>
      <w:r w:rsidR="00833098">
        <w:rPr>
          <w:noProof/>
        </w:rPr>
        <w:fldChar w:fldCharType="end"/>
      </w:r>
      <w:r w:rsidR="00847369">
        <w:t>:</w:t>
      </w:r>
      <w:r w:rsidR="007635FD" w:rsidRPr="007635FD">
        <w:t xml:space="preserve"> </w:t>
      </w:r>
      <w:r w:rsidR="007635FD">
        <w:t>Κ</w:t>
      </w:r>
      <w:r w:rsidR="007635FD" w:rsidRPr="007635FD">
        <w:t xml:space="preserve">ατανομή του Π/Υ των ελληνικών συμμετοχών στις σημαντικότερες θεματικές προτεραιότητες του προγράμματος </w:t>
      </w:r>
      <w:r w:rsidR="007635FD">
        <w:t>H</w:t>
      </w:r>
      <w:r w:rsidR="007635FD" w:rsidRPr="00E503A1">
        <w:t>2020.</w:t>
      </w:r>
    </w:p>
    <w:p w14:paraId="7F41E1FC" w14:textId="77777777" w:rsidR="00711DA4" w:rsidRDefault="00711DA4" w:rsidP="002838A6">
      <w:pPr>
        <w:rPr>
          <w:noProof/>
        </w:rPr>
      </w:pPr>
      <w:r>
        <w:rPr>
          <w:noProof/>
          <w:lang w:eastAsia="el-GR"/>
        </w:rPr>
        <w:drawing>
          <wp:inline distT="0" distB="0" distL="0" distR="0" wp14:anchorId="786C8133" wp14:editId="71442A01">
            <wp:extent cx="5883215" cy="3033371"/>
            <wp:effectExtent l="0" t="0" r="381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1">
                      <a:extLst>
                        <a:ext uri="{28A0092B-C50C-407E-A947-70E740481C1C}">
                          <a14:useLocalDpi xmlns:a14="http://schemas.microsoft.com/office/drawing/2010/main" val="0"/>
                        </a:ext>
                      </a:extLst>
                    </a:blip>
                    <a:srcRect r="4286"/>
                    <a:stretch/>
                  </pic:blipFill>
                  <pic:spPr bwMode="auto">
                    <a:xfrm>
                      <a:off x="0" y="0"/>
                      <a:ext cx="5898433" cy="3041218"/>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p>
    <w:p w14:paraId="1D876D1F" w14:textId="77777777" w:rsidR="003E7153" w:rsidRDefault="003E7153" w:rsidP="002838A6"/>
    <w:p w14:paraId="6F71F961" w14:textId="77777777" w:rsidR="006B4E03" w:rsidRDefault="00A94BA9" w:rsidP="006B4E03">
      <w:r>
        <w:t>Από την «Μ</w:t>
      </w:r>
      <w:r w:rsidR="006B4E03">
        <w:t xml:space="preserve">ελέτη αλληλεπίδρασης της εθνικής RIS3 με άλλα εθνικά ή διεθνή προγράμματα» που </w:t>
      </w:r>
      <w:r>
        <w:t>υποβλήθηκε</w:t>
      </w:r>
      <w:r w:rsidR="006B4E03">
        <w:t xml:space="preserve"> στη ΓΓΕΤ τον Μάρτιο του 2019 και εξέταζε λεπτομερώς 960 έργα με ελληνικές συμμετοχές στα προγράμματα Η2020 «Αντιμετώπιση Κοινωνικών προκλήσεων - Societal Challenges», «Βιομηχανική υπεροχή - Industrial leadership» και «Επιστημονική Αριστεία» μέχρι τα τέλη του 2018, τα 121 </w:t>
      </w:r>
      <w:r>
        <w:t xml:space="preserve">από αυτά </w:t>
      </w:r>
      <w:r w:rsidR="006B4E03">
        <w:t>δεν εμπίπτουν σε κανέναν</w:t>
      </w:r>
      <w:r>
        <w:t xml:space="preserve"> τομέα προτεραιότητας της RIS3 (</w:t>
      </w:r>
      <w:r w:rsidR="006B4E03">
        <w:t>12,6%</w:t>
      </w:r>
      <w:r>
        <w:t>)</w:t>
      </w:r>
      <w:r w:rsidR="006B4E03">
        <w:t>.</w:t>
      </w:r>
    </w:p>
    <w:p w14:paraId="0278E425" w14:textId="77777777" w:rsidR="006B4E03" w:rsidRDefault="006B4E03" w:rsidP="006B4E03">
      <w:r>
        <w:t>Αναφορικά με τα προγράμματα του H2020 «Αντιμετώπιση Κοινωνικών προκλήσεων - Societal Challenges» και «Βιομηχανική υπεροχή - Industrial leadership», παρατηρούμε ότι οι ελληνικές συμμετοχές στην πλειονότητά τους βρίσκονται σε ερευνητικούς τομείς / ειδικούς στόχους που σχετίζονται με την εθνική RIS3. Από τα 542 μόνο τα 93 έργα δεν αντιστοιχούν σε κανένα τομέα προτεραιότητας RIS3, ποσοστό 17%. Το σύνολο αυτών των Έργων αναφέρεται στις θεματικές ενότητες «Ασφαλείς κοινωνίες — προστασία της ελευθερίας και της ασφάλειας της Ευρώπης και των πολιτών της» (62 Έργα) και «Η Ευρώπη σε έναν μεταβαλλόμενο κόσμο – Κοινωνίες δίχως αποκλεισμούς καινοτόμες και σκεπτόμενες» (31 Έργα). Οι θεματικές αυτές ενότητες δεν συνδέονται άμεσα με συγκεκριμένους οικονομικούς τομείς και συνεπώς η ένταξη των έργων σε κάποιο τομέα της RIS3 δεν έχει άμεση εφαρμογή.</w:t>
      </w:r>
    </w:p>
    <w:p w14:paraId="72D5141D" w14:textId="774B747E" w:rsidR="002838A6" w:rsidRDefault="006B4E03" w:rsidP="006B4E03">
      <w:r>
        <w:t>Το πρόγραμμα Επιστημονικής Αριστείας αναφέρεται κυρίως σε πρωτοποριακή έρευνα στην Ευρώπη κ</w:t>
      </w:r>
      <w:r w:rsidR="00A56E01">
        <w:t>α</w:t>
      </w:r>
      <w:r>
        <w:t>ι έχει στόχο να υποστηρίξει την έρευνα αιχμής σε όλα τα επιστημονικά πεδία, με μοναδικό κριτήριο αξιολόγησης την αριστεία, επομένως πολλά από τα θέματα που καλύπτει δεν εμπίπτουν άμεσα στις προτεραιότητες της RIS3</w:t>
      </w:r>
      <w:r w:rsidR="002838A6">
        <w:t>.</w:t>
      </w:r>
    </w:p>
    <w:p w14:paraId="737190F9" w14:textId="77777777" w:rsidR="00847369" w:rsidRPr="0085705F" w:rsidRDefault="0085705F" w:rsidP="004F551F">
      <w:pPr>
        <w:pStyle w:val="Heading2"/>
        <w:jc w:val="both"/>
      </w:pPr>
      <w:bookmarkStart w:id="21" w:name="_Toc529977947"/>
      <w:bookmarkStart w:id="22" w:name="_Toc529978018"/>
      <w:bookmarkStart w:id="23" w:name="_Toc529978084"/>
      <w:bookmarkStart w:id="24" w:name="_Toc6398361"/>
      <w:bookmarkStart w:id="25" w:name="_Toc22645410"/>
      <w:r>
        <w:t xml:space="preserve">Το </w:t>
      </w:r>
      <w:r w:rsidR="00847369" w:rsidRPr="0085705F">
        <w:t>Επιχειρησιακό Πρόγραμμα «Ανάπτυξη Ανθρώπινου Δυναμικού Εκπαίδευση και Δια Βίου Μάθηση» (ΕΠ ΑΝΑΔ ΕΔΒΜ)</w:t>
      </w:r>
      <w:bookmarkEnd w:id="21"/>
      <w:bookmarkEnd w:id="22"/>
      <w:bookmarkEnd w:id="23"/>
      <w:bookmarkEnd w:id="24"/>
      <w:bookmarkEnd w:id="25"/>
      <w:r w:rsidR="00847369" w:rsidRPr="0085705F">
        <w:t xml:space="preserve"> </w:t>
      </w:r>
    </w:p>
    <w:p w14:paraId="40E65181" w14:textId="77777777" w:rsidR="00A56E01" w:rsidRPr="00C03A43" w:rsidRDefault="00A56E01" w:rsidP="00A56E01">
      <w:r w:rsidRPr="00C03A43">
        <w:t>Το Ίδρυμα Κρατικών Υποτροφιών</w:t>
      </w:r>
      <w:r>
        <w:t xml:space="preserve"> (ΙΚΥ)</w:t>
      </w:r>
      <w:r w:rsidRPr="00C03A43">
        <w:t>, στο πλαίσιο του Επιχειρησιακού Προγράμματος «Ανάπτυξη Ανθρώπινου Δυναμικού, Εκπαίδευση και Δια Βίου Μάθηση» (ΕΣΠΑ 2014-2020) με άξονες προτεραιότητας 6, 8, 9, οι οποίοι συγχρηματοδοτούνται από το Ευρωπαϊκό Κοινωνικό Ταμείο, υλοποιεί κύκλους προγραμμάτων υποτροφιών σε τρεις (3) επιστημονικούς τομείς, με σκοπό την εκπόνηση διδακτορικής διατριβής και μεταδιδακτορικής έρευνας στην Ελλάδα</w:t>
      </w:r>
    </w:p>
    <w:p w14:paraId="5ED1A2F8" w14:textId="77777777" w:rsidR="00A56E01" w:rsidRPr="00C03A43" w:rsidRDefault="00A56E01" w:rsidP="00A56E01">
      <w:r w:rsidRPr="00C03A43">
        <w:t xml:space="preserve">Κύριοι στόχοι των δράσεων είναι: </w:t>
      </w:r>
    </w:p>
    <w:p w14:paraId="2B65ED85" w14:textId="77777777" w:rsidR="00A56E01" w:rsidRPr="00C03A43" w:rsidRDefault="00A56E01" w:rsidP="00A56E01">
      <w:pPr>
        <w:numPr>
          <w:ilvl w:val="0"/>
          <w:numId w:val="20"/>
        </w:numPr>
        <w:contextualSpacing/>
      </w:pPr>
      <w:r w:rsidRPr="00C03A43">
        <w:lastRenderedPageBreak/>
        <w:t>Η ενίσχυση νέων ερευνητών και η παραγωγή υψηλών ερευνητικών αποτελεσμάτων μέσω της διδακτορικής έρευνας με κριτήριο επιλογής την επιστημονική επάρκεια των υποβληθεισών προτάσεων (Ενίσχυση του ανθρώπινου ερευνητικού δυναμικού μέσω της υλοποίησης διδακτορικής έρευνας)</w:t>
      </w:r>
    </w:p>
    <w:p w14:paraId="0055D09A" w14:textId="77777777" w:rsidR="00A56E01" w:rsidRPr="00C03A43" w:rsidRDefault="00A56E01" w:rsidP="00A56E01">
      <w:pPr>
        <w:numPr>
          <w:ilvl w:val="0"/>
          <w:numId w:val="20"/>
        </w:numPr>
        <w:contextualSpacing/>
      </w:pPr>
      <w:r w:rsidRPr="00C03A43">
        <w:t>Η οικονομική ενίσχυση ανδρών και γυναικών για την υλοποίηση της μεταδιδακτορικής έρευνας σε Ανώτατα Εκπαιδευτικά Ιδρύματα και Ερευνητικά Κέντρα (Ενίσχυση μεταδιδακτόρων ερευνητών/τριών)</w:t>
      </w:r>
    </w:p>
    <w:p w14:paraId="773049C8" w14:textId="77777777" w:rsidR="00A56E01" w:rsidRPr="00C03A43" w:rsidRDefault="00A56E01" w:rsidP="00A56E01">
      <w:r w:rsidRPr="00C03A43">
        <w:t>Οι Επιστημονικοί Τομείς είναι οι:</w:t>
      </w:r>
    </w:p>
    <w:p w14:paraId="128B7373" w14:textId="77777777" w:rsidR="00A56E01" w:rsidRPr="00C03A43" w:rsidRDefault="00A56E01" w:rsidP="00A56E01">
      <w:pPr>
        <w:numPr>
          <w:ilvl w:val="0"/>
          <w:numId w:val="19"/>
        </w:numPr>
        <w:contextualSpacing/>
      </w:pPr>
      <w:r w:rsidRPr="00C03A43">
        <w:t>Φυσικές Επιστήμες και Επιστήμες Μηχανικού.</w:t>
      </w:r>
    </w:p>
    <w:p w14:paraId="0AD8B2F6" w14:textId="77777777" w:rsidR="00A56E01" w:rsidRPr="00C03A43" w:rsidRDefault="00A56E01" w:rsidP="00A56E01">
      <w:pPr>
        <w:numPr>
          <w:ilvl w:val="0"/>
          <w:numId w:val="19"/>
        </w:numPr>
        <w:contextualSpacing/>
      </w:pPr>
      <w:r w:rsidRPr="00C03A43">
        <w:t>Επιστήμες Ζωής.</w:t>
      </w:r>
    </w:p>
    <w:p w14:paraId="365632FA" w14:textId="77777777" w:rsidR="00A56E01" w:rsidRPr="00C03A43" w:rsidRDefault="00A56E01" w:rsidP="00A56E01">
      <w:pPr>
        <w:numPr>
          <w:ilvl w:val="0"/>
          <w:numId w:val="19"/>
        </w:numPr>
        <w:contextualSpacing/>
      </w:pPr>
      <w:r w:rsidRPr="00C03A43">
        <w:t>Κοινωνικές και Ανθρωπιστικές Επιστήμες</w:t>
      </w:r>
    </w:p>
    <w:p w14:paraId="7D8ED4F9" w14:textId="77777777" w:rsidR="006B4E03" w:rsidRDefault="006B4E03" w:rsidP="006B4E03">
      <w:r>
        <w:t>Στο σύνολο των προκηρύξεων για την εκπόνηση διδακτορικής διατριβής υποβλήθηκαν 3</w:t>
      </w:r>
      <w:r w:rsidR="008B5B19">
        <w:t>.</w:t>
      </w:r>
      <w:r>
        <w:t>345 έγκυρες αιτήσεις στους τρεις επιστημονικούς τομείς, εκ των οποίων 1</w:t>
      </w:r>
      <w:r w:rsidR="008B5B19">
        <w:t>.</w:t>
      </w:r>
      <w:r>
        <w:t>112 έλαβαν χρηματοδότηση.</w:t>
      </w:r>
    </w:p>
    <w:p w14:paraId="26E7754D" w14:textId="77777777" w:rsidR="00847369" w:rsidRPr="00847369" w:rsidRDefault="006C426D" w:rsidP="006C426D">
      <w:pPr>
        <w:pStyle w:val="Caption"/>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1</w:t>
      </w:r>
      <w:r w:rsidR="00833098">
        <w:rPr>
          <w:noProof/>
        </w:rPr>
        <w:fldChar w:fldCharType="end"/>
      </w:r>
      <w:r w:rsidR="00847369">
        <w:t xml:space="preserve">: </w:t>
      </w:r>
      <w:r w:rsidR="00847369" w:rsidRPr="00D61A26">
        <w:t>Συνολική εικόνα υποψηφίων του συνόλου του προγράμματος "Ενίσχυση του ανθρώπινου ερευνητικού δυναμικού μέσω της υλοποίησης διδακτορικής έρευνας" (3 προκηρύξεις) ανά επιστημονικό τομέα και κλάδο.</w:t>
      </w:r>
    </w:p>
    <w:tbl>
      <w:tblPr>
        <w:tblW w:w="0" w:type="auto"/>
        <w:jc w:val="center"/>
        <w:tblLook w:val="04A0" w:firstRow="1" w:lastRow="0" w:firstColumn="1" w:lastColumn="0" w:noHBand="0" w:noVBand="1"/>
      </w:tblPr>
      <w:tblGrid>
        <w:gridCol w:w="1483"/>
        <w:gridCol w:w="1494"/>
        <w:gridCol w:w="1093"/>
        <w:gridCol w:w="1164"/>
        <w:gridCol w:w="1388"/>
        <w:gridCol w:w="1124"/>
        <w:gridCol w:w="980"/>
      </w:tblGrid>
      <w:tr w:rsidR="00847369" w:rsidRPr="006C426D" w14:paraId="181F813B" w14:textId="77777777" w:rsidTr="006C426D">
        <w:trPr>
          <w:trHeight w:val="315"/>
          <w:tblHeader/>
          <w:jc w:val="center"/>
        </w:trPr>
        <w:tc>
          <w:tcPr>
            <w:tcW w:w="1483" w:type="dxa"/>
            <w:tcBorders>
              <w:top w:val="nil"/>
              <w:left w:val="nil"/>
              <w:bottom w:val="single" w:sz="8" w:space="0" w:color="8EA9DB"/>
              <w:right w:val="nil"/>
            </w:tcBorders>
            <w:shd w:val="clear" w:color="auto" w:fill="auto"/>
            <w:vAlign w:val="center"/>
            <w:hideMark/>
          </w:tcPr>
          <w:p w14:paraId="188BC8CB" w14:textId="7A97C4E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ΕΠΙΣΤΗΜΟΝΙΚΟΣ ΤΟΜΕΑΣ</w:t>
            </w:r>
          </w:p>
        </w:tc>
        <w:tc>
          <w:tcPr>
            <w:tcW w:w="1494" w:type="dxa"/>
            <w:tcBorders>
              <w:top w:val="nil"/>
              <w:left w:val="nil"/>
              <w:bottom w:val="single" w:sz="8" w:space="0" w:color="8EA9DB"/>
              <w:right w:val="nil"/>
            </w:tcBorders>
            <w:shd w:val="clear" w:color="auto" w:fill="auto"/>
            <w:noWrap/>
            <w:vAlign w:val="center"/>
            <w:hideMark/>
          </w:tcPr>
          <w:p w14:paraId="45A2C19A"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ΚΛΑΔΟΣ</w:t>
            </w:r>
          </w:p>
        </w:tc>
        <w:tc>
          <w:tcPr>
            <w:tcW w:w="887" w:type="dxa"/>
            <w:tcBorders>
              <w:top w:val="nil"/>
              <w:left w:val="nil"/>
              <w:bottom w:val="single" w:sz="8" w:space="0" w:color="8EA9DB"/>
              <w:right w:val="nil"/>
            </w:tcBorders>
            <w:shd w:val="clear" w:color="auto" w:fill="auto"/>
            <w:noWrap/>
            <w:vAlign w:val="center"/>
            <w:hideMark/>
          </w:tcPr>
          <w:p w14:paraId="0FEA1115"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ΕΠΙΛΕΓΕΝΤΕΣ</w:t>
            </w:r>
          </w:p>
        </w:tc>
        <w:tc>
          <w:tcPr>
            <w:tcW w:w="1110" w:type="dxa"/>
            <w:tcBorders>
              <w:top w:val="nil"/>
              <w:left w:val="nil"/>
              <w:bottom w:val="single" w:sz="8" w:space="0" w:color="8EA9DB"/>
              <w:right w:val="nil"/>
            </w:tcBorders>
            <w:shd w:val="clear" w:color="auto" w:fill="auto"/>
            <w:noWrap/>
            <w:vAlign w:val="center"/>
            <w:hideMark/>
          </w:tcPr>
          <w:p w14:paraId="219E07D5"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ΕΠΙΛΑΧΟΝΤΕΣ</w:t>
            </w:r>
          </w:p>
        </w:tc>
        <w:tc>
          <w:tcPr>
            <w:tcW w:w="1322" w:type="dxa"/>
            <w:tcBorders>
              <w:top w:val="nil"/>
              <w:left w:val="nil"/>
              <w:bottom w:val="single" w:sz="8" w:space="0" w:color="8EA9DB"/>
              <w:right w:val="nil"/>
            </w:tcBorders>
            <w:shd w:val="clear" w:color="auto" w:fill="auto"/>
            <w:noWrap/>
            <w:vAlign w:val="center"/>
            <w:hideMark/>
          </w:tcPr>
          <w:p w14:paraId="469F2882"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ΑΠΟΡΡΙΦΘΕΝΤΕΣ</w:t>
            </w:r>
          </w:p>
        </w:tc>
        <w:tc>
          <w:tcPr>
            <w:tcW w:w="1073" w:type="dxa"/>
            <w:tcBorders>
              <w:top w:val="nil"/>
              <w:left w:val="nil"/>
              <w:bottom w:val="single" w:sz="8" w:space="0" w:color="8EA9DB"/>
              <w:right w:val="nil"/>
            </w:tcBorders>
            <w:shd w:val="clear" w:color="auto" w:fill="auto"/>
            <w:noWrap/>
            <w:vAlign w:val="center"/>
            <w:hideMark/>
          </w:tcPr>
          <w:p w14:paraId="62E1CA8E"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ΣΥΝΟΛΟ ΥΠΟΨΗΦΙΩΝ</w:t>
            </w:r>
          </w:p>
        </w:tc>
        <w:tc>
          <w:tcPr>
            <w:tcW w:w="937" w:type="dxa"/>
            <w:tcBorders>
              <w:top w:val="nil"/>
              <w:left w:val="nil"/>
              <w:bottom w:val="single" w:sz="8" w:space="0" w:color="8EA9DB"/>
              <w:right w:val="nil"/>
            </w:tcBorders>
            <w:shd w:val="clear" w:color="auto" w:fill="auto"/>
            <w:noWrap/>
            <w:vAlign w:val="center"/>
            <w:hideMark/>
          </w:tcPr>
          <w:p w14:paraId="0B24A6CB" w14:textId="77777777" w:rsidR="00847369" w:rsidRPr="006C426D" w:rsidRDefault="00847369" w:rsidP="00842E11">
            <w:pPr>
              <w:spacing w:line="240" w:lineRule="auto"/>
              <w:jc w:val="center"/>
              <w:rPr>
                <w:rFonts w:ascii="Calibri" w:eastAsia="Times New Roman" w:hAnsi="Calibri" w:cs="Calibri"/>
                <w:b/>
                <w:bCs/>
                <w:color w:val="44546A"/>
                <w:sz w:val="16"/>
                <w:szCs w:val="16"/>
                <w:lang w:eastAsia="el-GR"/>
              </w:rPr>
            </w:pPr>
            <w:r w:rsidRPr="006C426D">
              <w:rPr>
                <w:rFonts w:ascii="Calibri" w:eastAsia="Times New Roman" w:hAnsi="Calibri" w:cs="Calibri"/>
                <w:b/>
                <w:bCs/>
                <w:color w:val="44546A"/>
                <w:sz w:val="16"/>
                <w:szCs w:val="16"/>
                <w:lang w:eastAsia="el-GR"/>
              </w:rPr>
              <w:t>ΠΟΣΟΣΟΤΟ ΕΠΙΤΥΧΙΑΣ</w:t>
            </w:r>
          </w:p>
        </w:tc>
      </w:tr>
      <w:tr w:rsidR="00847369" w:rsidRPr="006C426D" w14:paraId="5B8D2375" w14:textId="77777777" w:rsidTr="00735DA4">
        <w:trPr>
          <w:trHeight w:val="600"/>
          <w:jc w:val="center"/>
        </w:trPr>
        <w:tc>
          <w:tcPr>
            <w:tcW w:w="1483" w:type="dxa"/>
            <w:tcBorders>
              <w:top w:val="nil"/>
              <w:left w:val="nil"/>
              <w:bottom w:val="nil"/>
              <w:right w:val="nil"/>
            </w:tcBorders>
            <w:shd w:val="clear" w:color="000000" w:fill="EDEDED"/>
            <w:noWrap/>
            <w:vAlign w:val="center"/>
            <w:hideMark/>
          </w:tcPr>
          <w:p w14:paraId="0BAD72DA"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«ΕΠΙΣΤΗΜΕΣ ΖΩΗΣ»</w:t>
            </w:r>
          </w:p>
        </w:tc>
        <w:tc>
          <w:tcPr>
            <w:tcW w:w="1494" w:type="dxa"/>
            <w:tcBorders>
              <w:top w:val="nil"/>
              <w:left w:val="nil"/>
              <w:bottom w:val="nil"/>
              <w:right w:val="nil"/>
            </w:tcBorders>
            <w:shd w:val="clear" w:color="000000" w:fill="EDEDED"/>
            <w:vAlign w:val="center"/>
            <w:hideMark/>
          </w:tcPr>
          <w:p w14:paraId="181BD470"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«ΕΠΙΣΤΗΜΕΣ ΖΩΗΣ, ΥΓΕΙΑΣ ΚΑΙ ΔΙΑΤΡΟΦΗΣ»</w:t>
            </w:r>
          </w:p>
        </w:tc>
        <w:tc>
          <w:tcPr>
            <w:tcW w:w="887" w:type="dxa"/>
            <w:tcBorders>
              <w:top w:val="nil"/>
              <w:left w:val="nil"/>
              <w:bottom w:val="nil"/>
              <w:right w:val="nil"/>
            </w:tcBorders>
            <w:shd w:val="clear" w:color="000000" w:fill="EDEDED"/>
            <w:noWrap/>
            <w:vAlign w:val="center"/>
            <w:hideMark/>
          </w:tcPr>
          <w:p w14:paraId="7EB18BD9"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214</w:t>
            </w:r>
          </w:p>
        </w:tc>
        <w:tc>
          <w:tcPr>
            <w:tcW w:w="1110" w:type="dxa"/>
            <w:tcBorders>
              <w:top w:val="nil"/>
              <w:left w:val="nil"/>
              <w:bottom w:val="nil"/>
              <w:right w:val="nil"/>
            </w:tcBorders>
            <w:shd w:val="clear" w:color="000000" w:fill="EDEDED"/>
            <w:noWrap/>
            <w:vAlign w:val="center"/>
            <w:hideMark/>
          </w:tcPr>
          <w:p w14:paraId="7C4F08C0"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399</w:t>
            </w:r>
          </w:p>
        </w:tc>
        <w:tc>
          <w:tcPr>
            <w:tcW w:w="1322" w:type="dxa"/>
            <w:tcBorders>
              <w:top w:val="nil"/>
              <w:left w:val="nil"/>
              <w:bottom w:val="nil"/>
              <w:right w:val="nil"/>
            </w:tcBorders>
            <w:shd w:val="clear" w:color="000000" w:fill="EDEDED"/>
            <w:noWrap/>
            <w:vAlign w:val="center"/>
            <w:hideMark/>
          </w:tcPr>
          <w:p w14:paraId="7F0FB6F1"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6</w:t>
            </w:r>
          </w:p>
        </w:tc>
        <w:tc>
          <w:tcPr>
            <w:tcW w:w="1073" w:type="dxa"/>
            <w:tcBorders>
              <w:top w:val="nil"/>
              <w:left w:val="nil"/>
              <w:bottom w:val="nil"/>
              <w:right w:val="nil"/>
            </w:tcBorders>
            <w:shd w:val="clear" w:color="000000" w:fill="EDEDED"/>
            <w:noWrap/>
            <w:vAlign w:val="center"/>
            <w:hideMark/>
          </w:tcPr>
          <w:p w14:paraId="18EA2BDF"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619</w:t>
            </w:r>
          </w:p>
        </w:tc>
        <w:tc>
          <w:tcPr>
            <w:tcW w:w="937" w:type="dxa"/>
            <w:tcBorders>
              <w:top w:val="nil"/>
              <w:left w:val="nil"/>
              <w:bottom w:val="nil"/>
              <w:right w:val="nil"/>
            </w:tcBorders>
            <w:shd w:val="clear" w:color="000000" w:fill="EDEDED"/>
            <w:noWrap/>
            <w:vAlign w:val="center"/>
            <w:hideMark/>
          </w:tcPr>
          <w:p w14:paraId="6AA1C846"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35%</w:t>
            </w:r>
          </w:p>
        </w:tc>
      </w:tr>
      <w:tr w:rsidR="00847369" w:rsidRPr="006C426D" w14:paraId="0A5C1740" w14:textId="77777777" w:rsidTr="00735DA4">
        <w:trPr>
          <w:trHeight w:val="300"/>
          <w:jc w:val="center"/>
        </w:trPr>
        <w:tc>
          <w:tcPr>
            <w:tcW w:w="1483" w:type="dxa"/>
            <w:vMerge w:val="restart"/>
            <w:tcBorders>
              <w:top w:val="nil"/>
              <w:left w:val="nil"/>
              <w:bottom w:val="nil"/>
              <w:right w:val="nil"/>
            </w:tcBorders>
            <w:shd w:val="clear" w:color="000000" w:fill="DBDBDB"/>
            <w:vAlign w:val="center"/>
            <w:hideMark/>
          </w:tcPr>
          <w:p w14:paraId="50962D46"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«ΚΟΙΝΩΝΙΚΕΣ ΚΑΙ ΑΝΘΡΩΠΙΣΤΙΚΕΣ ΕΠΙΣΤΗΜΕΣ»</w:t>
            </w:r>
          </w:p>
        </w:tc>
        <w:tc>
          <w:tcPr>
            <w:tcW w:w="1494" w:type="dxa"/>
            <w:tcBorders>
              <w:top w:val="nil"/>
              <w:left w:val="nil"/>
              <w:bottom w:val="nil"/>
              <w:right w:val="nil"/>
            </w:tcBorders>
            <w:shd w:val="clear" w:color="000000" w:fill="DBDBDB"/>
            <w:vAlign w:val="center"/>
            <w:hideMark/>
          </w:tcPr>
          <w:p w14:paraId="2C53B43E"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«ΑΝΘΡΩΠΙΣΤΙΚΕΣ ΕΠΙΣΤΗΜΕΣ»</w:t>
            </w:r>
          </w:p>
        </w:tc>
        <w:tc>
          <w:tcPr>
            <w:tcW w:w="887" w:type="dxa"/>
            <w:tcBorders>
              <w:top w:val="nil"/>
              <w:left w:val="nil"/>
              <w:bottom w:val="nil"/>
              <w:right w:val="nil"/>
            </w:tcBorders>
            <w:shd w:val="clear" w:color="000000" w:fill="EDEDED"/>
            <w:noWrap/>
            <w:vAlign w:val="center"/>
            <w:hideMark/>
          </w:tcPr>
          <w:p w14:paraId="223671E3"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189</w:t>
            </w:r>
          </w:p>
        </w:tc>
        <w:tc>
          <w:tcPr>
            <w:tcW w:w="1110" w:type="dxa"/>
            <w:tcBorders>
              <w:top w:val="nil"/>
              <w:left w:val="nil"/>
              <w:bottom w:val="nil"/>
              <w:right w:val="nil"/>
            </w:tcBorders>
            <w:shd w:val="clear" w:color="000000" w:fill="EDEDED"/>
            <w:noWrap/>
            <w:vAlign w:val="center"/>
            <w:hideMark/>
          </w:tcPr>
          <w:p w14:paraId="1DBBD042"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351</w:t>
            </w:r>
          </w:p>
        </w:tc>
        <w:tc>
          <w:tcPr>
            <w:tcW w:w="1322" w:type="dxa"/>
            <w:tcBorders>
              <w:top w:val="nil"/>
              <w:left w:val="nil"/>
              <w:bottom w:val="nil"/>
              <w:right w:val="nil"/>
            </w:tcBorders>
            <w:shd w:val="clear" w:color="000000" w:fill="EDEDED"/>
            <w:noWrap/>
            <w:vAlign w:val="center"/>
            <w:hideMark/>
          </w:tcPr>
          <w:p w14:paraId="49312FB2"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8</w:t>
            </w:r>
          </w:p>
        </w:tc>
        <w:tc>
          <w:tcPr>
            <w:tcW w:w="1073" w:type="dxa"/>
            <w:tcBorders>
              <w:top w:val="nil"/>
              <w:left w:val="nil"/>
              <w:bottom w:val="nil"/>
              <w:right w:val="nil"/>
            </w:tcBorders>
            <w:shd w:val="clear" w:color="000000" w:fill="DBDBDB"/>
            <w:noWrap/>
            <w:vAlign w:val="center"/>
            <w:hideMark/>
          </w:tcPr>
          <w:p w14:paraId="7EFF9095"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548</w:t>
            </w:r>
          </w:p>
        </w:tc>
        <w:tc>
          <w:tcPr>
            <w:tcW w:w="937" w:type="dxa"/>
            <w:tcBorders>
              <w:top w:val="nil"/>
              <w:left w:val="nil"/>
              <w:bottom w:val="nil"/>
              <w:right w:val="nil"/>
            </w:tcBorders>
            <w:shd w:val="clear" w:color="000000" w:fill="DBDBDB"/>
            <w:noWrap/>
            <w:vAlign w:val="center"/>
            <w:hideMark/>
          </w:tcPr>
          <w:p w14:paraId="2D5AAAED"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34%</w:t>
            </w:r>
          </w:p>
        </w:tc>
      </w:tr>
      <w:tr w:rsidR="00847369" w:rsidRPr="00735DA4" w14:paraId="4D4819AF" w14:textId="77777777" w:rsidTr="00735DA4">
        <w:trPr>
          <w:trHeight w:val="300"/>
          <w:jc w:val="center"/>
        </w:trPr>
        <w:tc>
          <w:tcPr>
            <w:tcW w:w="1483" w:type="dxa"/>
            <w:vMerge/>
            <w:tcBorders>
              <w:top w:val="nil"/>
              <w:left w:val="nil"/>
              <w:bottom w:val="nil"/>
              <w:right w:val="nil"/>
            </w:tcBorders>
            <w:vAlign w:val="center"/>
            <w:hideMark/>
          </w:tcPr>
          <w:p w14:paraId="09F49ADD"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p>
        </w:tc>
        <w:tc>
          <w:tcPr>
            <w:tcW w:w="1494" w:type="dxa"/>
            <w:tcBorders>
              <w:top w:val="nil"/>
              <w:left w:val="nil"/>
              <w:bottom w:val="nil"/>
              <w:right w:val="nil"/>
            </w:tcBorders>
            <w:shd w:val="clear" w:color="000000" w:fill="EDEDED"/>
            <w:vAlign w:val="center"/>
            <w:hideMark/>
          </w:tcPr>
          <w:p w14:paraId="07E5D500"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«ΚΟΙΝΩΝΙΚΕΣ ΕΠΙΣΤΗΜΕΣ»</w:t>
            </w:r>
          </w:p>
        </w:tc>
        <w:tc>
          <w:tcPr>
            <w:tcW w:w="887" w:type="dxa"/>
            <w:tcBorders>
              <w:top w:val="nil"/>
              <w:left w:val="nil"/>
              <w:bottom w:val="nil"/>
              <w:right w:val="nil"/>
            </w:tcBorders>
            <w:shd w:val="clear" w:color="000000" w:fill="EDEDED"/>
            <w:noWrap/>
            <w:vAlign w:val="center"/>
            <w:hideMark/>
          </w:tcPr>
          <w:p w14:paraId="172903C5"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163</w:t>
            </w:r>
          </w:p>
        </w:tc>
        <w:tc>
          <w:tcPr>
            <w:tcW w:w="1110" w:type="dxa"/>
            <w:tcBorders>
              <w:top w:val="nil"/>
              <w:left w:val="nil"/>
              <w:bottom w:val="nil"/>
              <w:right w:val="nil"/>
            </w:tcBorders>
            <w:shd w:val="clear" w:color="000000" w:fill="EDEDED"/>
            <w:noWrap/>
            <w:vAlign w:val="center"/>
            <w:hideMark/>
          </w:tcPr>
          <w:p w14:paraId="1B825AD6"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282</w:t>
            </w:r>
          </w:p>
        </w:tc>
        <w:tc>
          <w:tcPr>
            <w:tcW w:w="1322" w:type="dxa"/>
            <w:tcBorders>
              <w:top w:val="nil"/>
              <w:left w:val="nil"/>
              <w:bottom w:val="nil"/>
              <w:right w:val="nil"/>
            </w:tcBorders>
            <w:shd w:val="clear" w:color="000000" w:fill="EDEDED"/>
            <w:noWrap/>
            <w:vAlign w:val="center"/>
            <w:hideMark/>
          </w:tcPr>
          <w:p w14:paraId="72E3750B"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8</w:t>
            </w:r>
          </w:p>
        </w:tc>
        <w:tc>
          <w:tcPr>
            <w:tcW w:w="1073" w:type="dxa"/>
            <w:tcBorders>
              <w:top w:val="nil"/>
              <w:left w:val="nil"/>
              <w:bottom w:val="nil"/>
              <w:right w:val="nil"/>
            </w:tcBorders>
            <w:shd w:val="clear" w:color="000000" w:fill="EDEDED"/>
            <w:noWrap/>
            <w:vAlign w:val="center"/>
            <w:hideMark/>
          </w:tcPr>
          <w:p w14:paraId="1B0E14C5"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453</w:t>
            </w:r>
          </w:p>
        </w:tc>
        <w:tc>
          <w:tcPr>
            <w:tcW w:w="937" w:type="dxa"/>
            <w:tcBorders>
              <w:top w:val="nil"/>
              <w:left w:val="nil"/>
              <w:bottom w:val="nil"/>
              <w:right w:val="nil"/>
            </w:tcBorders>
            <w:shd w:val="clear" w:color="000000" w:fill="EDEDED"/>
            <w:noWrap/>
            <w:vAlign w:val="center"/>
            <w:hideMark/>
          </w:tcPr>
          <w:p w14:paraId="063F8118"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36%</w:t>
            </w:r>
          </w:p>
        </w:tc>
      </w:tr>
      <w:tr w:rsidR="00847369" w:rsidRPr="00735DA4" w14:paraId="18730CB9" w14:textId="77777777" w:rsidTr="00735DA4">
        <w:trPr>
          <w:trHeight w:val="600"/>
          <w:jc w:val="center"/>
        </w:trPr>
        <w:tc>
          <w:tcPr>
            <w:tcW w:w="1483" w:type="dxa"/>
            <w:vMerge/>
            <w:tcBorders>
              <w:top w:val="nil"/>
              <w:left w:val="nil"/>
              <w:bottom w:val="nil"/>
              <w:right w:val="nil"/>
            </w:tcBorders>
            <w:vAlign w:val="center"/>
            <w:hideMark/>
          </w:tcPr>
          <w:p w14:paraId="620E2F9B"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p>
        </w:tc>
        <w:tc>
          <w:tcPr>
            <w:tcW w:w="1494" w:type="dxa"/>
            <w:tcBorders>
              <w:top w:val="nil"/>
              <w:left w:val="nil"/>
              <w:bottom w:val="nil"/>
              <w:right w:val="nil"/>
            </w:tcBorders>
            <w:shd w:val="clear" w:color="000000" w:fill="DBDBDB"/>
            <w:vAlign w:val="center"/>
            <w:hideMark/>
          </w:tcPr>
          <w:p w14:paraId="55452FC3"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«ΟΙΚΟΝΟΜΙΚΕΣ ΚΑΙ ΝΟΜΙΚΕΣ ΕΠΙΣΤΗΜΕΣ»</w:t>
            </w:r>
          </w:p>
        </w:tc>
        <w:tc>
          <w:tcPr>
            <w:tcW w:w="887" w:type="dxa"/>
            <w:tcBorders>
              <w:top w:val="nil"/>
              <w:left w:val="nil"/>
              <w:bottom w:val="nil"/>
              <w:right w:val="nil"/>
            </w:tcBorders>
            <w:shd w:val="clear" w:color="000000" w:fill="EDEDED"/>
            <w:noWrap/>
            <w:vAlign w:val="center"/>
            <w:hideMark/>
          </w:tcPr>
          <w:p w14:paraId="5A463F9A"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112</w:t>
            </w:r>
          </w:p>
        </w:tc>
        <w:tc>
          <w:tcPr>
            <w:tcW w:w="1110" w:type="dxa"/>
            <w:tcBorders>
              <w:top w:val="nil"/>
              <w:left w:val="nil"/>
              <w:bottom w:val="nil"/>
              <w:right w:val="nil"/>
            </w:tcBorders>
            <w:shd w:val="clear" w:color="000000" w:fill="EDEDED"/>
            <w:noWrap/>
            <w:vAlign w:val="center"/>
            <w:hideMark/>
          </w:tcPr>
          <w:p w14:paraId="5402E923"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227</w:t>
            </w:r>
          </w:p>
        </w:tc>
        <w:tc>
          <w:tcPr>
            <w:tcW w:w="1322" w:type="dxa"/>
            <w:tcBorders>
              <w:top w:val="nil"/>
              <w:left w:val="nil"/>
              <w:bottom w:val="nil"/>
              <w:right w:val="nil"/>
            </w:tcBorders>
            <w:shd w:val="clear" w:color="000000" w:fill="EDEDED"/>
            <w:noWrap/>
            <w:vAlign w:val="center"/>
            <w:hideMark/>
          </w:tcPr>
          <w:p w14:paraId="0EB6B6AA"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8</w:t>
            </w:r>
          </w:p>
        </w:tc>
        <w:tc>
          <w:tcPr>
            <w:tcW w:w="1073" w:type="dxa"/>
            <w:tcBorders>
              <w:top w:val="nil"/>
              <w:left w:val="nil"/>
              <w:bottom w:val="nil"/>
              <w:right w:val="nil"/>
            </w:tcBorders>
            <w:shd w:val="clear" w:color="000000" w:fill="DBDBDB"/>
            <w:noWrap/>
            <w:vAlign w:val="center"/>
            <w:hideMark/>
          </w:tcPr>
          <w:p w14:paraId="128A4E29"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347</w:t>
            </w:r>
          </w:p>
        </w:tc>
        <w:tc>
          <w:tcPr>
            <w:tcW w:w="937" w:type="dxa"/>
            <w:tcBorders>
              <w:top w:val="nil"/>
              <w:left w:val="nil"/>
              <w:bottom w:val="nil"/>
              <w:right w:val="nil"/>
            </w:tcBorders>
            <w:shd w:val="clear" w:color="000000" w:fill="DBDBDB"/>
            <w:noWrap/>
            <w:vAlign w:val="center"/>
            <w:hideMark/>
          </w:tcPr>
          <w:p w14:paraId="5EE5296C"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32%</w:t>
            </w:r>
          </w:p>
        </w:tc>
      </w:tr>
      <w:tr w:rsidR="00847369" w:rsidRPr="00735DA4" w14:paraId="337F1394" w14:textId="77777777" w:rsidTr="00735DA4">
        <w:trPr>
          <w:trHeight w:val="300"/>
          <w:jc w:val="center"/>
        </w:trPr>
        <w:tc>
          <w:tcPr>
            <w:tcW w:w="1483" w:type="dxa"/>
            <w:vMerge w:val="restart"/>
            <w:tcBorders>
              <w:top w:val="nil"/>
              <w:left w:val="nil"/>
              <w:bottom w:val="nil"/>
              <w:right w:val="nil"/>
            </w:tcBorders>
            <w:shd w:val="clear" w:color="000000" w:fill="EDEDED"/>
            <w:vAlign w:val="center"/>
            <w:hideMark/>
          </w:tcPr>
          <w:p w14:paraId="10BBCBAF"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«ΦΥΣΙΚΕΣ ΕΠΙΣΤΗΜΕΣ ΚΑΙ ΕΠΙΣΤΗΜΕΣ ΜΗΧΑΝΙΚΟΥ»</w:t>
            </w:r>
          </w:p>
        </w:tc>
        <w:tc>
          <w:tcPr>
            <w:tcW w:w="1494" w:type="dxa"/>
            <w:tcBorders>
              <w:top w:val="nil"/>
              <w:left w:val="nil"/>
              <w:bottom w:val="nil"/>
              <w:right w:val="nil"/>
            </w:tcBorders>
            <w:shd w:val="clear" w:color="000000" w:fill="EDEDED"/>
            <w:vAlign w:val="center"/>
            <w:hideMark/>
          </w:tcPr>
          <w:p w14:paraId="0F81AE14"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«ΦΥΣΙΚΕΣ ΕΠΙΣΤΗΜΕΣ»</w:t>
            </w:r>
          </w:p>
        </w:tc>
        <w:tc>
          <w:tcPr>
            <w:tcW w:w="887" w:type="dxa"/>
            <w:tcBorders>
              <w:top w:val="nil"/>
              <w:left w:val="nil"/>
              <w:bottom w:val="nil"/>
              <w:right w:val="nil"/>
            </w:tcBorders>
            <w:shd w:val="clear" w:color="000000" w:fill="EDEDED"/>
            <w:noWrap/>
            <w:vAlign w:val="center"/>
            <w:hideMark/>
          </w:tcPr>
          <w:p w14:paraId="7CFFDCE6"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186</w:t>
            </w:r>
          </w:p>
        </w:tc>
        <w:tc>
          <w:tcPr>
            <w:tcW w:w="1110" w:type="dxa"/>
            <w:tcBorders>
              <w:top w:val="nil"/>
              <w:left w:val="nil"/>
              <w:bottom w:val="nil"/>
              <w:right w:val="nil"/>
            </w:tcBorders>
            <w:shd w:val="clear" w:color="000000" w:fill="EDEDED"/>
            <w:noWrap/>
            <w:vAlign w:val="center"/>
            <w:hideMark/>
          </w:tcPr>
          <w:p w14:paraId="7ECA6720"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394</w:t>
            </w:r>
          </w:p>
        </w:tc>
        <w:tc>
          <w:tcPr>
            <w:tcW w:w="1322" w:type="dxa"/>
            <w:tcBorders>
              <w:top w:val="nil"/>
              <w:left w:val="nil"/>
              <w:bottom w:val="nil"/>
              <w:right w:val="nil"/>
            </w:tcBorders>
            <w:shd w:val="clear" w:color="000000" w:fill="EDEDED"/>
            <w:noWrap/>
            <w:vAlign w:val="center"/>
            <w:hideMark/>
          </w:tcPr>
          <w:p w14:paraId="35E33554"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7</w:t>
            </w:r>
          </w:p>
        </w:tc>
        <w:tc>
          <w:tcPr>
            <w:tcW w:w="1073" w:type="dxa"/>
            <w:tcBorders>
              <w:top w:val="nil"/>
              <w:left w:val="nil"/>
              <w:bottom w:val="nil"/>
              <w:right w:val="nil"/>
            </w:tcBorders>
            <w:shd w:val="clear" w:color="000000" w:fill="EDEDED"/>
            <w:noWrap/>
            <w:vAlign w:val="center"/>
            <w:hideMark/>
          </w:tcPr>
          <w:p w14:paraId="6881B759"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587</w:t>
            </w:r>
          </w:p>
        </w:tc>
        <w:tc>
          <w:tcPr>
            <w:tcW w:w="937" w:type="dxa"/>
            <w:tcBorders>
              <w:top w:val="nil"/>
              <w:left w:val="nil"/>
              <w:bottom w:val="nil"/>
              <w:right w:val="nil"/>
            </w:tcBorders>
            <w:shd w:val="clear" w:color="000000" w:fill="EDEDED"/>
            <w:noWrap/>
            <w:vAlign w:val="center"/>
            <w:hideMark/>
          </w:tcPr>
          <w:p w14:paraId="5363B762"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32%</w:t>
            </w:r>
          </w:p>
        </w:tc>
      </w:tr>
      <w:tr w:rsidR="00847369" w:rsidRPr="00735DA4" w14:paraId="70423AA6" w14:textId="77777777" w:rsidTr="00735DA4">
        <w:trPr>
          <w:trHeight w:val="600"/>
          <w:jc w:val="center"/>
        </w:trPr>
        <w:tc>
          <w:tcPr>
            <w:tcW w:w="1483" w:type="dxa"/>
            <w:vMerge/>
            <w:tcBorders>
              <w:top w:val="nil"/>
              <w:left w:val="nil"/>
              <w:bottom w:val="nil"/>
              <w:right w:val="nil"/>
            </w:tcBorders>
            <w:vAlign w:val="center"/>
            <w:hideMark/>
          </w:tcPr>
          <w:p w14:paraId="2D1EDA9A"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p>
        </w:tc>
        <w:tc>
          <w:tcPr>
            <w:tcW w:w="1494" w:type="dxa"/>
            <w:tcBorders>
              <w:top w:val="nil"/>
              <w:left w:val="nil"/>
              <w:bottom w:val="nil"/>
              <w:right w:val="nil"/>
            </w:tcBorders>
            <w:shd w:val="clear" w:color="000000" w:fill="DBDBDB"/>
            <w:vAlign w:val="center"/>
            <w:hideMark/>
          </w:tcPr>
          <w:p w14:paraId="13B50483"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«ΕΠΙΣΤΗΜΕΣ ΜΗΧΑΝΙΚΟΥ ΚΑΙ ΤΕΧΝΟΛΟΓΙΑ»</w:t>
            </w:r>
          </w:p>
        </w:tc>
        <w:tc>
          <w:tcPr>
            <w:tcW w:w="887" w:type="dxa"/>
            <w:tcBorders>
              <w:top w:val="nil"/>
              <w:left w:val="nil"/>
              <w:bottom w:val="nil"/>
              <w:right w:val="nil"/>
            </w:tcBorders>
            <w:shd w:val="clear" w:color="000000" w:fill="EDEDED"/>
            <w:noWrap/>
            <w:vAlign w:val="center"/>
            <w:hideMark/>
          </w:tcPr>
          <w:p w14:paraId="227AE2C5"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200</w:t>
            </w:r>
          </w:p>
        </w:tc>
        <w:tc>
          <w:tcPr>
            <w:tcW w:w="1110" w:type="dxa"/>
            <w:tcBorders>
              <w:top w:val="nil"/>
              <w:left w:val="nil"/>
              <w:bottom w:val="nil"/>
              <w:right w:val="nil"/>
            </w:tcBorders>
            <w:shd w:val="clear" w:color="000000" w:fill="EDEDED"/>
            <w:noWrap/>
            <w:vAlign w:val="center"/>
            <w:hideMark/>
          </w:tcPr>
          <w:p w14:paraId="5F5A567D"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415</w:t>
            </w:r>
          </w:p>
        </w:tc>
        <w:tc>
          <w:tcPr>
            <w:tcW w:w="1322" w:type="dxa"/>
            <w:tcBorders>
              <w:top w:val="nil"/>
              <w:left w:val="nil"/>
              <w:bottom w:val="nil"/>
              <w:right w:val="nil"/>
            </w:tcBorders>
            <w:shd w:val="clear" w:color="000000" w:fill="EDEDED"/>
            <w:noWrap/>
            <w:vAlign w:val="center"/>
            <w:hideMark/>
          </w:tcPr>
          <w:p w14:paraId="27B4D8B9"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6</w:t>
            </w:r>
          </w:p>
        </w:tc>
        <w:tc>
          <w:tcPr>
            <w:tcW w:w="1073" w:type="dxa"/>
            <w:tcBorders>
              <w:top w:val="nil"/>
              <w:left w:val="nil"/>
              <w:bottom w:val="nil"/>
              <w:right w:val="nil"/>
            </w:tcBorders>
            <w:shd w:val="clear" w:color="000000" w:fill="DBDBDB"/>
            <w:noWrap/>
            <w:vAlign w:val="center"/>
            <w:hideMark/>
          </w:tcPr>
          <w:p w14:paraId="5FEAE67B"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621</w:t>
            </w:r>
          </w:p>
        </w:tc>
        <w:tc>
          <w:tcPr>
            <w:tcW w:w="937" w:type="dxa"/>
            <w:tcBorders>
              <w:top w:val="nil"/>
              <w:left w:val="nil"/>
              <w:bottom w:val="nil"/>
              <w:right w:val="nil"/>
            </w:tcBorders>
            <w:shd w:val="clear" w:color="000000" w:fill="DBDBDB"/>
            <w:noWrap/>
            <w:vAlign w:val="center"/>
            <w:hideMark/>
          </w:tcPr>
          <w:p w14:paraId="5198DC24"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32%</w:t>
            </w:r>
          </w:p>
        </w:tc>
      </w:tr>
      <w:tr w:rsidR="00847369" w:rsidRPr="00735DA4" w14:paraId="38C58BE9" w14:textId="77777777" w:rsidTr="00735DA4">
        <w:trPr>
          <w:trHeight w:val="300"/>
          <w:jc w:val="center"/>
        </w:trPr>
        <w:tc>
          <w:tcPr>
            <w:tcW w:w="1483" w:type="dxa"/>
            <w:vMerge/>
            <w:tcBorders>
              <w:top w:val="nil"/>
              <w:left w:val="nil"/>
              <w:bottom w:val="nil"/>
              <w:right w:val="nil"/>
            </w:tcBorders>
            <w:vAlign w:val="center"/>
            <w:hideMark/>
          </w:tcPr>
          <w:p w14:paraId="37D0EFE3"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p>
        </w:tc>
        <w:tc>
          <w:tcPr>
            <w:tcW w:w="1494" w:type="dxa"/>
            <w:tcBorders>
              <w:top w:val="nil"/>
              <w:left w:val="nil"/>
              <w:bottom w:val="nil"/>
              <w:right w:val="nil"/>
            </w:tcBorders>
            <w:shd w:val="clear" w:color="000000" w:fill="EDEDED"/>
            <w:vAlign w:val="center"/>
            <w:hideMark/>
          </w:tcPr>
          <w:p w14:paraId="658F9B6C" w14:textId="77777777" w:rsidR="00847369" w:rsidRPr="006C426D" w:rsidRDefault="00847369" w:rsidP="00F07C91">
            <w:pPr>
              <w:spacing w:line="240" w:lineRule="auto"/>
              <w:jc w:val="left"/>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«ΓΕΩΡΓΙΚΕΣ ΕΠΙΣΤΗΜΕΣ»</w:t>
            </w:r>
          </w:p>
        </w:tc>
        <w:tc>
          <w:tcPr>
            <w:tcW w:w="887" w:type="dxa"/>
            <w:tcBorders>
              <w:top w:val="nil"/>
              <w:left w:val="nil"/>
              <w:bottom w:val="nil"/>
              <w:right w:val="nil"/>
            </w:tcBorders>
            <w:shd w:val="clear" w:color="000000" w:fill="EDEDED"/>
            <w:noWrap/>
            <w:vAlign w:val="center"/>
            <w:hideMark/>
          </w:tcPr>
          <w:p w14:paraId="514A74C5"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48</w:t>
            </w:r>
          </w:p>
        </w:tc>
        <w:tc>
          <w:tcPr>
            <w:tcW w:w="1110" w:type="dxa"/>
            <w:tcBorders>
              <w:top w:val="nil"/>
              <w:left w:val="nil"/>
              <w:bottom w:val="nil"/>
              <w:right w:val="nil"/>
            </w:tcBorders>
            <w:shd w:val="clear" w:color="000000" w:fill="EDEDED"/>
            <w:noWrap/>
            <w:vAlign w:val="center"/>
            <w:hideMark/>
          </w:tcPr>
          <w:p w14:paraId="306E910B"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118</w:t>
            </w:r>
          </w:p>
        </w:tc>
        <w:tc>
          <w:tcPr>
            <w:tcW w:w="1322" w:type="dxa"/>
            <w:tcBorders>
              <w:top w:val="nil"/>
              <w:left w:val="nil"/>
              <w:bottom w:val="nil"/>
              <w:right w:val="nil"/>
            </w:tcBorders>
            <w:shd w:val="clear" w:color="000000" w:fill="EDEDED"/>
            <w:noWrap/>
            <w:vAlign w:val="center"/>
            <w:hideMark/>
          </w:tcPr>
          <w:p w14:paraId="1CBF26EB"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4</w:t>
            </w:r>
          </w:p>
        </w:tc>
        <w:tc>
          <w:tcPr>
            <w:tcW w:w="1073" w:type="dxa"/>
            <w:tcBorders>
              <w:top w:val="nil"/>
              <w:left w:val="nil"/>
              <w:bottom w:val="nil"/>
              <w:right w:val="nil"/>
            </w:tcBorders>
            <w:shd w:val="clear" w:color="000000" w:fill="EDEDED"/>
            <w:noWrap/>
            <w:vAlign w:val="center"/>
            <w:hideMark/>
          </w:tcPr>
          <w:p w14:paraId="6C44C9A1"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170</w:t>
            </w:r>
          </w:p>
        </w:tc>
        <w:tc>
          <w:tcPr>
            <w:tcW w:w="937" w:type="dxa"/>
            <w:tcBorders>
              <w:top w:val="nil"/>
              <w:left w:val="nil"/>
              <w:bottom w:val="nil"/>
              <w:right w:val="nil"/>
            </w:tcBorders>
            <w:shd w:val="clear" w:color="000000" w:fill="EDEDED"/>
            <w:noWrap/>
            <w:vAlign w:val="center"/>
            <w:hideMark/>
          </w:tcPr>
          <w:p w14:paraId="25F81189" w14:textId="77777777" w:rsidR="00847369" w:rsidRPr="006C426D" w:rsidRDefault="00847369" w:rsidP="00F07C91">
            <w:pPr>
              <w:spacing w:line="240" w:lineRule="auto"/>
              <w:jc w:val="center"/>
              <w:rPr>
                <w:rFonts w:ascii="Calibri" w:eastAsia="Times New Roman" w:hAnsi="Calibri" w:cs="Calibri"/>
                <w:color w:val="000000"/>
                <w:sz w:val="16"/>
                <w:szCs w:val="16"/>
                <w:lang w:eastAsia="el-GR"/>
              </w:rPr>
            </w:pPr>
            <w:r w:rsidRPr="006C426D">
              <w:rPr>
                <w:rFonts w:ascii="Calibri" w:eastAsia="Times New Roman" w:hAnsi="Calibri" w:cs="Calibri"/>
                <w:color w:val="000000"/>
                <w:sz w:val="16"/>
                <w:szCs w:val="16"/>
                <w:lang w:eastAsia="el-GR"/>
              </w:rPr>
              <w:t>28%</w:t>
            </w:r>
          </w:p>
        </w:tc>
      </w:tr>
      <w:tr w:rsidR="00847369" w:rsidRPr="00847369" w14:paraId="34F2B2F9" w14:textId="77777777" w:rsidTr="00735DA4">
        <w:trPr>
          <w:trHeight w:val="315"/>
          <w:jc w:val="center"/>
        </w:trPr>
        <w:tc>
          <w:tcPr>
            <w:tcW w:w="2977" w:type="dxa"/>
            <w:gridSpan w:val="2"/>
            <w:tcBorders>
              <w:top w:val="single" w:sz="4" w:space="0" w:color="4472C4"/>
              <w:left w:val="nil"/>
              <w:bottom w:val="double" w:sz="6" w:space="0" w:color="4472C4"/>
              <w:right w:val="nil"/>
            </w:tcBorders>
            <w:shd w:val="clear" w:color="auto" w:fill="auto"/>
            <w:noWrap/>
            <w:vAlign w:val="center"/>
            <w:hideMark/>
          </w:tcPr>
          <w:p w14:paraId="0D954D01" w14:textId="77777777" w:rsidR="00847369" w:rsidRPr="00DD4D12" w:rsidRDefault="00847369" w:rsidP="00F07C91">
            <w:pPr>
              <w:spacing w:line="240" w:lineRule="auto"/>
              <w:jc w:val="right"/>
              <w:rPr>
                <w:rFonts w:ascii="Calibri" w:eastAsia="Times New Roman" w:hAnsi="Calibri" w:cs="Calibri"/>
                <w:b/>
                <w:bCs/>
                <w:color w:val="000000"/>
                <w:sz w:val="16"/>
                <w:szCs w:val="16"/>
                <w:lang w:eastAsia="el-GR"/>
              </w:rPr>
            </w:pPr>
            <w:r w:rsidRPr="00DD4D12">
              <w:rPr>
                <w:rFonts w:ascii="Calibri" w:eastAsia="Times New Roman" w:hAnsi="Calibri" w:cs="Calibri"/>
                <w:b/>
                <w:bCs/>
                <w:color w:val="000000"/>
                <w:sz w:val="16"/>
                <w:szCs w:val="16"/>
                <w:lang w:eastAsia="el-GR"/>
              </w:rPr>
              <w:t>ΣΥΝΟΛΟ</w:t>
            </w:r>
          </w:p>
        </w:tc>
        <w:tc>
          <w:tcPr>
            <w:tcW w:w="887" w:type="dxa"/>
            <w:tcBorders>
              <w:top w:val="single" w:sz="4" w:space="0" w:color="4472C4"/>
              <w:left w:val="nil"/>
              <w:bottom w:val="double" w:sz="6" w:space="0" w:color="4472C4"/>
              <w:right w:val="nil"/>
            </w:tcBorders>
            <w:shd w:val="clear" w:color="auto" w:fill="auto"/>
            <w:noWrap/>
            <w:vAlign w:val="center"/>
            <w:hideMark/>
          </w:tcPr>
          <w:p w14:paraId="33B7CD4C" w14:textId="77777777" w:rsidR="00847369" w:rsidRPr="00DD4D12" w:rsidRDefault="00847369" w:rsidP="00F07C91">
            <w:pPr>
              <w:spacing w:line="240" w:lineRule="auto"/>
              <w:jc w:val="center"/>
              <w:rPr>
                <w:rFonts w:ascii="Calibri" w:eastAsia="Times New Roman" w:hAnsi="Calibri" w:cs="Calibri"/>
                <w:b/>
                <w:bCs/>
                <w:color w:val="000000"/>
                <w:sz w:val="16"/>
                <w:szCs w:val="16"/>
                <w:lang w:eastAsia="el-GR"/>
              </w:rPr>
            </w:pPr>
            <w:r w:rsidRPr="00DD4D12">
              <w:rPr>
                <w:rFonts w:ascii="Calibri" w:eastAsia="Times New Roman" w:hAnsi="Calibri" w:cs="Calibri"/>
                <w:b/>
                <w:bCs/>
                <w:color w:val="000000"/>
                <w:sz w:val="16"/>
                <w:szCs w:val="16"/>
                <w:lang w:eastAsia="el-GR"/>
              </w:rPr>
              <w:t>1112</w:t>
            </w:r>
          </w:p>
        </w:tc>
        <w:tc>
          <w:tcPr>
            <w:tcW w:w="1110" w:type="dxa"/>
            <w:tcBorders>
              <w:top w:val="single" w:sz="4" w:space="0" w:color="4472C4"/>
              <w:left w:val="nil"/>
              <w:bottom w:val="double" w:sz="6" w:space="0" w:color="4472C4"/>
              <w:right w:val="nil"/>
            </w:tcBorders>
            <w:shd w:val="clear" w:color="auto" w:fill="auto"/>
            <w:noWrap/>
            <w:vAlign w:val="center"/>
            <w:hideMark/>
          </w:tcPr>
          <w:p w14:paraId="2D4B9D59" w14:textId="77777777" w:rsidR="00847369" w:rsidRPr="00DD4D12" w:rsidRDefault="00847369" w:rsidP="00F07C91">
            <w:pPr>
              <w:spacing w:line="240" w:lineRule="auto"/>
              <w:jc w:val="center"/>
              <w:rPr>
                <w:rFonts w:ascii="Calibri" w:eastAsia="Times New Roman" w:hAnsi="Calibri" w:cs="Calibri"/>
                <w:b/>
                <w:bCs/>
                <w:color w:val="000000"/>
                <w:sz w:val="16"/>
                <w:szCs w:val="16"/>
                <w:lang w:eastAsia="el-GR"/>
              </w:rPr>
            </w:pPr>
            <w:r w:rsidRPr="00DD4D12">
              <w:rPr>
                <w:rFonts w:ascii="Calibri" w:eastAsia="Times New Roman" w:hAnsi="Calibri" w:cs="Calibri"/>
                <w:b/>
                <w:bCs/>
                <w:color w:val="000000"/>
                <w:sz w:val="16"/>
                <w:szCs w:val="16"/>
                <w:lang w:eastAsia="el-GR"/>
              </w:rPr>
              <w:t>2186</w:t>
            </w:r>
          </w:p>
        </w:tc>
        <w:tc>
          <w:tcPr>
            <w:tcW w:w="1322" w:type="dxa"/>
            <w:tcBorders>
              <w:top w:val="single" w:sz="4" w:space="0" w:color="4472C4"/>
              <w:left w:val="nil"/>
              <w:bottom w:val="double" w:sz="6" w:space="0" w:color="4472C4"/>
              <w:right w:val="nil"/>
            </w:tcBorders>
            <w:shd w:val="clear" w:color="auto" w:fill="auto"/>
            <w:noWrap/>
            <w:vAlign w:val="center"/>
            <w:hideMark/>
          </w:tcPr>
          <w:p w14:paraId="48E036C6" w14:textId="77777777" w:rsidR="00847369" w:rsidRPr="00DD4D12" w:rsidRDefault="00847369" w:rsidP="00F07C91">
            <w:pPr>
              <w:spacing w:line="240" w:lineRule="auto"/>
              <w:jc w:val="center"/>
              <w:rPr>
                <w:rFonts w:ascii="Calibri" w:eastAsia="Times New Roman" w:hAnsi="Calibri" w:cs="Calibri"/>
                <w:b/>
                <w:bCs/>
                <w:color w:val="000000"/>
                <w:sz w:val="16"/>
                <w:szCs w:val="16"/>
                <w:lang w:eastAsia="el-GR"/>
              </w:rPr>
            </w:pPr>
            <w:r w:rsidRPr="00DD4D12">
              <w:rPr>
                <w:rFonts w:ascii="Calibri" w:eastAsia="Times New Roman" w:hAnsi="Calibri" w:cs="Calibri"/>
                <w:b/>
                <w:bCs/>
                <w:color w:val="000000"/>
                <w:sz w:val="16"/>
                <w:szCs w:val="16"/>
                <w:lang w:eastAsia="el-GR"/>
              </w:rPr>
              <w:t>47</w:t>
            </w:r>
          </w:p>
        </w:tc>
        <w:tc>
          <w:tcPr>
            <w:tcW w:w="1073" w:type="dxa"/>
            <w:tcBorders>
              <w:top w:val="single" w:sz="4" w:space="0" w:color="4472C4"/>
              <w:left w:val="nil"/>
              <w:bottom w:val="double" w:sz="6" w:space="0" w:color="4472C4"/>
              <w:right w:val="nil"/>
            </w:tcBorders>
            <w:shd w:val="clear" w:color="auto" w:fill="auto"/>
            <w:noWrap/>
            <w:vAlign w:val="center"/>
            <w:hideMark/>
          </w:tcPr>
          <w:p w14:paraId="5CA222CB" w14:textId="77777777" w:rsidR="00847369" w:rsidRPr="006C426D" w:rsidRDefault="00847369" w:rsidP="00F07C91">
            <w:pPr>
              <w:spacing w:line="240" w:lineRule="auto"/>
              <w:jc w:val="center"/>
              <w:rPr>
                <w:rFonts w:ascii="Calibri" w:eastAsia="Times New Roman" w:hAnsi="Calibri" w:cs="Calibri"/>
                <w:b/>
                <w:bCs/>
                <w:color w:val="000000"/>
                <w:sz w:val="16"/>
                <w:szCs w:val="16"/>
                <w:lang w:eastAsia="el-GR"/>
              </w:rPr>
            </w:pPr>
            <w:r w:rsidRPr="00DD4D12">
              <w:rPr>
                <w:rFonts w:ascii="Calibri" w:eastAsia="Times New Roman" w:hAnsi="Calibri" w:cs="Calibri"/>
                <w:b/>
                <w:bCs/>
                <w:color w:val="000000"/>
                <w:sz w:val="16"/>
                <w:szCs w:val="16"/>
                <w:lang w:eastAsia="el-GR"/>
              </w:rPr>
              <w:t>3345</w:t>
            </w:r>
          </w:p>
        </w:tc>
        <w:tc>
          <w:tcPr>
            <w:tcW w:w="937" w:type="dxa"/>
            <w:tcBorders>
              <w:top w:val="nil"/>
              <w:left w:val="nil"/>
              <w:bottom w:val="nil"/>
              <w:right w:val="nil"/>
            </w:tcBorders>
            <w:shd w:val="clear" w:color="auto" w:fill="auto"/>
            <w:noWrap/>
            <w:vAlign w:val="center"/>
            <w:hideMark/>
          </w:tcPr>
          <w:p w14:paraId="531DAFEB" w14:textId="77777777" w:rsidR="00847369" w:rsidRPr="006C426D" w:rsidRDefault="00847369" w:rsidP="00F07C91">
            <w:pPr>
              <w:spacing w:line="240" w:lineRule="auto"/>
              <w:jc w:val="center"/>
              <w:rPr>
                <w:rFonts w:ascii="Calibri" w:eastAsia="Times New Roman" w:hAnsi="Calibri" w:cs="Calibri"/>
                <w:b/>
                <w:bCs/>
                <w:color w:val="000000"/>
                <w:sz w:val="16"/>
                <w:szCs w:val="16"/>
                <w:lang w:eastAsia="el-GR"/>
              </w:rPr>
            </w:pPr>
          </w:p>
        </w:tc>
      </w:tr>
    </w:tbl>
    <w:p w14:paraId="5DC8C3CF" w14:textId="77777777" w:rsidR="00847369" w:rsidRDefault="00847369" w:rsidP="007635FD"/>
    <w:p w14:paraId="7A0CD5BB" w14:textId="3DD9A3EC" w:rsidR="006B4E03" w:rsidRDefault="006B4E03" w:rsidP="006B4E03">
      <w:r>
        <w:t xml:space="preserve">Οι περισσότερες αιτήσεις υποβλήθηκαν στους κλάδους «ΕΠΙΣΤΗΜΕΣ ΜΗΧΑΝΙΚΟΥ </w:t>
      </w:r>
      <w:r w:rsidR="00842E11">
        <w:t>ΚΑΙ</w:t>
      </w:r>
      <w:r>
        <w:t xml:space="preserve"> ΤΕΧΝΟΛΟΓΙΑ» και «ΕΠΙΣΤΗΜΕΣ ΖΩΗΣ </w:t>
      </w:r>
      <w:r w:rsidR="00842E11">
        <w:t>ΚΑΙ</w:t>
      </w:r>
      <w:r>
        <w:t xml:space="preserve"> ΥΓΕΙΑΣ». </w:t>
      </w:r>
    </w:p>
    <w:p w14:paraId="6089FE31" w14:textId="12C00B48" w:rsidR="00541BA0" w:rsidRPr="00B44B51" w:rsidRDefault="00541BA0" w:rsidP="00541BA0">
      <w:r w:rsidRPr="00B44B51">
        <w:t>Στους υποτρόφους χορηγούνται μεικτά μηνιαία τροφεία ύψους 816,90</w:t>
      </w:r>
      <w:r w:rsidR="00842E11">
        <w:t xml:space="preserve"> </w:t>
      </w:r>
      <w:r w:rsidRPr="00B44B51">
        <w:t>), στα οποία συμπεριλαμβάνονται οι εκάστοτε νόμιμες κρατήσεις.</w:t>
      </w:r>
    </w:p>
    <w:p w14:paraId="28E995EA" w14:textId="74024FFB" w:rsidR="00541BA0" w:rsidRPr="0023575A" w:rsidRDefault="00541BA0" w:rsidP="00541BA0">
      <w:r w:rsidRPr="00B44B51">
        <w:t>Σύμφωνα με τις Κανονιστικές Διατάξεις του προγράμματος, όπως εγκρίθηκαν με την με αριθμ. ΚΥΑ 82871/Ζ1/23-05-2016 του Υπουργού Παιδείας, Έρευνας και Θρησκευμάτων, του Υπουργού Οικονομίας, Ανάπτυξης και Τουρισμού και του Υπουργού Οικονομικών (ΦΕΚ Τεύχος Β’/1506/26-05-2016) προϋπολογίζεται συνολική δαπάνη για τα έτη 2016, 2017, 2018 και 2019 ύψους 4.911.202,80</w:t>
      </w:r>
      <w:r w:rsidR="00842E11">
        <w:t xml:space="preserve"> €</w:t>
      </w:r>
      <w:r w:rsidRPr="00B44B51">
        <w:t>, η οποία βαρύνει το Πρόγραμμα Δημοσίων Επενδύσεων (ΠΔΕ) του προϋπολογισμού του ΙΚΥ και συγχρηματοδοτείται από το Ευρωπαϊκό Κοινωνικό Ταμείο (ΕΚΤ) και το ελληνικό δημόσιο. Για το έτος 2018 η δαπάνη ανέρχεται στο ποσό των 431.323,20 €.</w:t>
      </w:r>
    </w:p>
    <w:p w14:paraId="59705899" w14:textId="3BCFEDA0" w:rsidR="006B4E03" w:rsidRDefault="006B4E03" w:rsidP="006B4E03">
      <w:r>
        <w:t>Το πρόγραμμα υποτροφιών με τίτλο «Ενίσχυση Μεταδιδακτόρων Ερευνητών / Ερευνητριών», έχει ολοκληρώσει μέχρι τον Ιανουάριο του 2019 μόνο τον 1</w:t>
      </w:r>
      <w:r w:rsidRPr="00842E11">
        <w:rPr>
          <w:vertAlign w:val="superscript"/>
        </w:rPr>
        <w:t>ο</w:t>
      </w:r>
      <w:r w:rsidR="00842E11">
        <w:t xml:space="preserve"> </w:t>
      </w:r>
      <w:r>
        <w:t>Κύκλο, στον οποίο υποβλήθηκαν συνολικά 1</w:t>
      </w:r>
      <w:r w:rsidR="008B5B19">
        <w:t>.</w:t>
      </w:r>
      <w:r>
        <w:t>749 αιτήσεις στους τρεις επιστημονικούς τομείς, εκ των οποίων 289 επιλέχθηκαν για χρηματοδότηση.</w:t>
      </w:r>
    </w:p>
    <w:p w14:paraId="4603D48D" w14:textId="77777777" w:rsidR="00D371B0" w:rsidRDefault="006B4E03" w:rsidP="006B4E03">
      <w:r>
        <w:t>Αναλυτικότερα, στον παρακάτω πίνακα παρουσιάζεται η συνολική εικόνα ανά επιστημονικό τομέα και κλάδο του προγράμματος «ΕΝΙΣΧΥΣΗ ΜΕΤΑΔΙΔΑΚΤΟΡΩΝ ΕΡΕΥΝΗΤΩΝ/ΤΡΙΩΝ».</w:t>
      </w:r>
    </w:p>
    <w:p w14:paraId="023CF922" w14:textId="77777777" w:rsidR="00D371B0" w:rsidRPr="0082533D" w:rsidRDefault="00D371B0" w:rsidP="00BD4534">
      <w:pPr>
        <w:pStyle w:val="Caption"/>
      </w:pPr>
      <w:bookmarkStart w:id="26" w:name="_Toc6398590"/>
      <w:r w:rsidRPr="0082533D">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2</w:t>
      </w:r>
      <w:r w:rsidR="00833098">
        <w:rPr>
          <w:noProof/>
        </w:rPr>
        <w:fldChar w:fldCharType="end"/>
      </w:r>
      <w:r>
        <w:t>: Συνολική εικόνα υποψηφίων του προγράμματος "</w:t>
      </w:r>
      <w:r w:rsidRPr="006B2FF1">
        <w:t>ΕΝΙΣΧΥΣΗ ΜΕΤΑΔΙΔΑΚΤΟΡΩΝ ΕΡΕΥΝΗΤΩΝ/ΤΡΙΩΝ</w:t>
      </w:r>
      <w:r>
        <w:t>" ανά επιστημονικό τομέα και κλάδο.</w:t>
      </w:r>
      <w:bookmarkEnd w:id="26"/>
    </w:p>
    <w:tbl>
      <w:tblPr>
        <w:tblW w:w="5000" w:type="pct"/>
        <w:tblLayout w:type="fixed"/>
        <w:tblLook w:val="04A0" w:firstRow="1" w:lastRow="0" w:firstColumn="1" w:lastColumn="0" w:noHBand="0" w:noVBand="1"/>
      </w:tblPr>
      <w:tblGrid>
        <w:gridCol w:w="1595"/>
        <w:gridCol w:w="1417"/>
        <w:gridCol w:w="1229"/>
        <w:gridCol w:w="1369"/>
        <w:gridCol w:w="1504"/>
        <w:gridCol w:w="683"/>
        <w:gridCol w:w="548"/>
        <w:gridCol w:w="1067"/>
      </w:tblGrid>
      <w:tr w:rsidR="00D371B0" w:rsidRPr="0082533D" w14:paraId="516A9634" w14:textId="77777777" w:rsidTr="0023575A">
        <w:trPr>
          <w:trHeight w:val="615"/>
          <w:tblHeader/>
        </w:trPr>
        <w:tc>
          <w:tcPr>
            <w:tcW w:w="847" w:type="pct"/>
            <w:tcBorders>
              <w:top w:val="nil"/>
              <w:left w:val="nil"/>
              <w:bottom w:val="single" w:sz="8" w:space="0" w:color="8EA9DB"/>
              <w:right w:val="nil"/>
            </w:tcBorders>
            <w:shd w:val="clear" w:color="auto" w:fill="auto"/>
            <w:vAlign w:val="center"/>
            <w:hideMark/>
          </w:tcPr>
          <w:p w14:paraId="782E51FC"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 xml:space="preserve">ΕΠΙΣΤΗΜΟΝΙΚΟΣ ΤΟΜΕΑΣ </w:t>
            </w:r>
          </w:p>
        </w:tc>
        <w:tc>
          <w:tcPr>
            <w:tcW w:w="753" w:type="pct"/>
            <w:tcBorders>
              <w:top w:val="nil"/>
              <w:left w:val="nil"/>
              <w:bottom w:val="single" w:sz="8" w:space="0" w:color="8EA9DB"/>
              <w:right w:val="nil"/>
            </w:tcBorders>
            <w:shd w:val="clear" w:color="auto" w:fill="auto"/>
            <w:noWrap/>
            <w:vAlign w:val="center"/>
            <w:hideMark/>
          </w:tcPr>
          <w:p w14:paraId="240C1914" w14:textId="77777777" w:rsidR="00D371B0" w:rsidRPr="0082533D" w:rsidRDefault="00D371B0" w:rsidP="00F07C91">
            <w:pPr>
              <w:spacing w:line="240" w:lineRule="auto"/>
              <w:jc w:val="left"/>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ΚΛΑΔΟΣ</w:t>
            </w:r>
          </w:p>
        </w:tc>
        <w:tc>
          <w:tcPr>
            <w:tcW w:w="653" w:type="pct"/>
            <w:tcBorders>
              <w:top w:val="nil"/>
              <w:left w:val="nil"/>
              <w:bottom w:val="single" w:sz="8" w:space="0" w:color="8EA9DB"/>
              <w:right w:val="nil"/>
            </w:tcBorders>
            <w:shd w:val="clear" w:color="auto" w:fill="auto"/>
            <w:noWrap/>
            <w:vAlign w:val="center"/>
            <w:hideMark/>
          </w:tcPr>
          <w:p w14:paraId="7F2AC74A"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ΕΠΙΛΕΓΕΝΤΕΣ</w:t>
            </w:r>
          </w:p>
        </w:tc>
        <w:tc>
          <w:tcPr>
            <w:tcW w:w="727" w:type="pct"/>
            <w:tcBorders>
              <w:top w:val="nil"/>
              <w:left w:val="nil"/>
              <w:bottom w:val="single" w:sz="8" w:space="0" w:color="8EA9DB"/>
              <w:right w:val="nil"/>
            </w:tcBorders>
            <w:shd w:val="clear" w:color="auto" w:fill="auto"/>
            <w:noWrap/>
            <w:vAlign w:val="center"/>
            <w:hideMark/>
          </w:tcPr>
          <w:p w14:paraId="272C5679"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ΕΠΙΛΑΧΟΝΤΕΣ</w:t>
            </w:r>
          </w:p>
        </w:tc>
        <w:tc>
          <w:tcPr>
            <w:tcW w:w="799" w:type="pct"/>
            <w:tcBorders>
              <w:top w:val="nil"/>
              <w:left w:val="nil"/>
              <w:bottom w:val="single" w:sz="8" w:space="0" w:color="8EA9DB"/>
              <w:right w:val="nil"/>
            </w:tcBorders>
            <w:shd w:val="clear" w:color="auto" w:fill="auto"/>
            <w:noWrap/>
            <w:vAlign w:val="center"/>
            <w:hideMark/>
          </w:tcPr>
          <w:p w14:paraId="6AFE2BB5"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ΑΠΟΡΡΙΦΘΕΝΤΕΣ</w:t>
            </w:r>
          </w:p>
        </w:tc>
        <w:tc>
          <w:tcPr>
            <w:tcW w:w="654" w:type="pct"/>
            <w:gridSpan w:val="2"/>
            <w:tcBorders>
              <w:top w:val="nil"/>
              <w:left w:val="nil"/>
              <w:bottom w:val="single" w:sz="8" w:space="0" w:color="8EA9DB"/>
              <w:right w:val="nil"/>
            </w:tcBorders>
            <w:shd w:val="clear" w:color="auto" w:fill="auto"/>
            <w:noWrap/>
            <w:vAlign w:val="center"/>
            <w:hideMark/>
          </w:tcPr>
          <w:p w14:paraId="33DFB118"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ΣΥΝΟΛΟ</w:t>
            </w:r>
          </w:p>
        </w:tc>
        <w:tc>
          <w:tcPr>
            <w:tcW w:w="567" w:type="pct"/>
            <w:tcBorders>
              <w:top w:val="nil"/>
              <w:left w:val="nil"/>
              <w:bottom w:val="single" w:sz="8" w:space="0" w:color="8EA9DB"/>
              <w:right w:val="nil"/>
            </w:tcBorders>
            <w:shd w:val="clear" w:color="auto" w:fill="auto"/>
            <w:noWrap/>
            <w:vAlign w:val="center"/>
            <w:hideMark/>
          </w:tcPr>
          <w:p w14:paraId="2799C6C1" w14:textId="77777777" w:rsidR="00D371B0" w:rsidRPr="0082533D" w:rsidRDefault="00D371B0" w:rsidP="00F07C91">
            <w:pPr>
              <w:spacing w:line="240" w:lineRule="auto"/>
              <w:jc w:val="center"/>
              <w:rPr>
                <w:rFonts w:ascii="Calibri" w:eastAsia="Times New Roman" w:hAnsi="Calibri" w:cs="Calibri"/>
                <w:b/>
                <w:bCs/>
                <w:color w:val="44546A"/>
                <w:szCs w:val="18"/>
                <w:lang w:eastAsia="el-GR"/>
              </w:rPr>
            </w:pPr>
            <w:r w:rsidRPr="0082533D">
              <w:rPr>
                <w:rFonts w:ascii="Calibri" w:eastAsia="Times New Roman" w:hAnsi="Calibri" w:cs="Calibri"/>
                <w:b/>
                <w:bCs/>
                <w:color w:val="44546A"/>
                <w:szCs w:val="18"/>
                <w:lang w:eastAsia="el-GR"/>
              </w:rPr>
              <w:t>ΠΟΣΟΣΟΤΟ ΕΠΙΤΥΧΙΑΣ</w:t>
            </w:r>
          </w:p>
        </w:tc>
      </w:tr>
      <w:tr w:rsidR="00D371B0" w:rsidRPr="0082533D" w14:paraId="38D6BE75" w14:textId="77777777" w:rsidTr="0023575A">
        <w:trPr>
          <w:trHeight w:val="300"/>
        </w:trPr>
        <w:tc>
          <w:tcPr>
            <w:tcW w:w="847" w:type="pct"/>
            <w:tcBorders>
              <w:top w:val="nil"/>
              <w:left w:val="nil"/>
              <w:bottom w:val="nil"/>
              <w:right w:val="nil"/>
            </w:tcBorders>
            <w:shd w:val="clear" w:color="000000" w:fill="EDEDED"/>
            <w:noWrap/>
            <w:vAlign w:val="center"/>
            <w:hideMark/>
          </w:tcPr>
          <w:p w14:paraId="01113CA9"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«ΕΠΙΣΤΗΜΕΣ ΖΩΗΣ»</w:t>
            </w:r>
          </w:p>
        </w:tc>
        <w:tc>
          <w:tcPr>
            <w:tcW w:w="753" w:type="pct"/>
            <w:tcBorders>
              <w:top w:val="nil"/>
              <w:left w:val="nil"/>
              <w:bottom w:val="nil"/>
              <w:right w:val="nil"/>
            </w:tcBorders>
            <w:shd w:val="clear" w:color="000000" w:fill="EDEDED"/>
            <w:vAlign w:val="center"/>
            <w:hideMark/>
          </w:tcPr>
          <w:p w14:paraId="0D50C4DD"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«ΙΑΤΡΙΚΗ ΚΑΙ ΕΠΙΣΤΗΜΕΣ ΥΓΕΙΑΣ»</w:t>
            </w:r>
          </w:p>
        </w:tc>
        <w:tc>
          <w:tcPr>
            <w:tcW w:w="653" w:type="pct"/>
            <w:tcBorders>
              <w:top w:val="nil"/>
              <w:left w:val="nil"/>
              <w:bottom w:val="nil"/>
              <w:right w:val="nil"/>
            </w:tcBorders>
            <w:shd w:val="clear" w:color="000000" w:fill="EDEDED"/>
            <w:noWrap/>
            <w:vAlign w:val="center"/>
            <w:hideMark/>
          </w:tcPr>
          <w:p w14:paraId="6E9CFEDE"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77</w:t>
            </w:r>
          </w:p>
        </w:tc>
        <w:tc>
          <w:tcPr>
            <w:tcW w:w="727" w:type="pct"/>
            <w:tcBorders>
              <w:top w:val="nil"/>
              <w:left w:val="nil"/>
              <w:bottom w:val="nil"/>
              <w:right w:val="nil"/>
            </w:tcBorders>
            <w:shd w:val="clear" w:color="000000" w:fill="EDEDED"/>
            <w:noWrap/>
            <w:vAlign w:val="center"/>
            <w:hideMark/>
          </w:tcPr>
          <w:p w14:paraId="17EA72EA"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271</w:t>
            </w:r>
          </w:p>
        </w:tc>
        <w:tc>
          <w:tcPr>
            <w:tcW w:w="799" w:type="pct"/>
            <w:tcBorders>
              <w:top w:val="nil"/>
              <w:left w:val="nil"/>
              <w:bottom w:val="nil"/>
              <w:right w:val="nil"/>
            </w:tcBorders>
            <w:shd w:val="clear" w:color="000000" w:fill="EDEDED"/>
            <w:noWrap/>
            <w:vAlign w:val="center"/>
            <w:hideMark/>
          </w:tcPr>
          <w:p w14:paraId="1847383A"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w:t>
            </w:r>
          </w:p>
        </w:tc>
        <w:tc>
          <w:tcPr>
            <w:tcW w:w="363" w:type="pct"/>
            <w:tcBorders>
              <w:top w:val="nil"/>
              <w:left w:val="nil"/>
              <w:bottom w:val="nil"/>
              <w:right w:val="nil"/>
            </w:tcBorders>
            <w:shd w:val="clear" w:color="000000" w:fill="EDEDED"/>
            <w:noWrap/>
            <w:vAlign w:val="center"/>
            <w:hideMark/>
          </w:tcPr>
          <w:p w14:paraId="7F44CBE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350</w:t>
            </w:r>
          </w:p>
        </w:tc>
        <w:tc>
          <w:tcPr>
            <w:tcW w:w="858" w:type="pct"/>
            <w:gridSpan w:val="2"/>
            <w:tcBorders>
              <w:top w:val="nil"/>
              <w:left w:val="nil"/>
              <w:bottom w:val="nil"/>
              <w:right w:val="nil"/>
            </w:tcBorders>
            <w:shd w:val="clear" w:color="000000" w:fill="EDEDED"/>
            <w:noWrap/>
            <w:vAlign w:val="center"/>
            <w:hideMark/>
          </w:tcPr>
          <w:p w14:paraId="0D4F5E06"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22%</w:t>
            </w:r>
          </w:p>
        </w:tc>
      </w:tr>
      <w:tr w:rsidR="00D371B0" w:rsidRPr="0082533D" w14:paraId="5268B051" w14:textId="77777777" w:rsidTr="0023575A">
        <w:trPr>
          <w:trHeight w:val="300"/>
        </w:trPr>
        <w:tc>
          <w:tcPr>
            <w:tcW w:w="847" w:type="pct"/>
            <w:vMerge w:val="restart"/>
            <w:tcBorders>
              <w:top w:val="nil"/>
              <w:left w:val="nil"/>
              <w:bottom w:val="nil"/>
              <w:right w:val="nil"/>
            </w:tcBorders>
            <w:shd w:val="clear" w:color="000000" w:fill="DBDBDB"/>
            <w:vAlign w:val="center"/>
            <w:hideMark/>
          </w:tcPr>
          <w:p w14:paraId="215563C6"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«ΚΟΙΝΩΝΙΚΕΣ ΚΑΙ ΑΝΘΡΩΠΙΣΤΙΚΕΣ ΕΠΙΣΤΗΜΕΣ»</w:t>
            </w:r>
          </w:p>
        </w:tc>
        <w:tc>
          <w:tcPr>
            <w:tcW w:w="753" w:type="pct"/>
            <w:tcBorders>
              <w:top w:val="nil"/>
              <w:left w:val="nil"/>
              <w:bottom w:val="nil"/>
              <w:right w:val="nil"/>
            </w:tcBorders>
            <w:shd w:val="clear" w:color="000000" w:fill="DBDBDB"/>
            <w:vAlign w:val="center"/>
            <w:hideMark/>
          </w:tcPr>
          <w:p w14:paraId="63E17187"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«ΑΝΘΡΩΠΙΣΤΙΚΕΣ ΕΠΙΣΤΗΜΕΣ»</w:t>
            </w:r>
          </w:p>
        </w:tc>
        <w:tc>
          <w:tcPr>
            <w:tcW w:w="653" w:type="pct"/>
            <w:tcBorders>
              <w:top w:val="nil"/>
              <w:left w:val="nil"/>
              <w:bottom w:val="nil"/>
              <w:right w:val="nil"/>
            </w:tcBorders>
            <w:shd w:val="clear" w:color="000000" w:fill="DBDBDB"/>
            <w:noWrap/>
            <w:vAlign w:val="center"/>
            <w:hideMark/>
          </w:tcPr>
          <w:p w14:paraId="5ACD36A3"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31</w:t>
            </w:r>
          </w:p>
        </w:tc>
        <w:tc>
          <w:tcPr>
            <w:tcW w:w="727" w:type="pct"/>
            <w:tcBorders>
              <w:top w:val="nil"/>
              <w:left w:val="nil"/>
              <w:bottom w:val="nil"/>
              <w:right w:val="nil"/>
            </w:tcBorders>
            <w:shd w:val="clear" w:color="000000" w:fill="DBDBDB"/>
            <w:noWrap/>
            <w:vAlign w:val="center"/>
            <w:hideMark/>
          </w:tcPr>
          <w:p w14:paraId="0DB5E8F4"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239</w:t>
            </w:r>
          </w:p>
        </w:tc>
        <w:tc>
          <w:tcPr>
            <w:tcW w:w="799" w:type="pct"/>
            <w:tcBorders>
              <w:top w:val="nil"/>
              <w:left w:val="nil"/>
              <w:bottom w:val="nil"/>
              <w:right w:val="nil"/>
            </w:tcBorders>
            <w:shd w:val="clear" w:color="000000" w:fill="DBDBDB"/>
            <w:noWrap/>
            <w:vAlign w:val="center"/>
            <w:hideMark/>
          </w:tcPr>
          <w:p w14:paraId="16B69509"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8</w:t>
            </w:r>
          </w:p>
        </w:tc>
        <w:tc>
          <w:tcPr>
            <w:tcW w:w="363" w:type="pct"/>
            <w:tcBorders>
              <w:top w:val="nil"/>
              <w:left w:val="nil"/>
              <w:bottom w:val="nil"/>
              <w:right w:val="nil"/>
            </w:tcBorders>
            <w:shd w:val="clear" w:color="000000" w:fill="DBDBDB"/>
            <w:noWrap/>
            <w:vAlign w:val="center"/>
            <w:hideMark/>
          </w:tcPr>
          <w:p w14:paraId="75803D2D"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278</w:t>
            </w:r>
          </w:p>
        </w:tc>
        <w:tc>
          <w:tcPr>
            <w:tcW w:w="858" w:type="pct"/>
            <w:gridSpan w:val="2"/>
            <w:tcBorders>
              <w:top w:val="nil"/>
              <w:left w:val="nil"/>
              <w:bottom w:val="nil"/>
              <w:right w:val="nil"/>
            </w:tcBorders>
            <w:shd w:val="clear" w:color="000000" w:fill="DBDBDB"/>
            <w:noWrap/>
            <w:vAlign w:val="center"/>
            <w:hideMark/>
          </w:tcPr>
          <w:p w14:paraId="53B7EF6B"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11%</w:t>
            </w:r>
          </w:p>
        </w:tc>
      </w:tr>
      <w:tr w:rsidR="00D371B0" w:rsidRPr="0082533D" w14:paraId="775BFA70" w14:textId="77777777" w:rsidTr="0023575A">
        <w:trPr>
          <w:trHeight w:val="300"/>
        </w:trPr>
        <w:tc>
          <w:tcPr>
            <w:tcW w:w="847" w:type="pct"/>
            <w:vMerge/>
            <w:tcBorders>
              <w:top w:val="nil"/>
              <w:left w:val="nil"/>
              <w:bottom w:val="nil"/>
              <w:right w:val="nil"/>
            </w:tcBorders>
            <w:vAlign w:val="center"/>
            <w:hideMark/>
          </w:tcPr>
          <w:p w14:paraId="1540E21A" w14:textId="77777777" w:rsidR="00D371B0" w:rsidRPr="0082533D" w:rsidRDefault="00D371B0" w:rsidP="00F07C91">
            <w:pPr>
              <w:spacing w:line="240" w:lineRule="auto"/>
              <w:jc w:val="left"/>
              <w:rPr>
                <w:rFonts w:ascii="Calibri" w:eastAsia="Times New Roman" w:hAnsi="Calibri" w:cs="Calibri"/>
                <w:color w:val="000000"/>
                <w:szCs w:val="18"/>
                <w:lang w:eastAsia="el-GR"/>
              </w:rPr>
            </w:pPr>
          </w:p>
        </w:tc>
        <w:tc>
          <w:tcPr>
            <w:tcW w:w="753" w:type="pct"/>
            <w:tcBorders>
              <w:top w:val="nil"/>
              <w:left w:val="nil"/>
              <w:bottom w:val="nil"/>
              <w:right w:val="nil"/>
            </w:tcBorders>
            <w:shd w:val="clear" w:color="000000" w:fill="EDEDED"/>
            <w:vAlign w:val="center"/>
            <w:hideMark/>
          </w:tcPr>
          <w:p w14:paraId="752ECEA4"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«ΚΟΙΝΩΝΙΚΕΣ ΕΠΙΣΤΗΜΕΣ»</w:t>
            </w:r>
          </w:p>
        </w:tc>
        <w:tc>
          <w:tcPr>
            <w:tcW w:w="653" w:type="pct"/>
            <w:tcBorders>
              <w:top w:val="nil"/>
              <w:left w:val="nil"/>
              <w:bottom w:val="nil"/>
              <w:right w:val="nil"/>
            </w:tcBorders>
            <w:shd w:val="clear" w:color="000000" w:fill="EDEDED"/>
            <w:noWrap/>
            <w:vAlign w:val="center"/>
            <w:hideMark/>
          </w:tcPr>
          <w:p w14:paraId="1FBA698F"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32</w:t>
            </w:r>
          </w:p>
        </w:tc>
        <w:tc>
          <w:tcPr>
            <w:tcW w:w="727" w:type="pct"/>
            <w:tcBorders>
              <w:top w:val="nil"/>
              <w:left w:val="nil"/>
              <w:bottom w:val="nil"/>
              <w:right w:val="nil"/>
            </w:tcBorders>
            <w:shd w:val="clear" w:color="000000" w:fill="EDEDED"/>
            <w:noWrap/>
            <w:vAlign w:val="center"/>
            <w:hideMark/>
          </w:tcPr>
          <w:p w14:paraId="4D704FB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159</w:t>
            </w:r>
          </w:p>
        </w:tc>
        <w:tc>
          <w:tcPr>
            <w:tcW w:w="799" w:type="pct"/>
            <w:tcBorders>
              <w:top w:val="nil"/>
              <w:left w:val="nil"/>
              <w:bottom w:val="nil"/>
              <w:right w:val="nil"/>
            </w:tcBorders>
            <w:shd w:val="clear" w:color="000000" w:fill="EDEDED"/>
            <w:noWrap/>
            <w:vAlign w:val="center"/>
            <w:hideMark/>
          </w:tcPr>
          <w:p w14:paraId="68AF053B"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w:t>
            </w:r>
          </w:p>
        </w:tc>
        <w:tc>
          <w:tcPr>
            <w:tcW w:w="363" w:type="pct"/>
            <w:tcBorders>
              <w:top w:val="nil"/>
              <w:left w:val="nil"/>
              <w:bottom w:val="nil"/>
              <w:right w:val="nil"/>
            </w:tcBorders>
            <w:shd w:val="clear" w:color="000000" w:fill="EDEDED"/>
            <w:noWrap/>
            <w:vAlign w:val="center"/>
            <w:hideMark/>
          </w:tcPr>
          <w:p w14:paraId="1D689BE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193</w:t>
            </w:r>
          </w:p>
        </w:tc>
        <w:tc>
          <w:tcPr>
            <w:tcW w:w="858" w:type="pct"/>
            <w:gridSpan w:val="2"/>
            <w:tcBorders>
              <w:top w:val="nil"/>
              <w:left w:val="nil"/>
              <w:bottom w:val="nil"/>
              <w:right w:val="nil"/>
            </w:tcBorders>
            <w:shd w:val="clear" w:color="000000" w:fill="EDEDED"/>
            <w:noWrap/>
            <w:vAlign w:val="center"/>
            <w:hideMark/>
          </w:tcPr>
          <w:p w14:paraId="51319CDF"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17%</w:t>
            </w:r>
          </w:p>
        </w:tc>
      </w:tr>
      <w:tr w:rsidR="00D371B0" w:rsidRPr="0082533D" w14:paraId="587B941B" w14:textId="77777777" w:rsidTr="0023575A">
        <w:trPr>
          <w:trHeight w:val="600"/>
        </w:trPr>
        <w:tc>
          <w:tcPr>
            <w:tcW w:w="847" w:type="pct"/>
            <w:vMerge/>
            <w:tcBorders>
              <w:top w:val="nil"/>
              <w:left w:val="nil"/>
              <w:bottom w:val="nil"/>
              <w:right w:val="nil"/>
            </w:tcBorders>
            <w:vAlign w:val="center"/>
            <w:hideMark/>
          </w:tcPr>
          <w:p w14:paraId="1EA39C51" w14:textId="77777777" w:rsidR="00D371B0" w:rsidRPr="0082533D" w:rsidRDefault="00D371B0" w:rsidP="00F07C91">
            <w:pPr>
              <w:spacing w:line="240" w:lineRule="auto"/>
              <w:jc w:val="left"/>
              <w:rPr>
                <w:rFonts w:ascii="Calibri" w:eastAsia="Times New Roman" w:hAnsi="Calibri" w:cs="Calibri"/>
                <w:color w:val="000000"/>
                <w:szCs w:val="18"/>
                <w:lang w:eastAsia="el-GR"/>
              </w:rPr>
            </w:pPr>
          </w:p>
        </w:tc>
        <w:tc>
          <w:tcPr>
            <w:tcW w:w="753" w:type="pct"/>
            <w:tcBorders>
              <w:top w:val="nil"/>
              <w:left w:val="nil"/>
              <w:bottom w:val="nil"/>
              <w:right w:val="nil"/>
            </w:tcBorders>
            <w:shd w:val="clear" w:color="000000" w:fill="DBDBDB"/>
            <w:vAlign w:val="center"/>
            <w:hideMark/>
          </w:tcPr>
          <w:p w14:paraId="05B08C32"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«ΟΙΚΟΝΟΜΙΚΕΣ ΚΑΙ ΝΟΜΙΚΕΣ ΕΠΙΣΤΗΜΕΣ»</w:t>
            </w:r>
          </w:p>
        </w:tc>
        <w:tc>
          <w:tcPr>
            <w:tcW w:w="653" w:type="pct"/>
            <w:tcBorders>
              <w:top w:val="nil"/>
              <w:left w:val="nil"/>
              <w:bottom w:val="nil"/>
              <w:right w:val="nil"/>
            </w:tcBorders>
            <w:shd w:val="clear" w:color="000000" w:fill="DBDBDB"/>
            <w:noWrap/>
            <w:vAlign w:val="center"/>
            <w:hideMark/>
          </w:tcPr>
          <w:p w14:paraId="60FF198D"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16</w:t>
            </w:r>
          </w:p>
        </w:tc>
        <w:tc>
          <w:tcPr>
            <w:tcW w:w="727" w:type="pct"/>
            <w:tcBorders>
              <w:top w:val="nil"/>
              <w:left w:val="nil"/>
              <w:bottom w:val="nil"/>
              <w:right w:val="nil"/>
            </w:tcBorders>
            <w:shd w:val="clear" w:color="000000" w:fill="DBDBDB"/>
            <w:noWrap/>
            <w:vAlign w:val="center"/>
            <w:hideMark/>
          </w:tcPr>
          <w:p w14:paraId="358429B0"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106</w:t>
            </w:r>
          </w:p>
        </w:tc>
        <w:tc>
          <w:tcPr>
            <w:tcW w:w="799" w:type="pct"/>
            <w:tcBorders>
              <w:top w:val="nil"/>
              <w:left w:val="nil"/>
              <w:bottom w:val="nil"/>
              <w:right w:val="nil"/>
            </w:tcBorders>
            <w:shd w:val="clear" w:color="000000" w:fill="DBDBDB"/>
            <w:noWrap/>
            <w:vAlign w:val="center"/>
            <w:hideMark/>
          </w:tcPr>
          <w:p w14:paraId="2A401B42"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0</w:t>
            </w:r>
          </w:p>
        </w:tc>
        <w:tc>
          <w:tcPr>
            <w:tcW w:w="363" w:type="pct"/>
            <w:tcBorders>
              <w:top w:val="nil"/>
              <w:left w:val="nil"/>
              <w:bottom w:val="nil"/>
              <w:right w:val="nil"/>
            </w:tcBorders>
            <w:shd w:val="clear" w:color="000000" w:fill="DBDBDB"/>
            <w:noWrap/>
            <w:vAlign w:val="center"/>
            <w:hideMark/>
          </w:tcPr>
          <w:p w14:paraId="7862700A"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122</w:t>
            </w:r>
          </w:p>
        </w:tc>
        <w:tc>
          <w:tcPr>
            <w:tcW w:w="858" w:type="pct"/>
            <w:gridSpan w:val="2"/>
            <w:tcBorders>
              <w:top w:val="nil"/>
              <w:left w:val="nil"/>
              <w:bottom w:val="nil"/>
              <w:right w:val="nil"/>
            </w:tcBorders>
            <w:shd w:val="clear" w:color="000000" w:fill="DBDBDB"/>
            <w:noWrap/>
            <w:vAlign w:val="center"/>
            <w:hideMark/>
          </w:tcPr>
          <w:p w14:paraId="73713142"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13%</w:t>
            </w:r>
          </w:p>
        </w:tc>
      </w:tr>
      <w:tr w:rsidR="00D371B0" w:rsidRPr="0082533D" w14:paraId="7A9565B7" w14:textId="77777777" w:rsidTr="0023575A">
        <w:trPr>
          <w:trHeight w:val="300"/>
        </w:trPr>
        <w:tc>
          <w:tcPr>
            <w:tcW w:w="847" w:type="pct"/>
            <w:vMerge w:val="restart"/>
            <w:tcBorders>
              <w:top w:val="nil"/>
              <w:left w:val="nil"/>
              <w:bottom w:val="nil"/>
              <w:right w:val="nil"/>
            </w:tcBorders>
            <w:shd w:val="clear" w:color="000000" w:fill="EDEDED"/>
            <w:vAlign w:val="center"/>
            <w:hideMark/>
          </w:tcPr>
          <w:p w14:paraId="17EDB5A4"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«ΦΥΣΙΚΕΣ ΕΠΙΣΤΗΜΕΣ ΚΑΙ ΕΠΙΣΤΗΜΕΣ ΜΗΧΑΝΙΚΟΥ»</w:t>
            </w:r>
          </w:p>
        </w:tc>
        <w:tc>
          <w:tcPr>
            <w:tcW w:w="753" w:type="pct"/>
            <w:tcBorders>
              <w:top w:val="nil"/>
              <w:left w:val="nil"/>
              <w:bottom w:val="nil"/>
              <w:right w:val="nil"/>
            </w:tcBorders>
            <w:shd w:val="clear" w:color="000000" w:fill="EDEDED"/>
            <w:vAlign w:val="center"/>
            <w:hideMark/>
          </w:tcPr>
          <w:p w14:paraId="155E024A"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«ΦΥΣΙΚΕΣ ΕΠΙΣΤΗΜΕΣ»</w:t>
            </w:r>
          </w:p>
        </w:tc>
        <w:tc>
          <w:tcPr>
            <w:tcW w:w="653" w:type="pct"/>
            <w:tcBorders>
              <w:top w:val="nil"/>
              <w:left w:val="nil"/>
              <w:bottom w:val="nil"/>
              <w:right w:val="nil"/>
            </w:tcBorders>
            <w:shd w:val="clear" w:color="000000" w:fill="EDEDED"/>
            <w:noWrap/>
            <w:vAlign w:val="center"/>
            <w:hideMark/>
          </w:tcPr>
          <w:p w14:paraId="528A7CB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64</w:t>
            </w:r>
          </w:p>
        </w:tc>
        <w:tc>
          <w:tcPr>
            <w:tcW w:w="727" w:type="pct"/>
            <w:tcBorders>
              <w:top w:val="nil"/>
              <w:left w:val="nil"/>
              <w:bottom w:val="nil"/>
              <w:right w:val="nil"/>
            </w:tcBorders>
            <w:shd w:val="clear" w:color="000000" w:fill="EDEDED"/>
            <w:noWrap/>
            <w:vAlign w:val="center"/>
            <w:hideMark/>
          </w:tcPr>
          <w:p w14:paraId="25DF5C49"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312</w:t>
            </w:r>
          </w:p>
        </w:tc>
        <w:tc>
          <w:tcPr>
            <w:tcW w:w="799" w:type="pct"/>
            <w:tcBorders>
              <w:top w:val="nil"/>
              <w:left w:val="nil"/>
              <w:bottom w:val="nil"/>
              <w:right w:val="nil"/>
            </w:tcBorders>
            <w:shd w:val="clear" w:color="000000" w:fill="EDEDED"/>
            <w:noWrap/>
            <w:vAlign w:val="center"/>
            <w:hideMark/>
          </w:tcPr>
          <w:p w14:paraId="04E43444"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w:t>
            </w:r>
          </w:p>
        </w:tc>
        <w:tc>
          <w:tcPr>
            <w:tcW w:w="363" w:type="pct"/>
            <w:tcBorders>
              <w:top w:val="nil"/>
              <w:left w:val="nil"/>
              <w:bottom w:val="nil"/>
              <w:right w:val="nil"/>
            </w:tcBorders>
            <w:shd w:val="clear" w:color="000000" w:fill="EDEDED"/>
            <w:noWrap/>
            <w:vAlign w:val="center"/>
            <w:hideMark/>
          </w:tcPr>
          <w:p w14:paraId="41B5BCB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378</w:t>
            </w:r>
          </w:p>
        </w:tc>
        <w:tc>
          <w:tcPr>
            <w:tcW w:w="858" w:type="pct"/>
            <w:gridSpan w:val="2"/>
            <w:tcBorders>
              <w:top w:val="nil"/>
              <w:left w:val="nil"/>
              <w:bottom w:val="nil"/>
              <w:right w:val="nil"/>
            </w:tcBorders>
            <w:shd w:val="clear" w:color="000000" w:fill="EDEDED"/>
            <w:noWrap/>
            <w:vAlign w:val="center"/>
            <w:hideMark/>
          </w:tcPr>
          <w:p w14:paraId="7415922B"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17%</w:t>
            </w:r>
          </w:p>
        </w:tc>
      </w:tr>
      <w:tr w:rsidR="00D371B0" w:rsidRPr="0082533D" w14:paraId="27ED7DCA" w14:textId="77777777" w:rsidTr="0023575A">
        <w:trPr>
          <w:trHeight w:val="600"/>
        </w:trPr>
        <w:tc>
          <w:tcPr>
            <w:tcW w:w="847" w:type="pct"/>
            <w:vMerge/>
            <w:tcBorders>
              <w:top w:val="nil"/>
              <w:left w:val="nil"/>
              <w:bottom w:val="nil"/>
              <w:right w:val="nil"/>
            </w:tcBorders>
            <w:vAlign w:val="center"/>
            <w:hideMark/>
          </w:tcPr>
          <w:p w14:paraId="506C257A" w14:textId="77777777" w:rsidR="00D371B0" w:rsidRPr="0082533D" w:rsidRDefault="00D371B0" w:rsidP="00F07C91">
            <w:pPr>
              <w:spacing w:line="240" w:lineRule="auto"/>
              <w:jc w:val="left"/>
              <w:rPr>
                <w:rFonts w:ascii="Calibri" w:eastAsia="Times New Roman" w:hAnsi="Calibri" w:cs="Calibri"/>
                <w:color w:val="000000"/>
                <w:szCs w:val="18"/>
                <w:lang w:eastAsia="el-GR"/>
              </w:rPr>
            </w:pPr>
          </w:p>
        </w:tc>
        <w:tc>
          <w:tcPr>
            <w:tcW w:w="753" w:type="pct"/>
            <w:tcBorders>
              <w:top w:val="nil"/>
              <w:left w:val="nil"/>
              <w:bottom w:val="nil"/>
              <w:right w:val="nil"/>
            </w:tcBorders>
            <w:shd w:val="clear" w:color="000000" w:fill="DBDBDB"/>
            <w:vAlign w:val="center"/>
            <w:hideMark/>
          </w:tcPr>
          <w:p w14:paraId="5FE686DF"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«ΕΠΙΣΤΗΜΕΣ ΜΗΧΑΝΙΚΟΥ ΚΑΙ ΤΕΧΝΟΛΟΓΙΑ»</w:t>
            </w:r>
          </w:p>
        </w:tc>
        <w:tc>
          <w:tcPr>
            <w:tcW w:w="653" w:type="pct"/>
            <w:tcBorders>
              <w:top w:val="nil"/>
              <w:left w:val="nil"/>
              <w:bottom w:val="nil"/>
              <w:right w:val="nil"/>
            </w:tcBorders>
            <w:shd w:val="clear" w:color="000000" w:fill="DBDBDB"/>
            <w:noWrap/>
            <w:vAlign w:val="center"/>
            <w:hideMark/>
          </w:tcPr>
          <w:p w14:paraId="29D0F2C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56</w:t>
            </w:r>
          </w:p>
        </w:tc>
        <w:tc>
          <w:tcPr>
            <w:tcW w:w="727" w:type="pct"/>
            <w:tcBorders>
              <w:top w:val="nil"/>
              <w:left w:val="nil"/>
              <w:bottom w:val="nil"/>
              <w:right w:val="nil"/>
            </w:tcBorders>
            <w:shd w:val="clear" w:color="000000" w:fill="DBDBDB"/>
            <w:noWrap/>
            <w:vAlign w:val="center"/>
            <w:hideMark/>
          </w:tcPr>
          <w:p w14:paraId="4FFE86FF"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260</w:t>
            </w:r>
          </w:p>
        </w:tc>
        <w:tc>
          <w:tcPr>
            <w:tcW w:w="799" w:type="pct"/>
            <w:tcBorders>
              <w:top w:val="nil"/>
              <w:left w:val="nil"/>
              <w:bottom w:val="nil"/>
              <w:right w:val="nil"/>
            </w:tcBorders>
            <w:shd w:val="clear" w:color="000000" w:fill="DBDBDB"/>
            <w:noWrap/>
            <w:vAlign w:val="center"/>
            <w:hideMark/>
          </w:tcPr>
          <w:p w14:paraId="728DC225"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2</w:t>
            </w:r>
          </w:p>
        </w:tc>
        <w:tc>
          <w:tcPr>
            <w:tcW w:w="363" w:type="pct"/>
            <w:tcBorders>
              <w:top w:val="nil"/>
              <w:left w:val="nil"/>
              <w:bottom w:val="nil"/>
              <w:right w:val="nil"/>
            </w:tcBorders>
            <w:shd w:val="clear" w:color="000000" w:fill="DBDBDB"/>
            <w:noWrap/>
            <w:vAlign w:val="center"/>
            <w:hideMark/>
          </w:tcPr>
          <w:p w14:paraId="435DF9A8"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318</w:t>
            </w:r>
          </w:p>
        </w:tc>
        <w:tc>
          <w:tcPr>
            <w:tcW w:w="858" w:type="pct"/>
            <w:gridSpan w:val="2"/>
            <w:tcBorders>
              <w:top w:val="nil"/>
              <w:left w:val="nil"/>
              <w:bottom w:val="nil"/>
              <w:right w:val="nil"/>
            </w:tcBorders>
            <w:shd w:val="clear" w:color="000000" w:fill="DBDBDB"/>
            <w:noWrap/>
            <w:vAlign w:val="center"/>
            <w:hideMark/>
          </w:tcPr>
          <w:p w14:paraId="073F7162"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18%</w:t>
            </w:r>
          </w:p>
        </w:tc>
      </w:tr>
      <w:tr w:rsidR="00D371B0" w:rsidRPr="0082533D" w14:paraId="2E4B6602" w14:textId="77777777" w:rsidTr="0023575A">
        <w:trPr>
          <w:trHeight w:val="300"/>
        </w:trPr>
        <w:tc>
          <w:tcPr>
            <w:tcW w:w="847" w:type="pct"/>
            <w:vMerge/>
            <w:tcBorders>
              <w:top w:val="nil"/>
              <w:left w:val="nil"/>
              <w:bottom w:val="nil"/>
              <w:right w:val="nil"/>
            </w:tcBorders>
            <w:vAlign w:val="center"/>
            <w:hideMark/>
          </w:tcPr>
          <w:p w14:paraId="5CFF8945" w14:textId="77777777" w:rsidR="00D371B0" w:rsidRPr="0082533D" w:rsidRDefault="00D371B0" w:rsidP="00F07C91">
            <w:pPr>
              <w:spacing w:line="240" w:lineRule="auto"/>
              <w:jc w:val="left"/>
              <w:rPr>
                <w:rFonts w:ascii="Calibri" w:eastAsia="Times New Roman" w:hAnsi="Calibri" w:cs="Calibri"/>
                <w:color w:val="000000"/>
                <w:szCs w:val="18"/>
                <w:lang w:eastAsia="el-GR"/>
              </w:rPr>
            </w:pPr>
          </w:p>
        </w:tc>
        <w:tc>
          <w:tcPr>
            <w:tcW w:w="753" w:type="pct"/>
            <w:tcBorders>
              <w:top w:val="nil"/>
              <w:left w:val="nil"/>
              <w:bottom w:val="nil"/>
              <w:right w:val="nil"/>
            </w:tcBorders>
            <w:shd w:val="clear" w:color="000000" w:fill="EDEDED"/>
            <w:vAlign w:val="center"/>
            <w:hideMark/>
          </w:tcPr>
          <w:p w14:paraId="52420291" w14:textId="77777777" w:rsidR="00D371B0" w:rsidRPr="0082533D" w:rsidRDefault="00D371B0" w:rsidP="00F07C91">
            <w:pPr>
              <w:spacing w:line="240" w:lineRule="auto"/>
              <w:jc w:val="left"/>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«ΓΕΩΡΓΙΚΕΣ ΕΠΙΣΤΗΜΕΣ»</w:t>
            </w:r>
          </w:p>
        </w:tc>
        <w:tc>
          <w:tcPr>
            <w:tcW w:w="653" w:type="pct"/>
            <w:tcBorders>
              <w:top w:val="nil"/>
              <w:left w:val="nil"/>
              <w:bottom w:val="nil"/>
              <w:right w:val="nil"/>
            </w:tcBorders>
            <w:shd w:val="clear" w:color="000000" w:fill="EDEDED"/>
            <w:noWrap/>
            <w:vAlign w:val="center"/>
            <w:hideMark/>
          </w:tcPr>
          <w:p w14:paraId="49696119"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13</w:t>
            </w:r>
          </w:p>
        </w:tc>
        <w:tc>
          <w:tcPr>
            <w:tcW w:w="727" w:type="pct"/>
            <w:tcBorders>
              <w:top w:val="nil"/>
              <w:left w:val="nil"/>
              <w:bottom w:val="nil"/>
              <w:right w:val="nil"/>
            </w:tcBorders>
            <w:shd w:val="clear" w:color="000000" w:fill="EDEDED"/>
            <w:noWrap/>
            <w:vAlign w:val="center"/>
            <w:hideMark/>
          </w:tcPr>
          <w:p w14:paraId="6ABECF8D"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96</w:t>
            </w:r>
          </w:p>
        </w:tc>
        <w:tc>
          <w:tcPr>
            <w:tcW w:w="799" w:type="pct"/>
            <w:tcBorders>
              <w:top w:val="nil"/>
              <w:left w:val="nil"/>
              <w:bottom w:val="nil"/>
              <w:right w:val="nil"/>
            </w:tcBorders>
            <w:shd w:val="clear" w:color="000000" w:fill="EDEDED"/>
            <w:noWrap/>
            <w:vAlign w:val="center"/>
            <w:hideMark/>
          </w:tcPr>
          <w:p w14:paraId="352D3B66"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w:t>
            </w:r>
          </w:p>
        </w:tc>
        <w:tc>
          <w:tcPr>
            <w:tcW w:w="363" w:type="pct"/>
            <w:tcBorders>
              <w:top w:val="nil"/>
              <w:left w:val="nil"/>
              <w:bottom w:val="nil"/>
              <w:right w:val="nil"/>
            </w:tcBorders>
            <w:shd w:val="clear" w:color="000000" w:fill="EDEDED"/>
            <w:noWrap/>
            <w:vAlign w:val="center"/>
            <w:hideMark/>
          </w:tcPr>
          <w:p w14:paraId="234C9677"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110</w:t>
            </w:r>
          </w:p>
        </w:tc>
        <w:tc>
          <w:tcPr>
            <w:tcW w:w="858" w:type="pct"/>
            <w:gridSpan w:val="2"/>
            <w:tcBorders>
              <w:top w:val="nil"/>
              <w:left w:val="nil"/>
              <w:bottom w:val="nil"/>
              <w:right w:val="nil"/>
            </w:tcBorders>
            <w:shd w:val="clear" w:color="000000" w:fill="EDEDED"/>
            <w:noWrap/>
            <w:vAlign w:val="center"/>
            <w:hideMark/>
          </w:tcPr>
          <w:p w14:paraId="4C3527F9" w14:textId="77777777" w:rsidR="00D371B0" w:rsidRPr="0082533D" w:rsidRDefault="00D371B0" w:rsidP="00F07C91">
            <w:pPr>
              <w:spacing w:line="240" w:lineRule="auto"/>
              <w:jc w:val="center"/>
              <w:rPr>
                <w:rFonts w:ascii="Calibri" w:eastAsia="Times New Roman" w:hAnsi="Calibri" w:cs="Calibri"/>
                <w:color w:val="000000"/>
                <w:szCs w:val="18"/>
                <w:lang w:eastAsia="el-GR"/>
              </w:rPr>
            </w:pPr>
            <w:r w:rsidRPr="0082533D">
              <w:rPr>
                <w:rFonts w:ascii="Calibri" w:eastAsia="Times New Roman" w:hAnsi="Calibri" w:cs="Calibri"/>
                <w:color w:val="000000"/>
                <w:szCs w:val="18"/>
                <w:lang w:eastAsia="el-GR"/>
              </w:rPr>
              <w:t>12%</w:t>
            </w:r>
          </w:p>
        </w:tc>
      </w:tr>
      <w:tr w:rsidR="00D371B0" w:rsidRPr="0082533D" w14:paraId="12E96171" w14:textId="77777777" w:rsidTr="0023575A">
        <w:trPr>
          <w:trHeight w:val="315"/>
        </w:trPr>
        <w:tc>
          <w:tcPr>
            <w:tcW w:w="847" w:type="pct"/>
            <w:tcBorders>
              <w:top w:val="single" w:sz="4" w:space="0" w:color="4472C4"/>
              <w:left w:val="nil"/>
              <w:bottom w:val="double" w:sz="6" w:space="0" w:color="4472C4"/>
              <w:right w:val="nil"/>
            </w:tcBorders>
            <w:shd w:val="clear" w:color="auto" w:fill="auto"/>
            <w:noWrap/>
            <w:vAlign w:val="center"/>
            <w:hideMark/>
          </w:tcPr>
          <w:p w14:paraId="1D951972" w14:textId="77777777" w:rsidR="00D371B0" w:rsidRPr="0082533D" w:rsidRDefault="00D371B0" w:rsidP="00F07C91">
            <w:pPr>
              <w:spacing w:line="240" w:lineRule="auto"/>
              <w:jc w:val="left"/>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ΣΥΝΟΛΟ</w:t>
            </w:r>
          </w:p>
        </w:tc>
        <w:tc>
          <w:tcPr>
            <w:tcW w:w="753" w:type="pct"/>
            <w:tcBorders>
              <w:top w:val="single" w:sz="4" w:space="0" w:color="4472C4"/>
              <w:left w:val="nil"/>
              <w:bottom w:val="double" w:sz="6" w:space="0" w:color="4472C4"/>
              <w:right w:val="nil"/>
            </w:tcBorders>
            <w:shd w:val="clear" w:color="auto" w:fill="auto"/>
            <w:noWrap/>
            <w:vAlign w:val="center"/>
            <w:hideMark/>
          </w:tcPr>
          <w:p w14:paraId="7BFDDF29" w14:textId="77777777" w:rsidR="00D371B0" w:rsidRPr="0082533D" w:rsidRDefault="00D371B0" w:rsidP="00F07C91">
            <w:pPr>
              <w:spacing w:line="240" w:lineRule="auto"/>
              <w:jc w:val="left"/>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 </w:t>
            </w:r>
          </w:p>
        </w:tc>
        <w:tc>
          <w:tcPr>
            <w:tcW w:w="653" w:type="pct"/>
            <w:tcBorders>
              <w:top w:val="single" w:sz="4" w:space="0" w:color="4472C4"/>
              <w:left w:val="nil"/>
              <w:bottom w:val="double" w:sz="6" w:space="0" w:color="4472C4"/>
              <w:right w:val="nil"/>
            </w:tcBorders>
            <w:shd w:val="clear" w:color="auto" w:fill="auto"/>
            <w:noWrap/>
            <w:vAlign w:val="center"/>
            <w:hideMark/>
          </w:tcPr>
          <w:p w14:paraId="5567234D" w14:textId="77777777" w:rsidR="00D371B0" w:rsidRPr="0082533D" w:rsidRDefault="00D371B0" w:rsidP="00F07C91">
            <w:pPr>
              <w:spacing w:line="240" w:lineRule="auto"/>
              <w:jc w:val="center"/>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289</w:t>
            </w:r>
          </w:p>
        </w:tc>
        <w:tc>
          <w:tcPr>
            <w:tcW w:w="727" w:type="pct"/>
            <w:tcBorders>
              <w:top w:val="single" w:sz="4" w:space="0" w:color="4472C4"/>
              <w:left w:val="nil"/>
              <w:bottom w:val="double" w:sz="6" w:space="0" w:color="4472C4"/>
              <w:right w:val="nil"/>
            </w:tcBorders>
            <w:shd w:val="clear" w:color="auto" w:fill="auto"/>
            <w:noWrap/>
            <w:vAlign w:val="center"/>
            <w:hideMark/>
          </w:tcPr>
          <w:p w14:paraId="70C2211A" w14:textId="77777777" w:rsidR="00D371B0" w:rsidRPr="0082533D" w:rsidRDefault="00D371B0" w:rsidP="00F07C91">
            <w:pPr>
              <w:spacing w:line="240" w:lineRule="auto"/>
              <w:jc w:val="center"/>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1</w:t>
            </w:r>
            <w:r w:rsidR="008B5B19">
              <w:rPr>
                <w:rFonts w:ascii="Calibri" w:eastAsia="Times New Roman" w:hAnsi="Calibri" w:cs="Calibri"/>
                <w:b/>
                <w:bCs/>
                <w:color w:val="000000"/>
                <w:szCs w:val="18"/>
                <w:lang w:eastAsia="el-GR"/>
              </w:rPr>
              <w:t>.</w:t>
            </w:r>
            <w:r w:rsidRPr="0082533D">
              <w:rPr>
                <w:rFonts w:ascii="Calibri" w:eastAsia="Times New Roman" w:hAnsi="Calibri" w:cs="Calibri"/>
                <w:b/>
                <w:bCs/>
                <w:color w:val="000000"/>
                <w:szCs w:val="18"/>
                <w:lang w:eastAsia="el-GR"/>
              </w:rPr>
              <w:t>443</w:t>
            </w:r>
          </w:p>
        </w:tc>
        <w:tc>
          <w:tcPr>
            <w:tcW w:w="799" w:type="pct"/>
            <w:tcBorders>
              <w:top w:val="single" w:sz="4" w:space="0" w:color="4472C4"/>
              <w:left w:val="nil"/>
              <w:bottom w:val="double" w:sz="6" w:space="0" w:color="4472C4"/>
              <w:right w:val="nil"/>
            </w:tcBorders>
            <w:shd w:val="clear" w:color="auto" w:fill="auto"/>
            <w:noWrap/>
            <w:vAlign w:val="center"/>
            <w:hideMark/>
          </w:tcPr>
          <w:p w14:paraId="627CE45F" w14:textId="77777777" w:rsidR="00D371B0" w:rsidRPr="0082533D" w:rsidRDefault="00D371B0" w:rsidP="00F07C91">
            <w:pPr>
              <w:spacing w:line="240" w:lineRule="auto"/>
              <w:jc w:val="center"/>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17</w:t>
            </w:r>
          </w:p>
        </w:tc>
        <w:tc>
          <w:tcPr>
            <w:tcW w:w="363" w:type="pct"/>
            <w:tcBorders>
              <w:top w:val="single" w:sz="4" w:space="0" w:color="4472C4"/>
              <w:left w:val="nil"/>
              <w:bottom w:val="double" w:sz="6" w:space="0" w:color="4472C4"/>
              <w:right w:val="nil"/>
            </w:tcBorders>
            <w:shd w:val="clear" w:color="000000" w:fill="DBDBDB"/>
            <w:noWrap/>
            <w:vAlign w:val="center"/>
            <w:hideMark/>
          </w:tcPr>
          <w:p w14:paraId="6C51E926" w14:textId="77777777" w:rsidR="00D371B0" w:rsidRPr="0082533D" w:rsidRDefault="00D371B0" w:rsidP="00F07C91">
            <w:pPr>
              <w:spacing w:line="240" w:lineRule="auto"/>
              <w:jc w:val="center"/>
              <w:rPr>
                <w:rFonts w:ascii="Calibri" w:eastAsia="Times New Roman" w:hAnsi="Calibri" w:cs="Calibri"/>
                <w:b/>
                <w:bCs/>
                <w:color w:val="000000"/>
                <w:szCs w:val="18"/>
                <w:lang w:eastAsia="el-GR"/>
              </w:rPr>
            </w:pPr>
            <w:r w:rsidRPr="0082533D">
              <w:rPr>
                <w:rFonts w:ascii="Calibri" w:eastAsia="Times New Roman" w:hAnsi="Calibri" w:cs="Calibri"/>
                <w:b/>
                <w:bCs/>
                <w:color w:val="000000"/>
                <w:szCs w:val="18"/>
                <w:lang w:eastAsia="el-GR"/>
              </w:rPr>
              <w:t>1</w:t>
            </w:r>
            <w:r w:rsidR="008B5B19">
              <w:rPr>
                <w:rFonts w:ascii="Calibri" w:eastAsia="Times New Roman" w:hAnsi="Calibri" w:cs="Calibri"/>
                <w:b/>
                <w:bCs/>
                <w:color w:val="000000"/>
                <w:szCs w:val="18"/>
                <w:lang w:eastAsia="el-GR"/>
              </w:rPr>
              <w:t>.</w:t>
            </w:r>
            <w:r w:rsidRPr="0082533D">
              <w:rPr>
                <w:rFonts w:ascii="Calibri" w:eastAsia="Times New Roman" w:hAnsi="Calibri" w:cs="Calibri"/>
                <w:b/>
                <w:bCs/>
                <w:color w:val="000000"/>
                <w:szCs w:val="18"/>
                <w:lang w:eastAsia="el-GR"/>
              </w:rPr>
              <w:t>749</w:t>
            </w:r>
          </w:p>
        </w:tc>
        <w:tc>
          <w:tcPr>
            <w:tcW w:w="858" w:type="pct"/>
            <w:gridSpan w:val="2"/>
            <w:tcBorders>
              <w:top w:val="single" w:sz="4" w:space="0" w:color="4472C4"/>
              <w:left w:val="nil"/>
              <w:bottom w:val="double" w:sz="6" w:space="0" w:color="4472C4"/>
              <w:right w:val="nil"/>
            </w:tcBorders>
            <w:shd w:val="clear" w:color="auto" w:fill="auto"/>
            <w:noWrap/>
            <w:vAlign w:val="center"/>
            <w:hideMark/>
          </w:tcPr>
          <w:p w14:paraId="1D6A5270" w14:textId="77777777" w:rsidR="00D371B0" w:rsidRPr="0082533D" w:rsidRDefault="00D371B0" w:rsidP="00F07C91">
            <w:pPr>
              <w:spacing w:line="240" w:lineRule="auto"/>
              <w:jc w:val="center"/>
              <w:rPr>
                <w:rFonts w:ascii="Calibri" w:eastAsia="Times New Roman" w:hAnsi="Calibri" w:cs="Calibri"/>
                <w:b/>
                <w:bCs/>
                <w:color w:val="000000"/>
                <w:szCs w:val="18"/>
                <w:lang w:eastAsia="el-GR"/>
              </w:rPr>
            </w:pPr>
          </w:p>
        </w:tc>
      </w:tr>
    </w:tbl>
    <w:p w14:paraId="1E4BDBDB" w14:textId="77777777" w:rsidR="0023575A" w:rsidRDefault="0023575A" w:rsidP="0023575A">
      <w:pPr>
        <w:rPr>
          <w:highlight w:val="yellow"/>
        </w:rPr>
      </w:pPr>
    </w:p>
    <w:p w14:paraId="7ACBE3E7" w14:textId="2A4EB382" w:rsidR="0023575A" w:rsidRPr="00B44B51" w:rsidRDefault="0023575A" w:rsidP="0023575A">
      <w:r w:rsidRPr="00B44B51">
        <w:t>Στους υποτρόφους χορηγούνται μηνιαία τροφεία ύψους 1.089,21 € (συμπεριλαμβανομένων τυχόν νόμιμων κρατήσεων).</w:t>
      </w:r>
    </w:p>
    <w:p w14:paraId="5B4A2EE6" w14:textId="62905DE4" w:rsidR="0023575A" w:rsidRPr="0023575A" w:rsidRDefault="0023575A" w:rsidP="0023575A">
      <w:r w:rsidRPr="00B44B51">
        <w:t>Σύμφωνα με τις Κανονιστικές Διατάξεις του προγράμματος, όπως εγκρίθηκαν με την με αριθμ. ΚΥΑ 125659/ΓΔ6/28-07-2016 του Υπουργού Παιδείας, Έρευνας και Θρησκευμάτων και του Υπουργού</w:t>
      </w:r>
      <w:r w:rsidR="00660CDA" w:rsidRPr="00B44B51">
        <w:t xml:space="preserve"> </w:t>
      </w:r>
      <w:r w:rsidRPr="00B44B51">
        <w:t>Οικονομίας, Ανάπτυξης και Τουρισμού(ΦΕΚ 2602/τ.B’/23-08-2016 και ΦΕΚ 2772/τ.Β’/02-09-2016) προϋπολογίζεται συνολική δαπάνη για τα έτη 2016, 2017 και 2018 ύψους 7.635.000</w:t>
      </w:r>
      <w:r w:rsidR="00842E11">
        <w:t xml:space="preserve"> </w:t>
      </w:r>
      <w:r w:rsidRPr="00B44B51">
        <w:t>€, η οποία θα βαρύνει το πρόγραμμα Δημοσίων Επενδύσεων (ΠΔΕ) του προϋπολογισμού του ΙΚΥ και συγχρηματοδοτείται από το Ευρωπαϊκό Κοινωνικό Ταμείο (ΕΚΤ) και τοελληνικό δημόσιο.</w:t>
      </w:r>
      <w:r w:rsidRPr="0023575A">
        <w:t xml:space="preserve"> </w:t>
      </w:r>
    </w:p>
    <w:p w14:paraId="48B3CF41" w14:textId="77777777" w:rsidR="006B4E03" w:rsidRDefault="006B4E03" w:rsidP="00842E11">
      <w:pPr>
        <w:spacing w:after="120" w:line="259" w:lineRule="auto"/>
      </w:pPr>
      <w:r>
        <w:t xml:space="preserve">Κάποια γενικά συμπεράσματα </w:t>
      </w:r>
      <w:r w:rsidR="005824C4">
        <w:t>αφορούν στα εξής</w:t>
      </w:r>
      <w:r w:rsidR="00B2496F">
        <w:t>:</w:t>
      </w:r>
    </w:p>
    <w:p w14:paraId="3522CB81" w14:textId="77777777" w:rsidR="006B4E03" w:rsidRDefault="006B4E03" w:rsidP="00D22350">
      <w:pPr>
        <w:pStyle w:val="ListParagraph"/>
        <w:numPr>
          <w:ilvl w:val="0"/>
          <w:numId w:val="10"/>
        </w:numPr>
        <w:spacing w:after="120" w:line="259" w:lineRule="auto"/>
      </w:pPr>
      <w:r>
        <w:t>Ο τομέας της Υγείας και των Φαρμάκων (RIS3) έχει μεγάλη εκπροσώπηση στη χρηματοδοτούμενη από το ΕΠΑΝΑΔΕΔΒΜ διδακτορική και μεταδιδακτορική έρευνα.</w:t>
      </w:r>
    </w:p>
    <w:p w14:paraId="12E5D401" w14:textId="77777777" w:rsidR="006B4E03" w:rsidRDefault="006B4E03" w:rsidP="00D22350">
      <w:pPr>
        <w:pStyle w:val="ListParagraph"/>
        <w:numPr>
          <w:ilvl w:val="0"/>
          <w:numId w:val="10"/>
        </w:numPr>
        <w:spacing w:after="120" w:line="259" w:lineRule="auto"/>
      </w:pPr>
      <w:r>
        <w:t>Ο κλάδος των επιστημών μηχανικού και τεχνολογίας αν και έχει μεγάλο ποσοστό ερευνητών δεν εμπίπτει καθαρά σε κάποιον από τους τομείς της εθνικής στρατηγικής έξυπνης εξειδίκευσης, αλλά έχει συνέργειες με περισσότερες περιοχές παρέμβασης της εθνικής RIS3.</w:t>
      </w:r>
    </w:p>
    <w:p w14:paraId="1602F06D" w14:textId="77777777" w:rsidR="006B4E03" w:rsidRDefault="006B4E03" w:rsidP="00D22350">
      <w:pPr>
        <w:pStyle w:val="ListParagraph"/>
        <w:numPr>
          <w:ilvl w:val="0"/>
          <w:numId w:val="10"/>
        </w:numPr>
        <w:spacing w:after="120" w:line="259" w:lineRule="auto"/>
      </w:pPr>
      <w:r>
        <w:t>Οι γεωργικές επιστήμες εμπίπτουν στον τομέα προτεραιότητας της RIS3 Αγροδιατροφή, αλλά φαίνεται να μην προσελκύουν σημαντικό αριθμό ερευνητών. Μόνο το 5% των υποψηφίων αιτήθηκαν για χρηματοδότηση διδακτορικής έρευνας στις γεωργικές επιστήμες, ενώ και για μεταδιδακτορική έρευνα στις γεωργικές επιστήμες, η ζήτηση είναι χαμηλή.</w:t>
      </w:r>
    </w:p>
    <w:p w14:paraId="09CE32B5" w14:textId="724FBD83" w:rsidR="006B4E03" w:rsidRDefault="006B4E03" w:rsidP="00D22350">
      <w:pPr>
        <w:pStyle w:val="ListParagraph"/>
        <w:numPr>
          <w:ilvl w:val="0"/>
          <w:numId w:val="10"/>
        </w:numPr>
        <w:spacing w:after="120" w:line="259" w:lineRule="auto"/>
      </w:pPr>
      <w:r>
        <w:t>Η έρευνα στις Κοινωνικές και Ανθρωπιστικές Επιστήμες έχει πολύ χαμηλή έως καθόλου σύνδεση με την RIS3</w:t>
      </w:r>
      <w:r w:rsidR="00842E11">
        <w:t xml:space="preserve">, ενώ </w:t>
      </w:r>
      <w:r>
        <w:t>σε επίπεδο διδακτορικών διατριβών προσελκύει ένα μεγάλο αριθμό υποψηφίων, στο επίπεδο των μεταδιδακτορικών μειώνεται η προτίμηση των υποψηφίων για έρευνα στον τομέα αυτόν.</w:t>
      </w:r>
    </w:p>
    <w:p w14:paraId="467C0A91" w14:textId="77777777" w:rsidR="004F7719" w:rsidRPr="0085705F" w:rsidRDefault="004F7719" w:rsidP="0085705F">
      <w:pPr>
        <w:pStyle w:val="Heading2"/>
      </w:pPr>
      <w:bookmarkStart w:id="27" w:name="_Toc22645411"/>
      <w:r w:rsidRPr="0085705F">
        <w:t>Το πρόγραμμα LIFE</w:t>
      </w:r>
      <w:bookmarkEnd w:id="27"/>
    </w:p>
    <w:p w14:paraId="1FAE3B16" w14:textId="77777777" w:rsidR="006B4E03" w:rsidRDefault="006B4E03" w:rsidP="006B4E03">
      <w:r>
        <w:t xml:space="preserve">Το πρόγραμμα LIFE αποτελεί το κύριο χρηματοδοτικό μέσο της Ευρωπαϊκής Ένωσης για το περιβάλλον, συμβάλλει στην αειφόρο ανάπτυξη και στην επίτευξη των σκοπών και των στόχων της στρατηγικής «Ευρώπη 2020» και στηρίζει την εφαρμογή του 7ου Προγράμματος Δράσης για το Περιβάλλον καθώς και άλλες </w:t>
      </w:r>
      <w:r>
        <w:lastRenderedPageBreak/>
        <w:t xml:space="preserve">στρατηγικές και σχέδια της ΕΕ για το περιβάλλον και  το κλίμα. Μέσω του προγράμματος LIFE χρηματοδοτούνται μέτρα και έργα με ευρωπαϊκή προστιθέμενη αξία για τα κράτη-μέλη. </w:t>
      </w:r>
    </w:p>
    <w:p w14:paraId="7A1D8FBC" w14:textId="78262FE4" w:rsidR="006B4E03" w:rsidRDefault="006B4E03" w:rsidP="006B4E03">
      <w:r>
        <w:t>Το πρόγραμμα LIFE δημοσιεύει ετήσιες προσκλήσεις για υποβολή προτάσεων, υπογραμμίζοντας τη δέσμευσή του να στηρίξει έργα που συμβάλλουν στην προστασία του περιβάλλοντος και στην αντιμετώπιση των επιπτώσεων της κλιματικής αλλαγής.</w:t>
      </w:r>
    </w:p>
    <w:p w14:paraId="5B2009D8" w14:textId="77777777" w:rsidR="006B4E03" w:rsidRDefault="006B4E03" w:rsidP="006B4E03">
      <w:r>
        <w:t>Οι στόχοι του προγράμματος LIFE συντίθενται στα κάτωθι:</w:t>
      </w:r>
    </w:p>
    <w:p w14:paraId="772688B2" w14:textId="77777777" w:rsidR="006B4E03" w:rsidRDefault="006B4E03" w:rsidP="00D22350">
      <w:pPr>
        <w:pStyle w:val="ListParagraph"/>
        <w:numPr>
          <w:ilvl w:val="0"/>
          <w:numId w:val="21"/>
        </w:numPr>
      </w:pPr>
      <w:r>
        <w:t>Να συμβάλλει προς μια αποδοτική, φιλική προς το κλίμα, χαμηλών εκπομπών άνθρακα οικονομία, καθώς και στην προστασία και βελτίωση του περιβάλλοντος, διατηρώντας και βελτιώνοντας τη βιοποικιλότητα, τα οικοσυστήματα και ειδικότερα το δίκτυο Natura 2000</w:t>
      </w:r>
    </w:p>
    <w:p w14:paraId="1C56FDB7" w14:textId="77777777" w:rsidR="006B4E03" w:rsidRDefault="006B4E03" w:rsidP="00D22350">
      <w:pPr>
        <w:pStyle w:val="ListParagraph"/>
        <w:numPr>
          <w:ilvl w:val="0"/>
          <w:numId w:val="21"/>
        </w:numPr>
      </w:pPr>
      <w:r>
        <w:t xml:space="preserve">Να προωθήσει την εφαρμογή και ενσωμάτωση των περιβαλλοντικών και κλιματικών στόχων στις πολιτικές και πρακτικές των κρατών – μελών </w:t>
      </w:r>
    </w:p>
    <w:p w14:paraId="5050226E" w14:textId="77777777" w:rsidR="006B4E03" w:rsidRDefault="006B4E03" w:rsidP="00D22350">
      <w:pPr>
        <w:pStyle w:val="ListParagraph"/>
        <w:numPr>
          <w:ilvl w:val="0"/>
          <w:numId w:val="21"/>
        </w:numPr>
      </w:pPr>
      <w:r>
        <w:t>Να βελτιώσει την περιβαλλοντική και κλιματική διακυβέρνηση σε όλα τα επίπεδα</w:t>
      </w:r>
    </w:p>
    <w:p w14:paraId="2D45C4B5" w14:textId="77777777" w:rsidR="006B4E03" w:rsidRDefault="006B4E03" w:rsidP="00D22350">
      <w:pPr>
        <w:pStyle w:val="ListParagraph"/>
        <w:numPr>
          <w:ilvl w:val="0"/>
          <w:numId w:val="21"/>
        </w:numPr>
      </w:pPr>
      <w:r>
        <w:t>Να υποστηρίξει την εφαρμογή του 7ου Προγράμματος Περιβαλλοντικής Δράσης</w:t>
      </w:r>
    </w:p>
    <w:p w14:paraId="6898190F" w14:textId="77777777" w:rsidR="006B4E03" w:rsidRDefault="006B4E03" w:rsidP="006B4E03">
      <w:r>
        <w:t xml:space="preserve">Στο πρόγραμμα LIFE για τη νέα περίοδο χρηματοδότησης 2014-2020, καθιερώνονται δύο υποπρογράμματα, το πρώτο για το Περιβάλλον και το δεύτερο για την Κλιματική Δράση. </w:t>
      </w:r>
    </w:p>
    <w:p w14:paraId="2E065554" w14:textId="77777777" w:rsidR="006B4E03" w:rsidRDefault="006B4E03" w:rsidP="006B4E03">
      <w:r>
        <w:t>Το πρόγραμμα LIFE εκτός από τα «παραδοσιακά έργα», όπως έργα πιλοτικά (καινοτόμα), επίδειξης, βέλτιστων πρακτικών, έργα πληροφόρησης ευαισθητοποίησης και διάδοσης, περιλαμβάνει επίσης μια νέα κατηγορία έργων, τα ολοκληρωμένα έργα, καθώς και στρατηγικές και έργα για το περιβάλλον ή το κλίμα, τα οποία λειτουργούν σε εκτεταμένη εδαφική κλίμακα και που χρηματοδοτούνται από κοινού με τουλάχιστον μία ακόμη χρηματοδοτική πηγή.</w:t>
      </w:r>
    </w:p>
    <w:p w14:paraId="44043B2D" w14:textId="77777777" w:rsidR="006B4E03" w:rsidRDefault="006B4E03" w:rsidP="006B4E03">
      <w:r>
        <w:t>Επίσης, περιλαμβάνει έργα τεχνικής βοήθειας, έργα οικοδόμησης δυναμικού και προπαρασκευαστικά έργα.</w:t>
      </w:r>
    </w:p>
    <w:p w14:paraId="65C32CAF" w14:textId="178D8894" w:rsidR="006B4E03" w:rsidRDefault="006B4E03" w:rsidP="006B4E03">
      <w:r>
        <w:t>Συγκεκριμένα</w:t>
      </w:r>
      <w:r w:rsidR="00842E11">
        <w:t xml:space="preserve"> το </w:t>
      </w:r>
      <w:r>
        <w:t>81% κατ’ ελάχιστο του προϋπολογισμού του προγράμματος, περίπου 2,8 δισ. ευρώ θα διοχετευτούν σε:</w:t>
      </w:r>
    </w:p>
    <w:p w14:paraId="0B962E70" w14:textId="77777777" w:rsidR="006B4E03" w:rsidRDefault="006B4E03" w:rsidP="00D22350">
      <w:pPr>
        <w:pStyle w:val="ListParagraph"/>
        <w:numPr>
          <w:ilvl w:val="0"/>
          <w:numId w:val="22"/>
        </w:numPr>
      </w:pPr>
      <w:r>
        <w:t>Παραδοσιακά έργα: καλές - βέλτιστες πρακτικές, καινοτόμα - πιλοτικά έργα, έργα επίδειξης, έργα διάδοσης ενημέρωσης και πληροφόρησης,</w:t>
      </w:r>
    </w:p>
    <w:p w14:paraId="1B8031A4" w14:textId="77777777" w:rsidR="006B4E03" w:rsidRDefault="006B4E03" w:rsidP="00D22350">
      <w:pPr>
        <w:pStyle w:val="ListParagraph"/>
        <w:numPr>
          <w:ilvl w:val="0"/>
          <w:numId w:val="22"/>
        </w:numPr>
      </w:pPr>
      <w:r>
        <w:t>Ολοκληρωμένα έργα: τα οποία στοχεύουν στην εφαρμογή σε μεγάλες περιοχές, σχεδίων και στρατηγικών που απαιτούνται από τη νομοθεσία της ΕΕ στους τομείς του νερού, της φύσης, των απορριμμάτων, της ατμόσφαιρας, καθώς και του μετριασμού των επιπτώσεων της κλιματικής αλλαγής και την προσαρμογή σε αυτή,</w:t>
      </w:r>
    </w:p>
    <w:p w14:paraId="1FFD27D6" w14:textId="77777777" w:rsidR="006B4E03" w:rsidRDefault="006B4E03" w:rsidP="00D22350">
      <w:pPr>
        <w:pStyle w:val="ListParagraph"/>
        <w:numPr>
          <w:ilvl w:val="0"/>
          <w:numId w:val="22"/>
        </w:numPr>
      </w:pPr>
      <w:r>
        <w:t>Προπαρασκευαστικά έργα: που προσδιορίζονται από την Επιτροπή ώστε να στηρίξουν τις ανάγκες για την εφαρμογή και ανάπτυξη των ευρωπαϊκών περιβαλλοντικών πολιτικών και της νομοθεσίας,</w:t>
      </w:r>
    </w:p>
    <w:p w14:paraId="4DEE0C9D" w14:textId="77777777" w:rsidR="006B4E03" w:rsidRDefault="006B4E03" w:rsidP="00D22350">
      <w:pPr>
        <w:pStyle w:val="ListParagraph"/>
        <w:numPr>
          <w:ilvl w:val="0"/>
          <w:numId w:val="22"/>
        </w:numPr>
      </w:pPr>
      <w:r>
        <w:t>Έργα οικοδόμησης δυναμικού: οικονομική στήριξη σε δράσεις που απαιτούνται ώστε να ενισχυθεί η ικανότητα των κρατών – μελών με στόχο να γίνει πιο ενεργή η συμμετοχή τους στο πρόγραμμα. Η δυνατότητα υποβολής για την πρώτη περίοδο (2014-2017) ολοκληρώθηκε στις 30 Σεπτεμβρίου 2015.</w:t>
      </w:r>
    </w:p>
    <w:p w14:paraId="4066D500" w14:textId="2210C90F" w:rsidR="008A2263" w:rsidRDefault="006B4E03" w:rsidP="006B4E03">
      <w:r>
        <w:t>Μέχρι σήμερα έχουν εγκριθεί 40 έργα με ελληνικές συμμετοχές, εκ των οποίων 20 έργα έχουν Έλληνα συντονιστή φορέα. Τα εν λόγω έργα αριθμούν 103 ελληνικές συμμετοχές 75 διαφορετικών φορέων, οι οποίοι λαμβάνουν συνολικό προϋπολογισμό 24,34</w:t>
      </w:r>
      <w:r w:rsidR="00842E11">
        <w:t xml:space="preserve"> </w:t>
      </w:r>
      <w:r>
        <w:t>εκ.</w:t>
      </w:r>
      <w:r w:rsidR="00842E11">
        <w:t xml:space="preserve"> ευρώ.</w:t>
      </w:r>
    </w:p>
    <w:p w14:paraId="16C66616" w14:textId="77777777" w:rsidR="006B4E03" w:rsidRDefault="006B4E03" w:rsidP="004F7719"/>
    <w:p w14:paraId="43EBDBF3" w14:textId="77777777" w:rsidR="00842E11" w:rsidRDefault="00842E11">
      <w:pPr>
        <w:spacing w:before="0" w:after="160" w:line="259" w:lineRule="auto"/>
        <w:jc w:val="left"/>
        <w:rPr>
          <w:rFonts w:asciiTheme="minorHAnsi" w:eastAsiaTheme="minorHAnsi" w:hAnsiTheme="minorHAnsi" w:cstheme="minorBidi"/>
          <w:b/>
          <w:iCs/>
          <w:sz w:val="16"/>
          <w:szCs w:val="18"/>
        </w:rPr>
      </w:pPr>
      <w:r>
        <w:br w:type="page"/>
      </w:r>
    </w:p>
    <w:p w14:paraId="5447097F" w14:textId="78FE03FC" w:rsidR="008A2263" w:rsidRPr="0056124B" w:rsidRDefault="006C426D" w:rsidP="006C426D">
      <w:pPr>
        <w:pStyle w:val="Caption"/>
      </w:pPr>
      <w:r>
        <w:lastRenderedPageBreak/>
        <w:t xml:space="preserve">Διάγραμμα  </w:t>
      </w:r>
      <w:r w:rsidR="00833098">
        <w:rPr>
          <w:noProof/>
        </w:rPr>
        <w:fldChar w:fldCharType="begin"/>
      </w:r>
      <w:r w:rsidR="00833098">
        <w:rPr>
          <w:noProof/>
        </w:rPr>
        <w:instrText xml:space="preserve"> STYLEREF 1 \s </w:instrText>
      </w:r>
      <w:r w:rsidR="00833098">
        <w:rPr>
          <w:noProof/>
        </w:rPr>
        <w:fldChar w:fldCharType="separate"/>
      </w:r>
      <w:r w:rsidR="00D56CA9">
        <w:rPr>
          <w:noProof/>
        </w:rPr>
        <w:t>4</w:t>
      </w:r>
      <w:r w:rsidR="00833098">
        <w:rPr>
          <w:noProof/>
        </w:rPr>
        <w:fldChar w:fldCharType="end"/>
      </w:r>
      <w:r w:rsidR="00397ACE">
        <w:noBreakHyphen/>
      </w:r>
      <w:r w:rsidR="00833098">
        <w:rPr>
          <w:noProof/>
        </w:rPr>
        <w:fldChar w:fldCharType="begin"/>
      </w:r>
      <w:r w:rsidR="00833098">
        <w:rPr>
          <w:noProof/>
        </w:rPr>
        <w:instrText xml:space="preserve"> SEQ Διάγραμμα_ \* ARABIC \s 1 </w:instrText>
      </w:r>
      <w:r w:rsidR="00833098">
        <w:rPr>
          <w:noProof/>
        </w:rPr>
        <w:fldChar w:fldCharType="separate"/>
      </w:r>
      <w:r w:rsidR="00D56CA9">
        <w:rPr>
          <w:noProof/>
        </w:rPr>
        <w:t>4</w:t>
      </w:r>
      <w:r w:rsidR="00833098">
        <w:rPr>
          <w:noProof/>
        </w:rPr>
        <w:fldChar w:fldCharType="end"/>
      </w:r>
      <w:r w:rsidR="008A2263">
        <w:t>:</w:t>
      </w:r>
      <w:r w:rsidR="008A2263" w:rsidRPr="008A2263">
        <w:t xml:space="preserve"> </w:t>
      </w:r>
      <w:r w:rsidR="008A2263">
        <w:t>Χ</w:t>
      </w:r>
      <w:r w:rsidR="008A2263" w:rsidRPr="008A2263">
        <w:t>ρήματα που κατανέμονται ανά θ</w:t>
      </w:r>
      <w:r w:rsidR="0056124B">
        <w:t>εματική προτεραιότητα του προγράμματος LIFE</w:t>
      </w:r>
      <w:r w:rsidR="0056124B" w:rsidRPr="0056124B">
        <w:t xml:space="preserve"> </w:t>
      </w:r>
      <w:r w:rsidR="0056124B">
        <w:t>στις ελληνικές συμμετοχές</w:t>
      </w:r>
    </w:p>
    <w:p w14:paraId="44442D1F" w14:textId="77777777" w:rsidR="008A2263" w:rsidRPr="00B744C4" w:rsidRDefault="008A2263" w:rsidP="00735DA4">
      <w:pPr>
        <w:jc w:val="center"/>
      </w:pPr>
      <w:r>
        <w:rPr>
          <w:noProof/>
          <w:lang w:eastAsia="el-GR"/>
        </w:rPr>
        <w:drawing>
          <wp:inline distT="0" distB="0" distL="0" distR="0" wp14:anchorId="6999D2D0" wp14:editId="4D396BE0">
            <wp:extent cx="4572000" cy="2743200"/>
            <wp:effectExtent l="0" t="0" r="0" b="0"/>
            <wp:docPr id="1" name="Γράφημα 1">
              <a:extLst xmlns:a="http://schemas.openxmlformats.org/drawingml/2006/main">
                <a:ext uri="{FF2B5EF4-FFF2-40B4-BE49-F238E27FC236}">
                  <a16:creationId xmlns:a16="http://schemas.microsoft.com/office/drawing/2014/main" id="{2ED5C0E5-EB5A-4837-A61C-830DEE7A16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0683CBE4" w14:textId="77777777" w:rsidR="004F7719" w:rsidRDefault="004F7719" w:rsidP="004F7719"/>
    <w:p w14:paraId="0931A433" w14:textId="77777777" w:rsidR="0056124B" w:rsidRDefault="0056124B" w:rsidP="004F7719">
      <w:r>
        <w:t xml:space="preserve">Σε σχέση με την </w:t>
      </w:r>
      <w:r>
        <w:rPr>
          <w:lang w:val="en-US"/>
        </w:rPr>
        <w:t>RIS</w:t>
      </w:r>
      <w:r w:rsidRPr="00132968">
        <w:t xml:space="preserve">3 </w:t>
      </w:r>
      <w:r>
        <w:t xml:space="preserve">το πρόγραμμα </w:t>
      </w:r>
      <w:r>
        <w:rPr>
          <w:lang w:val="en-US"/>
        </w:rPr>
        <w:t>LIFE</w:t>
      </w:r>
      <w:r w:rsidRPr="00132968">
        <w:t xml:space="preserve"> </w:t>
      </w:r>
      <w:r w:rsidRPr="00E35443">
        <w:t>εμπίπτει</w:t>
      </w:r>
      <w:r w:rsidRPr="00B744C4">
        <w:t xml:space="preserve"> </w:t>
      </w:r>
      <w:r>
        <w:t>εξολοκλήρου στον τομ</w:t>
      </w:r>
      <w:r w:rsidR="00B2496F">
        <w:t>έα</w:t>
      </w:r>
      <w:r>
        <w:t xml:space="preserve"> </w:t>
      </w:r>
      <w:r w:rsidR="00B2496F">
        <w:t>«</w:t>
      </w:r>
      <w:r>
        <w:t>περιβάλλον και βιώσιμη ανάπτυξ</w:t>
      </w:r>
      <w:r w:rsidR="00B2496F">
        <w:t>»</w:t>
      </w:r>
      <w:r>
        <w:t>η.</w:t>
      </w:r>
    </w:p>
    <w:p w14:paraId="5074FF1C" w14:textId="77777777" w:rsidR="0056124B" w:rsidRPr="0085705F" w:rsidRDefault="0078181C" w:rsidP="0085705F">
      <w:pPr>
        <w:pStyle w:val="Heading2"/>
      </w:pPr>
      <w:bookmarkStart w:id="28" w:name="_Toc22645412"/>
      <w:r>
        <w:t xml:space="preserve">Το πρόγραμμα </w:t>
      </w:r>
      <w:r w:rsidR="0056124B" w:rsidRPr="0085705F">
        <w:t>URBACT</w:t>
      </w:r>
      <w:bookmarkEnd w:id="28"/>
    </w:p>
    <w:p w14:paraId="336BB30F" w14:textId="77777777" w:rsidR="006B4E03" w:rsidRDefault="006B4E03" w:rsidP="006B4E03">
      <w:r>
        <w:t>Το URBACT δίνει στις πόλεις της Ευρώπης κεντρικό και σημαίνοντα ρόλο. Διευκολύνει τη συνεργασία μεταξύ τους για την εύρεση αποτελεσματικών και βιώσιμων λύσεων σε αστικές προκλήσεις, ενθαρρύνει την ανταλλαγή καλών πρακτικών, επιδιώκει την ανάπτυξη γνώσεων και δεξιοτήτων των πόλεων σε ζητήματα βιώσιμης αστικής ανάπτυξης, και όλα αυτά μέσα από μια διαδικασία δικτύωσης. Για να το επιτύχει αυτό χρηματοδοτεί δίκτυα πόλεων:</w:t>
      </w:r>
    </w:p>
    <w:p w14:paraId="45C110C7" w14:textId="77777777" w:rsidR="006B4E03" w:rsidRDefault="006B4E03" w:rsidP="00D22350">
      <w:pPr>
        <w:pStyle w:val="ListParagraph"/>
        <w:numPr>
          <w:ilvl w:val="0"/>
          <w:numId w:val="23"/>
        </w:numPr>
      </w:pPr>
      <w:r>
        <w:t>Δίκτυα Σχεδιασμού Δράσεων</w:t>
      </w:r>
    </w:p>
    <w:p w14:paraId="1AAD8354" w14:textId="77777777" w:rsidR="006B4E03" w:rsidRDefault="006B4E03" w:rsidP="00D22350">
      <w:pPr>
        <w:pStyle w:val="ListParagraph"/>
        <w:numPr>
          <w:ilvl w:val="0"/>
          <w:numId w:val="23"/>
        </w:numPr>
      </w:pPr>
      <w:r>
        <w:t>Δίκτυα Υλοποίησης Δράσεων</w:t>
      </w:r>
    </w:p>
    <w:p w14:paraId="0D93E99D" w14:textId="4A61C76D" w:rsidR="006B4E03" w:rsidRDefault="006B4E03" w:rsidP="00D22350">
      <w:pPr>
        <w:pStyle w:val="ListParagraph"/>
        <w:numPr>
          <w:ilvl w:val="0"/>
          <w:numId w:val="23"/>
        </w:numPr>
      </w:pPr>
      <w:r>
        <w:t>Δίκτυα Μεταφοράς Καλών Πρακτικών</w:t>
      </w:r>
    </w:p>
    <w:p w14:paraId="7E75D312" w14:textId="77777777" w:rsidR="006B4E03" w:rsidRPr="00B2496F" w:rsidRDefault="006B4E03" w:rsidP="006B4E03">
      <w:r>
        <w:t xml:space="preserve">Η ολοκληρωμένη αστική ανάπτυξη (αστικός σχεδιασμός, ενεργειακή αναβάθμιση, αστική κινητικότητα και ανάπλαση, ανοικτοί χώροι), η οικονομία (κυκλική οικονομία, ταυτότητα πόλης, πολιτισμός, απασχόληση και τοπική οικονομική ανάπτυξη, έρευνα και καινοτομία), το περιβάλλον (εγκαταλειμμένοι χώροι, χαμηλές εκπομπές CO2, πρόληψη κινδύνων, διαχείριση απορριμμάτων), η ανάπτυξη δεξιοτήτων (χρηματοδοτικές τεχνικές και εργαλεία, συμμετοχικότητα, κοινωνική καινοτομία) και η κοινωνική ένταξη (τρίτη ηλικία, πολιτισμός – εκπαίδευση – απασχόληση, υγεία, ένταξη μεταναστών, μειονεκτούσες γειτονιές), είναι ζητήματα </w:t>
      </w:r>
      <w:r w:rsidR="00B2496F">
        <w:t xml:space="preserve">για τα οποία το </w:t>
      </w:r>
      <w:r w:rsidR="00B2496F">
        <w:rPr>
          <w:lang w:val="en-US"/>
        </w:rPr>
        <w:t>URBACT</w:t>
      </w:r>
      <w:r w:rsidR="00B2496F" w:rsidRPr="00B2496F">
        <w:t xml:space="preserve"> </w:t>
      </w:r>
      <w:r w:rsidR="00B2496F">
        <w:t>ενθαρρύνει την ανάπτυξη δικτύων πόλεων.</w:t>
      </w:r>
    </w:p>
    <w:p w14:paraId="092F4BBC" w14:textId="77777777" w:rsidR="006B4E03" w:rsidRDefault="006B4E03" w:rsidP="006B4E03">
      <w:r>
        <w:t>Οι ελληνικές συμμετοχές στο URBACT III σε 8 εγκεκριμένα έργα, ανήλθαν στις 12</w:t>
      </w:r>
      <w:r w:rsidR="00B2496F">
        <w:t>,</w:t>
      </w:r>
      <w:r>
        <w:t xml:space="preserve"> με συνολικό Π/Υ 633.315,09 €.</w:t>
      </w:r>
    </w:p>
    <w:p w14:paraId="767917E0" w14:textId="77777777" w:rsidR="00F513A2" w:rsidRDefault="006B4E03" w:rsidP="00EB5844">
      <w:r>
        <w:t xml:space="preserve">Η προσέγγιση της RIS3 </w:t>
      </w:r>
      <w:r w:rsidR="00B2496F">
        <w:t>που αφορά στην</w:t>
      </w:r>
      <w:r>
        <w:t xml:space="preserve"> αποστολή και αντιμετώπιση παγκόσμιων προκλήσεων είναι ανοικτή σε όλους τους παράγοντες έρευνας και καινοτομίας, όπως οι πόλεις και οι περιφέρειες, οι οποίες θα μπορούσαν να λειτουργήσουν ως «εργαστήρια καινοτομίας της αλλαγής» για την εφαρμογή νέων ιδεών και εν</w:t>
      </w:r>
      <w:r w:rsidR="00F513A2">
        <w:t xml:space="preserve">νοιών. Από εκεί προκύπτει και η σύνδεση της </w:t>
      </w:r>
      <w:r w:rsidR="00F513A2">
        <w:rPr>
          <w:lang w:val="en-US"/>
        </w:rPr>
        <w:t>RIS</w:t>
      </w:r>
      <w:r w:rsidR="00F513A2">
        <w:t xml:space="preserve"> με το συγκεκριμένο Πρόγραμμα. </w:t>
      </w:r>
      <w:r>
        <w:t>Το 50% των εγκεκριμένων έργων συνδέεται άμεσα με τους τομείς της RIS3. Αναλυτικότερα, 2 εγκεκριμένα έργα αναφέρονται στον τομέα των αστικών μεταφορών, ένα (1) στην Αγροδιατροφή και ένα (1) στον τομέα του πολιτισμο</w:t>
      </w:r>
      <w:r w:rsidR="00F513A2">
        <w:t>ύ.</w:t>
      </w:r>
    </w:p>
    <w:p w14:paraId="1E95EF80" w14:textId="77777777" w:rsidR="00EB5844" w:rsidRDefault="00EB5844" w:rsidP="00EB5844">
      <w:pPr>
        <w:pStyle w:val="Heading1"/>
      </w:pPr>
      <w:bookmarkStart w:id="29" w:name="_Toc22645413"/>
      <w:r>
        <w:t>Μεθοδολογία επιλογής δεικτών παρακολούθησης</w:t>
      </w:r>
      <w:bookmarkEnd w:id="29"/>
    </w:p>
    <w:p w14:paraId="7911D68A" w14:textId="77777777" w:rsidR="002428B9" w:rsidRDefault="002428B9" w:rsidP="002428B9">
      <w:r>
        <w:t>Σύμφωνα με την εγκύκλιο της Ειδικής Υπηρεσίας Στρατηγικής, Σχεδιασμού και Αξιολόγησης (ΕΥΣΣΑ) «</w:t>
      </w:r>
      <w:r w:rsidRPr="002428B9">
        <w:t>Σύστημα Παρακολούθησης &amp; Αξιολόγησης των Στρατηγικών RIS3 2014-2020</w:t>
      </w:r>
      <w:r>
        <w:t>»</w:t>
      </w:r>
      <w:r w:rsidRPr="00A82AC3">
        <w:t xml:space="preserve">, </w:t>
      </w:r>
      <w:r>
        <w:t xml:space="preserve">οι </w:t>
      </w:r>
      <w:r w:rsidRPr="00A82AC3">
        <w:t xml:space="preserve">στρατηγικές RIS3 που καταρτίστηκαν και εγκρίθηκαν στο πλαίσιο της προγραμματικής περιόδου 2014–2020 καλύπτουν ένα ευρύ φάσμα στόχων, θεματικών πεδίων, τομέων και κλάδων. </w:t>
      </w:r>
      <w:r>
        <w:t>Στο πλαίσιο αυτό</w:t>
      </w:r>
      <w:r w:rsidRPr="00A82AC3">
        <w:t xml:space="preserve"> είναι απαραίτητο να διαμορφωθεί ένα σύστημα </w:t>
      </w:r>
      <w:r w:rsidRPr="00A82AC3">
        <w:lastRenderedPageBreak/>
        <w:t xml:space="preserve">παρακολούθησης και </w:t>
      </w:r>
      <w:r>
        <w:t>α</w:t>
      </w:r>
      <w:r w:rsidRPr="00A82AC3">
        <w:t xml:space="preserve">ξιολόγησης, το οποίο θα </w:t>
      </w:r>
      <w:r>
        <w:t>περιέχει, μεταξύ άλλων, μια μ</w:t>
      </w:r>
      <w:r w:rsidRPr="00A82AC3">
        <w:t xml:space="preserve">εθοδολογία παρακολούθησης η οποία </w:t>
      </w:r>
      <w:r>
        <w:t xml:space="preserve">να </w:t>
      </w:r>
      <w:r w:rsidRPr="00A82AC3">
        <w:t>περιλαμβάνει ένα πλέγμα δεικτών, κατάλληλων να παρέχουν πληροφορία σχετικά με τις στρατηγικές επιλογές και το μείγμα πολιτικής των υλοποιούμενων στρατηγικών RIS3.</w:t>
      </w:r>
    </w:p>
    <w:p w14:paraId="3C60728E" w14:textId="77777777" w:rsidR="002428B9" w:rsidRPr="002428B9" w:rsidRDefault="002428B9" w:rsidP="002428B9">
      <w:r w:rsidRPr="002428B9">
        <w:t xml:space="preserve">Η βάση για την παρακολούθηση </w:t>
      </w:r>
      <w:r>
        <w:t>της</w:t>
      </w:r>
      <w:r w:rsidRPr="002428B9">
        <w:t xml:space="preserve"> </w:t>
      </w:r>
      <w:r>
        <w:t xml:space="preserve">εθνικής </w:t>
      </w:r>
      <w:r w:rsidRPr="002428B9">
        <w:t xml:space="preserve">RIS3 είναι η λογική της παρέμβασης, όπως αυτή έχει διαμορφωθεί </w:t>
      </w:r>
      <w:r w:rsidR="003D1BCA">
        <w:t>μέσα από την</w:t>
      </w:r>
      <w:r>
        <w:t xml:space="preserve"> κατ</w:t>
      </w:r>
      <w:r w:rsidR="003D1BCA">
        <w:t>άρτιση</w:t>
      </w:r>
      <w:r>
        <w:t xml:space="preserve"> της στρατηγικής</w:t>
      </w:r>
      <w:r w:rsidRPr="002428B9">
        <w:t xml:space="preserve">. Στο πλαίσιο αυτό, </w:t>
      </w:r>
      <w:r>
        <w:t xml:space="preserve">στην </w:t>
      </w:r>
      <w:r w:rsidRPr="002428B9">
        <w:t>RIS3 θα παρακολουθείται:</w:t>
      </w:r>
    </w:p>
    <w:p w14:paraId="5B178654" w14:textId="77777777" w:rsidR="002428B9" w:rsidRPr="002428B9" w:rsidRDefault="002428B9" w:rsidP="00D22350">
      <w:pPr>
        <w:pStyle w:val="ListParagraph"/>
        <w:numPr>
          <w:ilvl w:val="0"/>
          <w:numId w:val="15"/>
        </w:numPr>
      </w:pPr>
      <w:r w:rsidRPr="002428B9">
        <w:t>η πρόοδος των δεικτών αποτελέσματος σε σχέση με τις στρατηγικές προτεραιότητες της στρατηγικής και</w:t>
      </w:r>
    </w:p>
    <w:p w14:paraId="30892F11" w14:textId="77777777" w:rsidR="002428B9" w:rsidRPr="002428B9" w:rsidRDefault="002428B9" w:rsidP="00D22350">
      <w:pPr>
        <w:pStyle w:val="ListParagraph"/>
        <w:numPr>
          <w:ilvl w:val="0"/>
          <w:numId w:val="15"/>
        </w:numPr>
      </w:pPr>
      <w:r w:rsidRPr="002428B9">
        <w:t>η πρόοδος των δεικτών εκροών σε σχέση με τις δράσεις που συνιστούν το μείγμα πολιτικής της στρατηγικής.</w:t>
      </w:r>
    </w:p>
    <w:p w14:paraId="19DF5DE5" w14:textId="77777777" w:rsidR="002428B9" w:rsidRDefault="002428B9" w:rsidP="002428B9">
      <w:r>
        <w:t xml:space="preserve">Με δεδομένο ότι η εθνική στρατηγική RIS3 χρηματοδοτείται κατά βάση από το Επιχειρησιακό Πρόγραμμα Ανταγωνιστικότητα, Επιχειρηματικότητα και Καινοτομία (ΕΠΑνΕΚ), το σύστημα παρακολούθησης περιλαμβάνει εκείνους τους δείκτες αποτελέσματος που συνδέονται με τη στρατηγική του συγκεκριμένου Ε.Π.. </w:t>
      </w:r>
    </w:p>
    <w:p w14:paraId="2921CEF1" w14:textId="77777777" w:rsidR="002428B9" w:rsidRDefault="002428B9" w:rsidP="002428B9">
      <w:r>
        <w:t xml:space="preserve">Με βάση τα παραπάνω, το πλέγμα των δεικτών παρακολούθησης </w:t>
      </w:r>
      <w:r w:rsidR="00004D5A">
        <w:t>της εθνικής</w:t>
      </w:r>
      <w:r w:rsidR="00033C46">
        <w:t xml:space="preserve"> RIS3 περιλαμβάνει:</w:t>
      </w:r>
    </w:p>
    <w:p w14:paraId="110CC899" w14:textId="77777777" w:rsidR="002428B9" w:rsidRDefault="002428B9" w:rsidP="00D22350">
      <w:pPr>
        <w:pStyle w:val="ListParagraph"/>
        <w:numPr>
          <w:ilvl w:val="0"/>
          <w:numId w:val="15"/>
        </w:numPr>
      </w:pPr>
      <w:r>
        <w:t xml:space="preserve">Τους δείκτες του Παραρτήματος Ι </w:t>
      </w:r>
      <w:r w:rsidR="00004D5A">
        <w:t xml:space="preserve">της </w:t>
      </w:r>
      <w:r w:rsidR="00F513A2">
        <w:t xml:space="preserve">παραπάνω </w:t>
      </w:r>
      <w:r w:rsidR="00004D5A">
        <w:t xml:space="preserve">εγκυκλίου </w:t>
      </w:r>
      <w:r>
        <w:t xml:space="preserve">που </w:t>
      </w:r>
      <w:r w:rsidR="00033C46">
        <w:t>αφορά σε</w:t>
      </w:r>
      <w:r>
        <w:t xml:space="preserve"> δείκτες αποτελέσματος οι οποίοι είναι υποχρεωτικό να χρησιμοποιηθούν για την παρακολούθηση </w:t>
      </w:r>
      <w:r w:rsidR="00004D5A">
        <w:t>της στρατηγικής της</w:t>
      </w:r>
      <w:r>
        <w:t xml:space="preserve"> </w:t>
      </w:r>
      <w:r w:rsidR="00004D5A">
        <w:t xml:space="preserve">εθνικής </w:t>
      </w:r>
      <w:r>
        <w:t xml:space="preserve">RIS3 στο πλαίσιο ενός ομογενοποιημένου συστήματος παρακολούθησης. </w:t>
      </w:r>
    </w:p>
    <w:p w14:paraId="32784F47" w14:textId="77777777" w:rsidR="002428B9" w:rsidRDefault="002428B9" w:rsidP="00D22350">
      <w:pPr>
        <w:pStyle w:val="ListParagraph"/>
        <w:numPr>
          <w:ilvl w:val="0"/>
          <w:numId w:val="15"/>
        </w:numPr>
      </w:pPr>
      <w:r>
        <w:t xml:space="preserve">Τους δείκτες αποτελέσματος του Παραρτήματος ΙΙΙ </w:t>
      </w:r>
      <w:r w:rsidR="00004D5A">
        <w:t xml:space="preserve">της εγκυκλίου </w:t>
      </w:r>
      <w:r>
        <w:t xml:space="preserve">που συνδέονται με τη στρατηγική RIS3, όπως αυτοί έχουν προσδιοριστεί από την αντίστοιχη Διαχειριστική Αρχή. </w:t>
      </w:r>
    </w:p>
    <w:p w14:paraId="4C862B63" w14:textId="77777777" w:rsidR="002428B9" w:rsidRDefault="002428B9" w:rsidP="00D22350">
      <w:pPr>
        <w:pStyle w:val="ListParagraph"/>
        <w:numPr>
          <w:ilvl w:val="0"/>
          <w:numId w:val="15"/>
        </w:numPr>
      </w:pPr>
      <w:r>
        <w:t>Τους δείκτες του Παραρτήματος ΙΙ</w:t>
      </w:r>
      <w:r w:rsidR="00004D5A">
        <w:t xml:space="preserve"> της εγκυκλίου</w:t>
      </w:r>
      <w:r>
        <w:t xml:space="preserve"> που αποτελούν δείκτες του Innovation Union Scoreboard. </w:t>
      </w:r>
    </w:p>
    <w:p w14:paraId="523B5193" w14:textId="77777777" w:rsidR="001B7E9E" w:rsidRDefault="001B7E9E" w:rsidP="001B7E9E">
      <w:pPr>
        <w:pStyle w:val="Heading1"/>
      </w:pPr>
      <w:bookmarkStart w:id="30" w:name="_Toc22645414"/>
      <w:bookmarkStart w:id="31" w:name="_Toc6503379"/>
      <w:r>
        <w:t>Δείκτες Εκροής Στρατηγικής</w:t>
      </w:r>
      <w:bookmarkEnd w:id="30"/>
    </w:p>
    <w:p w14:paraId="48B561B9" w14:textId="77777777" w:rsidR="00D90118" w:rsidRPr="009406A9" w:rsidRDefault="00D90118" w:rsidP="00D90118">
      <w:pPr>
        <w:pStyle w:val="Heading2"/>
      </w:pPr>
      <w:bookmarkStart w:id="32" w:name="_Toc22645415"/>
      <w:r w:rsidRPr="009406A9">
        <w:t>Γενικές Παρατηρήσεις</w:t>
      </w:r>
      <w:bookmarkEnd w:id="31"/>
      <w:bookmarkEnd w:id="32"/>
    </w:p>
    <w:p w14:paraId="7172D091" w14:textId="77777777" w:rsidR="00D90118" w:rsidRDefault="00D90118" w:rsidP="00D90118">
      <w:r>
        <w:t xml:space="preserve">Ο Μηχανισμός Παρακολούθησης και αξιολόγησης της </w:t>
      </w:r>
      <w:r w:rsidRPr="003B1358">
        <w:t>RIS</w:t>
      </w:r>
      <w:r>
        <w:t>3 εφαρμόζεται σε εθνικό και περιφερειακό επίπεδο και βασίζεται σε δείκτες οι οποίοι επιτρέπουν την παρακολούθηση της προόδου κάθε προτεραιότητας της έξυπνης</w:t>
      </w:r>
      <w:r w:rsidR="00F513A2">
        <w:t xml:space="preserve"> εξειδίκευσης. Για το ΕΠΑνΕΚ</w:t>
      </w:r>
      <w:r>
        <w:t xml:space="preserve">, ως το βασικό τομεακό Ε.Π. που συνδέεται με την εφαρμογή της </w:t>
      </w:r>
      <w:r w:rsidRPr="003B1358">
        <w:t>RIS</w:t>
      </w:r>
      <w:r>
        <w:t>, παρακολουθείται ο Θεματικός Στόχος 1 και οι δείκτες εκροών των Επενδυτικών Προτεραιοτήτων 1</w:t>
      </w:r>
      <w:r>
        <w:rPr>
          <w:lang w:val="en-US"/>
        </w:rPr>
        <w:t>a</w:t>
      </w:r>
      <w:r w:rsidRPr="003B1358">
        <w:t xml:space="preserve"> </w:t>
      </w:r>
      <w:r>
        <w:t xml:space="preserve">και </w:t>
      </w:r>
      <w:r w:rsidRPr="003B1358">
        <w:t>1</w:t>
      </w:r>
      <w:r>
        <w:rPr>
          <w:lang w:val="en-US"/>
        </w:rPr>
        <w:t>b</w:t>
      </w:r>
      <w:r w:rsidRPr="003B1358">
        <w:t>.</w:t>
      </w:r>
    </w:p>
    <w:p w14:paraId="5CB84D20" w14:textId="77777777" w:rsidR="00D90118" w:rsidRDefault="00D90118" w:rsidP="00D90118">
      <w:r>
        <w:t>Στο πλαίσιο αυτό παρακολ</w:t>
      </w:r>
      <w:r w:rsidR="00F513A2">
        <w:t>ουθούνται οι εξής δείκτες</w:t>
      </w:r>
      <w:r>
        <w:t>:</w:t>
      </w:r>
    </w:p>
    <w:p w14:paraId="2573A79B" w14:textId="77777777" w:rsidR="00D90118" w:rsidRDefault="00D90118" w:rsidP="00D22350">
      <w:pPr>
        <w:pStyle w:val="ListParagraph"/>
        <w:numPr>
          <w:ilvl w:val="0"/>
          <w:numId w:val="11"/>
        </w:numPr>
      </w:pPr>
      <w:r>
        <w:rPr>
          <w:lang w:val="en-US"/>
        </w:rPr>
        <w:t>CO</w:t>
      </w:r>
      <w:r w:rsidRPr="000A3801">
        <w:t xml:space="preserve">25, </w:t>
      </w:r>
      <w:r>
        <w:rPr>
          <w:lang w:val="en-US"/>
        </w:rPr>
        <w:t>SO</w:t>
      </w:r>
      <w:r w:rsidRPr="000A3801">
        <w:t xml:space="preserve">033 </w:t>
      </w:r>
      <w:r>
        <w:t>της Επενδυτικής Προτεραιότητας 1α</w:t>
      </w:r>
    </w:p>
    <w:p w14:paraId="60F1BD1F" w14:textId="77777777" w:rsidR="00D90118" w:rsidRDefault="00D90118" w:rsidP="00D22350">
      <w:pPr>
        <w:pStyle w:val="ListParagraph"/>
        <w:numPr>
          <w:ilvl w:val="0"/>
          <w:numId w:val="11"/>
        </w:numPr>
        <w:rPr>
          <w:lang w:val="en-US"/>
        </w:rPr>
      </w:pPr>
      <w:r>
        <w:rPr>
          <w:lang w:val="en-US"/>
        </w:rPr>
        <w:t>CO01, CO02, CO03, CO05, CO07,</w:t>
      </w:r>
      <w:r w:rsidRPr="000A3801">
        <w:rPr>
          <w:lang w:val="en-US"/>
        </w:rPr>
        <w:t xml:space="preserve"> </w:t>
      </w:r>
      <w:r>
        <w:rPr>
          <w:lang w:val="en-US"/>
        </w:rPr>
        <w:t>CO24,</w:t>
      </w:r>
      <w:r w:rsidRPr="000A3801">
        <w:rPr>
          <w:lang w:val="en-US"/>
        </w:rPr>
        <w:t xml:space="preserve"> </w:t>
      </w:r>
      <w:r>
        <w:rPr>
          <w:lang w:val="en-US"/>
        </w:rPr>
        <w:t>CO26,</w:t>
      </w:r>
      <w:r w:rsidRPr="000A3801">
        <w:rPr>
          <w:lang w:val="en-US"/>
        </w:rPr>
        <w:t xml:space="preserve"> </w:t>
      </w:r>
      <w:r>
        <w:rPr>
          <w:lang w:val="en-US"/>
        </w:rPr>
        <w:t>CO27 και</w:t>
      </w:r>
      <w:r w:rsidRPr="000A3801">
        <w:rPr>
          <w:lang w:val="en-US"/>
        </w:rPr>
        <w:t xml:space="preserve"> </w:t>
      </w:r>
      <w:r>
        <w:t>Τ</w:t>
      </w:r>
      <w:r w:rsidRPr="000A3801">
        <w:rPr>
          <w:lang w:val="en-US"/>
        </w:rPr>
        <w:t xml:space="preserve">4204 </w:t>
      </w:r>
      <w:r>
        <w:t>της</w:t>
      </w:r>
      <w:r w:rsidRPr="000A3801">
        <w:rPr>
          <w:lang w:val="en-US"/>
        </w:rPr>
        <w:t xml:space="preserve"> </w:t>
      </w:r>
      <w:r>
        <w:t>Επενδυτικής</w:t>
      </w:r>
      <w:r w:rsidRPr="000A3801">
        <w:rPr>
          <w:lang w:val="en-US"/>
        </w:rPr>
        <w:t xml:space="preserve"> </w:t>
      </w:r>
      <w:r>
        <w:t>Προτεραιότητας 1</w:t>
      </w:r>
      <w:r>
        <w:rPr>
          <w:lang w:val="en-US"/>
        </w:rPr>
        <w:t xml:space="preserve">b. </w:t>
      </w:r>
    </w:p>
    <w:p w14:paraId="34F149F8" w14:textId="77777777" w:rsidR="00D90118" w:rsidRDefault="00D90118" w:rsidP="00D90118">
      <w:r>
        <w:t>Η παρακολούθηση των τιμών των συγκεκριμένων δεικτών γίνεται στη βάση της φυσικής προόδου των έργων που εντάσσονται στο πλαίσιο  Προσκλήσεων που εκδίδουν οι φορείς υλοποίησης για τις παραπάνω Επενδυτικές Προτεραιότητες. Σύμφωνα με τις Προσκλήσεις που έχουν εκδοθεί έως το 2018, η κατανομή των δεικτών έχει ως εξής:</w:t>
      </w:r>
    </w:p>
    <w:p w14:paraId="27AF84AA" w14:textId="77777777" w:rsidR="00D90118" w:rsidRDefault="00D90118" w:rsidP="00D90118"/>
    <w:p w14:paraId="138131DF" w14:textId="77777777" w:rsidR="00D90118" w:rsidRDefault="00D90118" w:rsidP="00D90118">
      <w:pPr>
        <w:sectPr w:rsidR="00D90118" w:rsidSect="005476F0">
          <w:footerReference w:type="default" r:id="rId43"/>
          <w:footerReference w:type="first" r:id="rId44"/>
          <w:pgSz w:w="11906" w:h="16838" w:code="9"/>
          <w:pgMar w:top="1440" w:right="1247" w:bottom="1440" w:left="1247" w:header="720" w:footer="720" w:gutter="0"/>
          <w:cols w:space="708"/>
          <w:docGrid w:linePitch="360"/>
        </w:sectPr>
      </w:pPr>
    </w:p>
    <w:p w14:paraId="5E62EFC2" w14:textId="77777777" w:rsidR="00D90118" w:rsidRPr="0000404B" w:rsidRDefault="006C426D" w:rsidP="006C426D">
      <w:pPr>
        <w:pStyle w:val="Caption"/>
        <w:rPr>
          <w:szCs w:val="16"/>
        </w:rPr>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6</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1</w:t>
      </w:r>
      <w:r w:rsidR="00833098">
        <w:rPr>
          <w:noProof/>
        </w:rPr>
        <w:fldChar w:fldCharType="end"/>
      </w:r>
      <w:r w:rsidR="0000404B" w:rsidRPr="0000404B">
        <w:rPr>
          <w:szCs w:val="16"/>
        </w:rPr>
        <w:t xml:space="preserve">: </w:t>
      </w:r>
      <w:r>
        <w:rPr>
          <w:szCs w:val="16"/>
        </w:rPr>
        <w:t xml:space="preserve"> </w:t>
      </w:r>
      <w:r w:rsidR="0000404B" w:rsidRPr="0000404B">
        <w:rPr>
          <w:szCs w:val="16"/>
        </w:rPr>
        <w:t>Δείκτες εκροών ανά Πρόσκληση</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70"/>
        <w:gridCol w:w="1360"/>
        <w:gridCol w:w="1365"/>
        <w:gridCol w:w="805"/>
        <w:gridCol w:w="665"/>
        <w:gridCol w:w="687"/>
        <w:gridCol w:w="693"/>
        <w:gridCol w:w="655"/>
        <w:gridCol w:w="655"/>
        <w:gridCol w:w="668"/>
        <w:gridCol w:w="690"/>
        <w:gridCol w:w="655"/>
        <w:gridCol w:w="655"/>
        <w:gridCol w:w="642"/>
        <w:gridCol w:w="992"/>
      </w:tblGrid>
      <w:tr w:rsidR="00D90118" w14:paraId="4E9AA965" w14:textId="77777777" w:rsidTr="00735DA4">
        <w:trPr>
          <w:tblHeader/>
        </w:trPr>
        <w:tc>
          <w:tcPr>
            <w:tcW w:w="2570" w:type="dxa"/>
            <w:vMerge w:val="restart"/>
            <w:shd w:val="clear" w:color="auto" w:fill="800000"/>
            <w:vAlign w:val="center"/>
          </w:tcPr>
          <w:p w14:paraId="1494C4B7" w14:textId="77777777" w:rsidR="00D90118" w:rsidRPr="006C426D" w:rsidRDefault="00D90118" w:rsidP="00D21C6A">
            <w:pPr>
              <w:rPr>
                <w:b/>
              </w:rPr>
            </w:pPr>
            <w:r w:rsidRPr="006C426D">
              <w:rPr>
                <w:b/>
              </w:rPr>
              <w:t>Πρόσκληση/Δράση</w:t>
            </w:r>
          </w:p>
        </w:tc>
        <w:tc>
          <w:tcPr>
            <w:tcW w:w="1348" w:type="dxa"/>
            <w:vMerge w:val="restart"/>
            <w:shd w:val="clear" w:color="auto" w:fill="800000"/>
            <w:vAlign w:val="center"/>
          </w:tcPr>
          <w:p w14:paraId="2A4B4ECA" w14:textId="77777777" w:rsidR="00D90118" w:rsidRPr="006C426D" w:rsidRDefault="00D90118" w:rsidP="00D21C6A">
            <w:pPr>
              <w:rPr>
                <w:b/>
              </w:rPr>
            </w:pPr>
            <w:r w:rsidRPr="006C426D">
              <w:rPr>
                <w:b/>
              </w:rPr>
              <w:t>Έτος Πρόσκλησης</w:t>
            </w:r>
          </w:p>
        </w:tc>
        <w:tc>
          <w:tcPr>
            <w:tcW w:w="1365" w:type="dxa"/>
            <w:vMerge w:val="restart"/>
            <w:shd w:val="clear" w:color="auto" w:fill="800000"/>
            <w:vAlign w:val="center"/>
          </w:tcPr>
          <w:p w14:paraId="261A589A" w14:textId="77777777" w:rsidR="00D90118" w:rsidRPr="006C426D" w:rsidRDefault="00D90118" w:rsidP="00D21C6A">
            <w:pPr>
              <w:rPr>
                <w:b/>
              </w:rPr>
            </w:pPr>
            <w:r w:rsidRPr="006C426D">
              <w:rPr>
                <w:b/>
              </w:rPr>
              <w:t>Φορέας Πρόσκλησης</w:t>
            </w:r>
          </w:p>
        </w:tc>
        <w:tc>
          <w:tcPr>
            <w:tcW w:w="8462" w:type="dxa"/>
            <w:gridSpan w:val="12"/>
            <w:shd w:val="clear" w:color="auto" w:fill="800000"/>
          </w:tcPr>
          <w:p w14:paraId="5BC5CEC8" w14:textId="77777777" w:rsidR="00D90118" w:rsidRPr="006C426D" w:rsidRDefault="00D90118" w:rsidP="00D21C6A">
            <w:pPr>
              <w:jc w:val="center"/>
              <w:rPr>
                <w:b/>
              </w:rPr>
            </w:pPr>
            <w:r w:rsidRPr="006C426D">
              <w:rPr>
                <w:b/>
              </w:rPr>
              <w:t>Δείκτες Εκροών ανά Πρόσκληση Θ.Σ. 1 - ΕΠΑΝΕΚ</w:t>
            </w:r>
          </w:p>
        </w:tc>
      </w:tr>
      <w:tr w:rsidR="00D90118" w14:paraId="58E679A2" w14:textId="77777777" w:rsidTr="00735DA4">
        <w:tc>
          <w:tcPr>
            <w:tcW w:w="2570" w:type="dxa"/>
            <w:vMerge/>
            <w:shd w:val="clear" w:color="auto" w:fill="800000"/>
          </w:tcPr>
          <w:p w14:paraId="1E616042" w14:textId="77777777" w:rsidR="00D90118" w:rsidRPr="00A07EEE" w:rsidRDefault="00D90118" w:rsidP="00D21C6A"/>
        </w:tc>
        <w:tc>
          <w:tcPr>
            <w:tcW w:w="1348" w:type="dxa"/>
            <w:vMerge/>
            <w:shd w:val="clear" w:color="auto" w:fill="800000"/>
          </w:tcPr>
          <w:p w14:paraId="18B69248" w14:textId="77777777" w:rsidR="00D90118" w:rsidRPr="00A07EEE" w:rsidRDefault="00D90118" w:rsidP="00D21C6A"/>
        </w:tc>
        <w:tc>
          <w:tcPr>
            <w:tcW w:w="1365" w:type="dxa"/>
            <w:vMerge/>
            <w:shd w:val="clear" w:color="auto" w:fill="800000"/>
          </w:tcPr>
          <w:p w14:paraId="2F168084" w14:textId="77777777" w:rsidR="00D90118" w:rsidRPr="00A07EEE" w:rsidRDefault="00D90118" w:rsidP="00D21C6A"/>
        </w:tc>
        <w:tc>
          <w:tcPr>
            <w:tcW w:w="805" w:type="dxa"/>
            <w:shd w:val="clear" w:color="auto" w:fill="D9D9D9" w:themeFill="background1" w:themeFillShade="D9"/>
            <w:vAlign w:val="center"/>
          </w:tcPr>
          <w:p w14:paraId="0D4D0FD0" w14:textId="77777777" w:rsidR="00D90118" w:rsidRPr="00A07EEE" w:rsidRDefault="00D90118" w:rsidP="00D21C6A">
            <w:pPr>
              <w:jc w:val="center"/>
              <w:rPr>
                <w:b/>
                <w:sz w:val="16"/>
                <w:szCs w:val="16"/>
              </w:rPr>
            </w:pPr>
            <w:r w:rsidRPr="00A07EEE">
              <w:rPr>
                <w:b/>
                <w:sz w:val="16"/>
                <w:szCs w:val="16"/>
              </w:rPr>
              <w:t>05801</w:t>
            </w:r>
          </w:p>
        </w:tc>
        <w:tc>
          <w:tcPr>
            <w:tcW w:w="665" w:type="dxa"/>
            <w:shd w:val="clear" w:color="auto" w:fill="D9D9D9" w:themeFill="background1" w:themeFillShade="D9"/>
            <w:vAlign w:val="center"/>
          </w:tcPr>
          <w:p w14:paraId="60645974" w14:textId="77777777" w:rsidR="00D90118" w:rsidRPr="00A07EEE" w:rsidRDefault="00D90118" w:rsidP="00D21C6A">
            <w:pPr>
              <w:jc w:val="center"/>
              <w:rPr>
                <w:b/>
                <w:sz w:val="16"/>
                <w:szCs w:val="16"/>
              </w:rPr>
            </w:pPr>
            <w:r w:rsidRPr="00A07EEE">
              <w:rPr>
                <w:b/>
                <w:sz w:val="16"/>
                <w:szCs w:val="16"/>
              </w:rPr>
              <w:t>05802</w:t>
            </w:r>
          </w:p>
        </w:tc>
        <w:tc>
          <w:tcPr>
            <w:tcW w:w="687" w:type="dxa"/>
            <w:shd w:val="clear" w:color="auto" w:fill="D9D9D9" w:themeFill="background1" w:themeFillShade="D9"/>
            <w:vAlign w:val="center"/>
          </w:tcPr>
          <w:p w14:paraId="04C8AE81" w14:textId="77777777" w:rsidR="00D90118" w:rsidRPr="00A07EEE" w:rsidRDefault="00D90118" w:rsidP="00D21C6A">
            <w:pPr>
              <w:jc w:val="center"/>
              <w:rPr>
                <w:b/>
                <w:sz w:val="16"/>
                <w:szCs w:val="16"/>
              </w:rPr>
            </w:pPr>
            <w:r w:rsidRPr="00A07EEE">
              <w:rPr>
                <w:b/>
                <w:sz w:val="16"/>
                <w:szCs w:val="16"/>
              </w:rPr>
              <w:t>05803</w:t>
            </w:r>
          </w:p>
        </w:tc>
        <w:tc>
          <w:tcPr>
            <w:tcW w:w="693" w:type="dxa"/>
            <w:shd w:val="clear" w:color="auto" w:fill="D9D9D9" w:themeFill="background1" w:themeFillShade="D9"/>
            <w:vAlign w:val="center"/>
          </w:tcPr>
          <w:p w14:paraId="21DB4BE7" w14:textId="77777777" w:rsidR="00D90118" w:rsidRPr="00A07EEE" w:rsidRDefault="00D90118" w:rsidP="00D21C6A">
            <w:pPr>
              <w:jc w:val="center"/>
              <w:rPr>
                <w:b/>
                <w:sz w:val="16"/>
                <w:szCs w:val="16"/>
              </w:rPr>
            </w:pPr>
            <w:r w:rsidRPr="00A07EEE">
              <w:rPr>
                <w:b/>
                <w:sz w:val="16"/>
                <w:szCs w:val="16"/>
              </w:rPr>
              <w:t>05804</w:t>
            </w:r>
          </w:p>
        </w:tc>
        <w:tc>
          <w:tcPr>
            <w:tcW w:w="655" w:type="dxa"/>
            <w:shd w:val="clear" w:color="auto" w:fill="D9D9D9" w:themeFill="background1" w:themeFillShade="D9"/>
            <w:vAlign w:val="center"/>
          </w:tcPr>
          <w:p w14:paraId="74FBA9DE" w14:textId="77777777" w:rsidR="00D90118" w:rsidRPr="0000404B" w:rsidRDefault="00D90118" w:rsidP="00D21C6A">
            <w:pPr>
              <w:jc w:val="center"/>
              <w:rPr>
                <w:b/>
                <w:sz w:val="16"/>
                <w:szCs w:val="16"/>
              </w:rPr>
            </w:pPr>
            <w:r w:rsidRPr="00A07EEE">
              <w:rPr>
                <w:b/>
                <w:sz w:val="16"/>
                <w:szCs w:val="16"/>
                <w:lang w:val="en-US"/>
              </w:rPr>
              <w:t>CO</w:t>
            </w:r>
            <w:r w:rsidRPr="0000404B">
              <w:rPr>
                <w:b/>
                <w:sz w:val="16"/>
                <w:szCs w:val="16"/>
              </w:rPr>
              <w:t>01</w:t>
            </w:r>
          </w:p>
        </w:tc>
        <w:tc>
          <w:tcPr>
            <w:tcW w:w="655" w:type="dxa"/>
            <w:shd w:val="clear" w:color="auto" w:fill="D9D9D9" w:themeFill="background1" w:themeFillShade="D9"/>
            <w:vAlign w:val="center"/>
          </w:tcPr>
          <w:p w14:paraId="75B09864" w14:textId="77777777" w:rsidR="00D90118" w:rsidRPr="00A07EEE" w:rsidRDefault="00D90118" w:rsidP="00D21C6A">
            <w:pPr>
              <w:jc w:val="center"/>
              <w:rPr>
                <w:b/>
                <w:sz w:val="16"/>
                <w:szCs w:val="16"/>
              </w:rPr>
            </w:pPr>
            <w:r w:rsidRPr="00A07EEE">
              <w:rPr>
                <w:b/>
                <w:sz w:val="16"/>
                <w:szCs w:val="16"/>
                <w:lang w:val="en-US"/>
              </w:rPr>
              <w:t>CO02</w:t>
            </w:r>
          </w:p>
        </w:tc>
        <w:tc>
          <w:tcPr>
            <w:tcW w:w="668" w:type="dxa"/>
            <w:shd w:val="clear" w:color="auto" w:fill="D9D9D9" w:themeFill="background1" w:themeFillShade="D9"/>
            <w:vAlign w:val="center"/>
          </w:tcPr>
          <w:p w14:paraId="12D32027" w14:textId="77777777" w:rsidR="00D90118" w:rsidRPr="00A07EEE" w:rsidRDefault="00D90118" w:rsidP="00D21C6A">
            <w:pPr>
              <w:jc w:val="center"/>
              <w:rPr>
                <w:b/>
                <w:sz w:val="16"/>
                <w:szCs w:val="16"/>
              </w:rPr>
            </w:pPr>
            <w:r w:rsidRPr="00A07EEE">
              <w:rPr>
                <w:b/>
                <w:sz w:val="16"/>
                <w:szCs w:val="16"/>
                <w:lang w:val="en-US"/>
              </w:rPr>
              <w:t>CO05</w:t>
            </w:r>
          </w:p>
        </w:tc>
        <w:tc>
          <w:tcPr>
            <w:tcW w:w="690" w:type="dxa"/>
            <w:shd w:val="clear" w:color="auto" w:fill="D9D9D9" w:themeFill="background1" w:themeFillShade="D9"/>
            <w:vAlign w:val="center"/>
          </w:tcPr>
          <w:p w14:paraId="48853A54" w14:textId="77777777" w:rsidR="00D90118" w:rsidRPr="00A07EEE" w:rsidRDefault="00D90118" w:rsidP="00D21C6A">
            <w:pPr>
              <w:jc w:val="center"/>
              <w:rPr>
                <w:b/>
                <w:sz w:val="16"/>
                <w:szCs w:val="16"/>
                <w:lang w:val="en-US"/>
              </w:rPr>
            </w:pPr>
            <w:r w:rsidRPr="00A07EEE">
              <w:rPr>
                <w:b/>
                <w:sz w:val="16"/>
                <w:szCs w:val="16"/>
                <w:lang w:val="en-US"/>
              </w:rPr>
              <w:t>CO24</w:t>
            </w:r>
          </w:p>
        </w:tc>
        <w:tc>
          <w:tcPr>
            <w:tcW w:w="655" w:type="dxa"/>
            <w:shd w:val="clear" w:color="auto" w:fill="D9D9D9" w:themeFill="background1" w:themeFillShade="D9"/>
            <w:vAlign w:val="center"/>
          </w:tcPr>
          <w:p w14:paraId="3A1B9144" w14:textId="77777777" w:rsidR="00D90118" w:rsidRPr="00A07EEE" w:rsidRDefault="00D90118" w:rsidP="00D21C6A">
            <w:pPr>
              <w:jc w:val="center"/>
              <w:rPr>
                <w:b/>
                <w:sz w:val="16"/>
                <w:szCs w:val="16"/>
              </w:rPr>
            </w:pPr>
            <w:r w:rsidRPr="00A07EEE">
              <w:rPr>
                <w:b/>
                <w:sz w:val="16"/>
                <w:szCs w:val="16"/>
                <w:lang w:val="en-US"/>
              </w:rPr>
              <w:t>CO25</w:t>
            </w:r>
          </w:p>
        </w:tc>
        <w:tc>
          <w:tcPr>
            <w:tcW w:w="655" w:type="dxa"/>
            <w:shd w:val="clear" w:color="auto" w:fill="D9D9D9" w:themeFill="background1" w:themeFillShade="D9"/>
            <w:vAlign w:val="center"/>
          </w:tcPr>
          <w:p w14:paraId="4EA0B4FE" w14:textId="77777777" w:rsidR="00D90118" w:rsidRPr="00A07EEE" w:rsidRDefault="00D90118" w:rsidP="00D21C6A">
            <w:pPr>
              <w:jc w:val="center"/>
              <w:rPr>
                <w:b/>
                <w:sz w:val="16"/>
                <w:szCs w:val="16"/>
              </w:rPr>
            </w:pPr>
            <w:r w:rsidRPr="00A07EEE">
              <w:rPr>
                <w:b/>
                <w:sz w:val="16"/>
                <w:szCs w:val="16"/>
                <w:lang w:val="en-US"/>
              </w:rPr>
              <w:t>CO26</w:t>
            </w:r>
          </w:p>
        </w:tc>
        <w:tc>
          <w:tcPr>
            <w:tcW w:w="642" w:type="dxa"/>
            <w:shd w:val="clear" w:color="auto" w:fill="D9D9D9" w:themeFill="background1" w:themeFillShade="D9"/>
            <w:vAlign w:val="center"/>
          </w:tcPr>
          <w:p w14:paraId="064C6592" w14:textId="77777777" w:rsidR="00D90118" w:rsidRPr="00A07EEE" w:rsidRDefault="00D90118" w:rsidP="00D21C6A">
            <w:pPr>
              <w:jc w:val="center"/>
              <w:rPr>
                <w:b/>
                <w:sz w:val="16"/>
                <w:szCs w:val="16"/>
                <w:lang w:val="en-US"/>
              </w:rPr>
            </w:pPr>
            <w:r w:rsidRPr="00A07EEE">
              <w:rPr>
                <w:b/>
                <w:sz w:val="16"/>
                <w:szCs w:val="16"/>
                <w:lang w:val="en-US"/>
              </w:rPr>
              <w:t>T4204</w:t>
            </w:r>
          </w:p>
        </w:tc>
        <w:tc>
          <w:tcPr>
            <w:tcW w:w="992" w:type="dxa"/>
            <w:shd w:val="clear" w:color="auto" w:fill="D9D9D9" w:themeFill="background1" w:themeFillShade="D9"/>
            <w:vAlign w:val="center"/>
          </w:tcPr>
          <w:p w14:paraId="3BE137BB" w14:textId="77777777" w:rsidR="00D90118" w:rsidRPr="00A07EEE" w:rsidRDefault="00D90118" w:rsidP="00D21C6A">
            <w:pPr>
              <w:jc w:val="center"/>
              <w:rPr>
                <w:b/>
                <w:sz w:val="16"/>
                <w:szCs w:val="16"/>
                <w:lang w:val="en-US"/>
              </w:rPr>
            </w:pPr>
            <w:r w:rsidRPr="00A07EEE">
              <w:rPr>
                <w:b/>
                <w:sz w:val="16"/>
                <w:szCs w:val="16"/>
                <w:lang w:val="en-US"/>
              </w:rPr>
              <w:t>SO033/</w:t>
            </w:r>
          </w:p>
          <w:p w14:paraId="4A23C26C" w14:textId="77777777" w:rsidR="00D90118" w:rsidRPr="00A07EEE" w:rsidRDefault="00D90118" w:rsidP="00D21C6A">
            <w:pPr>
              <w:jc w:val="center"/>
              <w:rPr>
                <w:b/>
                <w:sz w:val="16"/>
                <w:szCs w:val="16"/>
                <w:lang w:val="en-US"/>
              </w:rPr>
            </w:pPr>
            <w:r w:rsidRPr="00A07EEE">
              <w:rPr>
                <w:b/>
                <w:sz w:val="16"/>
                <w:szCs w:val="16"/>
                <w:lang w:val="en-US"/>
              </w:rPr>
              <w:t>T4225</w:t>
            </w:r>
          </w:p>
        </w:tc>
      </w:tr>
      <w:tr w:rsidR="00D90118" w14:paraId="67CD92F9" w14:textId="77777777" w:rsidTr="00735DA4">
        <w:tc>
          <w:tcPr>
            <w:tcW w:w="2570" w:type="dxa"/>
          </w:tcPr>
          <w:p w14:paraId="1CD511DF" w14:textId="77777777" w:rsidR="00D90118" w:rsidRPr="00F1002D" w:rsidRDefault="00D90118" w:rsidP="00D21C6A">
            <w:pPr>
              <w:rPr>
                <w:i/>
              </w:rPr>
            </w:pPr>
            <w:r w:rsidRPr="00F1002D">
              <w:rPr>
                <w:i/>
              </w:rPr>
              <w:t>Δημιουργώ, Ερευνώ, Καινοτομώ</w:t>
            </w:r>
          </w:p>
        </w:tc>
        <w:tc>
          <w:tcPr>
            <w:tcW w:w="1348" w:type="dxa"/>
          </w:tcPr>
          <w:p w14:paraId="351B5F92" w14:textId="77777777" w:rsidR="00D90118" w:rsidRPr="006626D0" w:rsidRDefault="00D90118" w:rsidP="00D21C6A">
            <w:pPr>
              <w:jc w:val="center"/>
              <w:rPr>
                <w:b/>
              </w:rPr>
            </w:pPr>
            <w:r w:rsidRPr="006626D0">
              <w:rPr>
                <w:b/>
              </w:rPr>
              <w:t>2017</w:t>
            </w:r>
          </w:p>
        </w:tc>
        <w:tc>
          <w:tcPr>
            <w:tcW w:w="1365" w:type="dxa"/>
          </w:tcPr>
          <w:p w14:paraId="762E296B" w14:textId="77777777" w:rsidR="00D90118" w:rsidRPr="00A07EEE" w:rsidRDefault="00D90118" w:rsidP="00D21C6A">
            <w:r>
              <w:t>ΕΥΔΕ ΕΤΑΚ</w:t>
            </w:r>
          </w:p>
        </w:tc>
        <w:tc>
          <w:tcPr>
            <w:tcW w:w="0" w:type="auto"/>
            <w:vAlign w:val="center"/>
          </w:tcPr>
          <w:p w14:paraId="63F7F5B7"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3A9A5375"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4D809182"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585B188B"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39C9710D"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0002D06D"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07028AC4"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07923848"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0F85D083" w14:textId="77777777" w:rsidR="00D90118" w:rsidRPr="00735DA4" w:rsidRDefault="00D90118" w:rsidP="00D21C6A">
            <w:pPr>
              <w:jc w:val="center"/>
              <w:rPr>
                <w:color w:val="800000"/>
              </w:rPr>
            </w:pPr>
          </w:p>
        </w:tc>
        <w:tc>
          <w:tcPr>
            <w:tcW w:w="0" w:type="auto"/>
            <w:vAlign w:val="center"/>
          </w:tcPr>
          <w:p w14:paraId="1B9CEE5E"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6E715AC8" w14:textId="77777777" w:rsidR="00D90118" w:rsidRPr="00735DA4" w:rsidRDefault="00D90118" w:rsidP="00D21C6A">
            <w:pPr>
              <w:jc w:val="center"/>
              <w:rPr>
                <w:color w:val="800000"/>
              </w:rPr>
            </w:pPr>
          </w:p>
        </w:tc>
        <w:tc>
          <w:tcPr>
            <w:tcW w:w="0" w:type="auto"/>
            <w:vAlign w:val="center"/>
          </w:tcPr>
          <w:p w14:paraId="0DB4AFEB" w14:textId="77777777" w:rsidR="00D90118" w:rsidRPr="00735DA4" w:rsidRDefault="00D90118" w:rsidP="00D21C6A">
            <w:pPr>
              <w:jc w:val="center"/>
              <w:rPr>
                <w:color w:val="800000"/>
              </w:rPr>
            </w:pPr>
          </w:p>
        </w:tc>
      </w:tr>
      <w:tr w:rsidR="00D90118" w14:paraId="7792F5B4" w14:textId="77777777" w:rsidTr="00735DA4">
        <w:tc>
          <w:tcPr>
            <w:tcW w:w="2570" w:type="dxa"/>
          </w:tcPr>
          <w:p w14:paraId="548C5B08" w14:textId="77777777" w:rsidR="00D90118" w:rsidRPr="00F1002D" w:rsidRDefault="00D90118" w:rsidP="00D21C6A">
            <w:pPr>
              <w:rPr>
                <w:i/>
              </w:rPr>
            </w:pPr>
            <w:r w:rsidRPr="00F1002D">
              <w:rPr>
                <w:i/>
              </w:rPr>
              <w:t>ERA-NETS 2016</w:t>
            </w:r>
          </w:p>
        </w:tc>
        <w:tc>
          <w:tcPr>
            <w:tcW w:w="1348" w:type="dxa"/>
          </w:tcPr>
          <w:p w14:paraId="278D366C" w14:textId="77777777" w:rsidR="00D90118" w:rsidRPr="006626D0" w:rsidRDefault="00D90118" w:rsidP="00D21C6A">
            <w:pPr>
              <w:jc w:val="center"/>
              <w:rPr>
                <w:b/>
              </w:rPr>
            </w:pPr>
            <w:r w:rsidRPr="006626D0">
              <w:rPr>
                <w:b/>
              </w:rPr>
              <w:t>2016</w:t>
            </w:r>
          </w:p>
        </w:tc>
        <w:tc>
          <w:tcPr>
            <w:tcW w:w="1365" w:type="dxa"/>
          </w:tcPr>
          <w:p w14:paraId="6F6D9204" w14:textId="77777777" w:rsidR="00D90118" w:rsidRPr="00A07EEE" w:rsidRDefault="00D90118" w:rsidP="00D21C6A">
            <w:r w:rsidRPr="00A07EEE">
              <w:t>ΓΓΕΤ</w:t>
            </w:r>
          </w:p>
        </w:tc>
        <w:tc>
          <w:tcPr>
            <w:tcW w:w="0" w:type="auto"/>
            <w:vAlign w:val="center"/>
          </w:tcPr>
          <w:p w14:paraId="598799EA"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42288697" w14:textId="77777777" w:rsidR="00D90118" w:rsidRPr="00735DA4" w:rsidRDefault="00D90118" w:rsidP="00D21C6A">
            <w:pPr>
              <w:jc w:val="center"/>
              <w:rPr>
                <w:color w:val="800000"/>
              </w:rPr>
            </w:pPr>
          </w:p>
        </w:tc>
        <w:tc>
          <w:tcPr>
            <w:tcW w:w="0" w:type="auto"/>
            <w:vAlign w:val="center"/>
          </w:tcPr>
          <w:p w14:paraId="27C02DDE" w14:textId="77777777" w:rsidR="00D90118" w:rsidRPr="00735DA4" w:rsidRDefault="00D90118" w:rsidP="00D21C6A">
            <w:pPr>
              <w:jc w:val="center"/>
              <w:rPr>
                <w:color w:val="800000"/>
              </w:rPr>
            </w:pPr>
          </w:p>
        </w:tc>
        <w:tc>
          <w:tcPr>
            <w:tcW w:w="0" w:type="auto"/>
            <w:vAlign w:val="center"/>
          </w:tcPr>
          <w:p w14:paraId="12AC5D6A" w14:textId="77777777" w:rsidR="00D90118" w:rsidRPr="00735DA4" w:rsidRDefault="00D90118" w:rsidP="00D21C6A">
            <w:pPr>
              <w:jc w:val="center"/>
              <w:rPr>
                <w:color w:val="800000"/>
              </w:rPr>
            </w:pPr>
          </w:p>
        </w:tc>
        <w:tc>
          <w:tcPr>
            <w:tcW w:w="0" w:type="auto"/>
          </w:tcPr>
          <w:p w14:paraId="79887516" w14:textId="77777777" w:rsidR="00D90118" w:rsidRPr="00735DA4" w:rsidRDefault="00D90118" w:rsidP="00D21C6A">
            <w:pPr>
              <w:jc w:val="center"/>
              <w:rPr>
                <w:color w:val="800000"/>
              </w:rPr>
            </w:pPr>
            <w:r w:rsidRPr="00735DA4">
              <w:rPr>
                <w:color w:val="800000"/>
                <w:sz w:val="22"/>
                <w:szCs w:val="22"/>
              </w:rPr>
              <w:t>√</w:t>
            </w:r>
          </w:p>
        </w:tc>
        <w:tc>
          <w:tcPr>
            <w:tcW w:w="0" w:type="auto"/>
          </w:tcPr>
          <w:p w14:paraId="0300B512" w14:textId="77777777" w:rsidR="00D90118" w:rsidRPr="00735DA4" w:rsidRDefault="00D90118" w:rsidP="00D21C6A">
            <w:pPr>
              <w:jc w:val="center"/>
              <w:rPr>
                <w:color w:val="800000"/>
              </w:rPr>
            </w:pPr>
            <w:r w:rsidRPr="00735DA4">
              <w:rPr>
                <w:color w:val="800000"/>
                <w:sz w:val="22"/>
                <w:szCs w:val="22"/>
              </w:rPr>
              <w:t>√</w:t>
            </w:r>
          </w:p>
        </w:tc>
        <w:tc>
          <w:tcPr>
            <w:tcW w:w="0" w:type="auto"/>
          </w:tcPr>
          <w:p w14:paraId="4D2F328E" w14:textId="77777777" w:rsidR="00D90118" w:rsidRPr="00735DA4" w:rsidRDefault="00D90118" w:rsidP="00D21C6A">
            <w:pPr>
              <w:jc w:val="center"/>
              <w:rPr>
                <w:color w:val="800000"/>
              </w:rPr>
            </w:pPr>
            <w:r w:rsidRPr="00735DA4">
              <w:rPr>
                <w:color w:val="800000"/>
                <w:sz w:val="22"/>
                <w:szCs w:val="22"/>
              </w:rPr>
              <w:t>√</w:t>
            </w:r>
          </w:p>
        </w:tc>
        <w:tc>
          <w:tcPr>
            <w:tcW w:w="0" w:type="auto"/>
          </w:tcPr>
          <w:p w14:paraId="26B34237" w14:textId="77777777" w:rsidR="00D90118" w:rsidRPr="00735DA4" w:rsidRDefault="00D90118" w:rsidP="00D21C6A">
            <w:pPr>
              <w:jc w:val="center"/>
              <w:rPr>
                <w:color w:val="800000"/>
              </w:rPr>
            </w:pPr>
            <w:r w:rsidRPr="00735DA4">
              <w:rPr>
                <w:color w:val="800000"/>
                <w:sz w:val="22"/>
                <w:szCs w:val="22"/>
              </w:rPr>
              <w:t>√</w:t>
            </w:r>
          </w:p>
        </w:tc>
        <w:tc>
          <w:tcPr>
            <w:tcW w:w="0" w:type="auto"/>
          </w:tcPr>
          <w:p w14:paraId="45FFED2E" w14:textId="77777777" w:rsidR="00D90118" w:rsidRPr="00735DA4" w:rsidRDefault="00D90118" w:rsidP="00D21C6A">
            <w:pPr>
              <w:jc w:val="center"/>
              <w:rPr>
                <w:color w:val="800000"/>
              </w:rPr>
            </w:pPr>
            <w:r w:rsidRPr="00735DA4">
              <w:rPr>
                <w:color w:val="800000"/>
                <w:sz w:val="22"/>
                <w:szCs w:val="22"/>
              </w:rPr>
              <w:t>√</w:t>
            </w:r>
          </w:p>
        </w:tc>
        <w:tc>
          <w:tcPr>
            <w:tcW w:w="0" w:type="auto"/>
          </w:tcPr>
          <w:p w14:paraId="063AD635" w14:textId="77777777" w:rsidR="00D90118" w:rsidRPr="00735DA4" w:rsidRDefault="00D90118" w:rsidP="00D21C6A">
            <w:pPr>
              <w:jc w:val="center"/>
              <w:rPr>
                <w:color w:val="800000"/>
              </w:rPr>
            </w:pPr>
            <w:r w:rsidRPr="00735DA4">
              <w:rPr>
                <w:color w:val="800000"/>
                <w:sz w:val="22"/>
                <w:szCs w:val="22"/>
              </w:rPr>
              <w:t>√</w:t>
            </w:r>
          </w:p>
        </w:tc>
        <w:tc>
          <w:tcPr>
            <w:tcW w:w="0" w:type="auto"/>
          </w:tcPr>
          <w:p w14:paraId="1A38503A"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7D6A718C" w14:textId="77777777" w:rsidR="00D90118" w:rsidRPr="00735DA4" w:rsidRDefault="00D90118" w:rsidP="00D21C6A">
            <w:pPr>
              <w:jc w:val="center"/>
              <w:rPr>
                <w:color w:val="800000"/>
              </w:rPr>
            </w:pPr>
          </w:p>
        </w:tc>
      </w:tr>
      <w:tr w:rsidR="00D90118" w14:paraId="4E992F23" w14:textId="77777777" w:rsidTr="00735DA4">
        <w:tc>
          <w:tcPr>
            <w:tcW w:w="2570" w:type="dxa"/>
          </w:tcPr>
          <w:p w14:paraId="5BE8DF51" w14:textId="77777777" w:rsidR="00D90118" w:rsidRPr="00F1002D" w:rsidRDefault="00D90118" w:rsidP="00D21C6A">
            <w:pPr>
              <w:rPr>
                <w:i/>
              </w:rPr>
            </w:pPr>
            <w:r w:rsidRPr="00F1002D">
              <w:rPr>
                <w:i/>
              </w:rPr>
              <w:t>ERA-NETS 2018</w:t>
            </w:r>
          </w:p>
        </w:tc>
        <w:tc>
          <w:tcPr>
            <w:tcW w:w="1348" w:type="dxa"/>
          </w:tcPr>
          <w:p w14:paraId="0FCC1A0B" w14:textId="77777777" w:rsidR="00D90118" w:rsidRPr="006626D0" w:rsidRDefault="00D90118" w:rsidP="00D21C6A">
            <w:pPr>
              <w:jc w:val="center"/>
              <w:rPr>
                <w:b/>
              </w:rPr>
            </w:pPr>
            <w:r w:rsidRPr="006626D0">
              <w:rPr>
                <w:b/>
              </w:rPr>
              <w:t>2018</w:t>
            </w:r>
          </w:p>
        </w:tc>
        <w:tc>
          <w:tcPr>
            <w:tcW w:w="1365" w:type="dxa"/>
          </w:tcPr>
          <w:p w14:paraId="240FD5E4" w14:textId="77777777" w:rsidR="00D90118" w:rsidRPr="00A07EEE" w:rsidRDefault="00D90118" w:rsidP="00D21C6A">
            <w:r w:rsidRPr="00A07EEE">
              <w:t>ΓΓΕΤ</w:t>
            </w:r>
          </w:p>
        </w:tc>
        <w:tc>
          <w:tcPr>
            <w:tcW w:w="0" w:type="auto"/>
            <w:vAlign w:val="center"/>
          </w:tcPr>
          <w:p w14:paraId="0E8D40A8"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5BF622AE" w14:textId="77777777" w:rsidR="00D90118" w:rsidRPr="00735DA4" w:rsidRDefault="00D90118" w:rsidP="00D21C6A">
            <w:pPr>
              <w:jc w:val="center"/>
              <w:rPr>
                <w:color w:val="800000"/>
              </w:rPr>
            </w:pPr>
          </w:p>
        </w:tc>
        <w:tc>
          <w:tcPr>
            <w:tcW w:w="0" w:type="auto"/>
            <w:vAlign w:val="center"/>
          </w:tcPr>
          <w:p w14:paraId="0C9D4927" w14:textId="77777777" w:rsidR="00D90118" w:rsidRPr="00735DA4" w:rsidRDefault="00D90118" w:rsidP="00D21C6A">
            <w:pPr>
              <w:jc w:val="center"/>
              <w:rPr>
                <w:color w:val="800000"/>
              </w:rPr>
            </w:pPr>
          </w:p>
        </w:tc>
        <w:tc>
          <w:tcPr>
            <w:tcW w:w="0" w:type="auto"/>
            <w:vAlign w:val="center"/>
          </w:tcPr>
          <w:p w14:paraId="090C0BC7" w14:textId="77777777" w:rsidR="00D90118" w:rsidRPr="00735DA4" w:rsidRDefault="00D90118" w:rsidP="00D21C6A">
            <w:pPr>
              <w:jc w:val="center"/>
              <w:rPr>
                <w:color w:val="800000"/>
              </w:rPr>
            </w:pPr>
          </w:p>
        </w:tc>
        <w:tc>
          <w:tcPr>
            <w:tcW w:w="0" w:type="auto"/>
          </w:tcPr>
          <w:p w14:paraId="2E2C8405" w14:textId="77777777" w:rsidR="00D90118" w:rsidRPr="00735DA4" w:rsidRDefault="00D90118" w:rsidP="00D21C6A">
            <w:pPr>
              <w:jc w:val="center"/>
              <w:rPr>
                <w:color w:val="800000"/>
              </w:rPr>
            </w:pPr>
            <w:r w:rsidRPr="00735DA4">
              <w:rPr>
                <w:color w:val="800000"/>
                <w:sz w:val="22"/>
                <w:szCs w:val="22"/>
              </w:rPr>
              <w:t>√</w:t>
            </w:r>
          </w:p>
        </w:tc>
        <w:tc>
          <w:tcPr>
            <w:tcW w:w="0" w:type="auto"/>
          </w:tcPr>
          <w:p w14:paraId="7CD18C87" w14:textId="77777777" w:rsidR="00D90118" w:rsidRPr="00735DA4" w:rsidRDefault="00D90118" w:rsidP="00D21C6A">
            <w:pPr>
              <w:jc w:val="center"/>
              <w:rPr>
                <w:color w:val="800000"/>
              </w:rPr>
            </w:pPr>
            <w:r w:rsidRPr="00735DA4">
              <w:rPr>
                <w:color w:val="800000"/>
                <w:sz w:val="22"/>
                <w:szCs w:val="22"/>
              </w:rPr>
              <w:t>√</w:t>
            </w:r>
          </w:p>
        </w:tc>
        <w:tc>
          <w:tcPr>
            <w:tcW w:w="0" w:type="auto"/>
          </w:tcPr>
          <w:p w14:paraId="0E0919A5" w14:textId="77777777" w:rsidR="00D90118" w:rsidRPr="00735DA4" w:rsidRDefault="00D90118" w:rsidP="00D21C6A">
            <w:pPr>
              <w:jc w:val="center"/>
              <w:rPr>
                <w:color w:val="800000"/>
              </w:rPr>
            </w:pPr>
            <w:r w:rsidRPr="00735DA4">
              <w:rPr>
                <w:color w:val="800000"/>
                <w:sz w:val="22"/>
                <w:szCs w:val="22"/>
              </w:rPr>
              <w:t>√</w:t>
            </w:r>
          </w:p>
        </w:tc>
        <w:tc>
          <w:tcPr>
            <w:tcW w:w="0" w:type="auto"/>
          </w:tcPr>
          <w:p w14:paraId="0E299980" w14:textId="77777777" w:rsidR="00D90118" w:rsidRPr="00735DA4" w:rsidRDefault="00D90118" w:rsidP="00D21C6A">
            <w:pPr>
              <w:jc w:val="center"/>
              <w:rPr>
                <w:color w:val="800000"/>
              </w:rPr>
            </w:pPr>
            <w:r w:rsidRPr="00735DA4">
              <w:rPr>
                <w:color w:val="800000"/>
                <w:sz w:val="22"/>
                <w:szCs w:val="22"/>
              </w:rPr>
              <w:t>√</w:t>
            </w:r>
          </w:p>
        </w:tc>
        <w:tc>
          <w:tcPr>
            <w:tcW w:w="0" w:type="auto"/>
          </w:tcPr>
          <w:p w14:paraId="6CF26CB5" w14:textId="77777777" w:rsidR="00D90118" w:rsidRPr="00735DA4" w:rsidRDefault="00D90118" w:rsidP="00D21C6A">
            <w:pPr>
              <w:jc w:val="center"/>
              <w:rPr>
                <w:color w:val="800000"/>
              </w:rPr>
            </w:pPr>
            <w:r w:rsidRPr="00735DA4">
              <w:rPr>
                <w:color w:val="800000"/>
                <w:sz w:val="22"/>
                <w:szCs w:val="22"/>
              </w:rPr>
              <w:t>√</w:t>
            </w:r>
          </w:p>
        </w:tc>
        <w:tc>
          <w:tcPr>
            <w:tcW w:w="0" w:type="auto"/>
          </w:tcPr>
          <w:p w14:paraId="2B415836" w14:textId="77777777" w:rsidR="00D90118" w:rsidRPr="00735DA4" w:rsidRDefault="00D90118" w:rsidP="00D21C6A">
            <w:pPr>
              <w:jc w:val="center"/>
              <w:rPr>
                <w:color w:val="800000"/>
              </w:rPr>
            </w:pPr>
            <w:r w:rsidRPr="00735DA4">
              <w:rPr>
                <w:color w:val="800000"/>
                <w:sz w:val="22"/>
                <w:szCs w:val="22"/>
              </w:rPr>
              <w:t>√</w:t>
            </w:r>
          </w:p>
        </w:tc>
        <w:tc>
          <w:tcPr>
            <w:tcW w:w="0" w:type="auto"/>
          </w:tcPr>
          <w:p w14:paraId="04E1DE39"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6816D293" w14:textId="77777777" w:rsidR="00D90118" w:rsidRPr="00735DA4" w:rsidRDefault="00D90118" w:rsidP="00D21C6A">
            <w:pPr>
              <w:jc w:val="center"/>
              <w:rPr>
                <w:color w:val="800000"/>
              </w:rPr>
            </w:pPr>
          </w:p>
        </w:tc>
      </w:tr>
      <w:tr w:rsidR="00D90118" w14:paraId="47F18A96" w14:textId="77777777" w:rsidTr="00735DA4">
        <w:tc>
          <w:tcPr>
            <w:tcW w:w="2570" w:type="dxa"/>
          </w:tcPr>
          <w:p w14:paraId="65B23478" w14:textId="77777777" w:rsidR="00D90118" w:rsidRPr="00F1002D" w:rsidRDefault="00D90118" w:rsidP="00D21C6A">
            <w:pPr>
              <w:jc w:val="left"/>
              <w:rPr>
                <w:i/>
                <w:sz w:val="16"/>
                <w:szCs w:val="16"/>
              </w:rPr>
            </w:pPr>
            <w:r w:rsidRPr="00F1002D">
              <w:rPr>
                <w:i/>
                <w:sz w:val="16"/>
                <w:szCs w:val="16"/>
              </w:rPr>
              <w:t>Διμερής Ε&amp;Τ Συνεργασία Ελλάδα-Γερμανία</w:t>
            </w:r>
          </w:p>
        </w:tc>
        <w:tc>
          <w:tcPr>
            <w:tcW w:w="1348" w:type="dxa"/>
          </w:tcPr>
          <w:p w14:paraId="0093C8DF" w14:textId="77777777" w:rsidR="00D90118" w:rsidRPr="006626D0" w:rsidRDefault="00D90118" w:rsidP="00D21C6A">
            <w:pPr>
              <w:jc w:val="center"/>
              <w:rPr>
                <w:b/>
              </w:rPr>
            </w:pPr>
            <w:r w:rsidRPr="006626D0">
              <w:rPr>
                <w:b/>
              </w:rPr>
              <w:t>2016</w:t>
            </w:r>
          </w:p>
        </w:tc>
        <w:tc>
          <w:tcPr>
            <w:tcW w:w="1365" w:type="dxa"/>
          </w:tcPr>
          <w:p w14:paraId="408DCE5B" w14:textId="77777777" w:rsidR="00D90118" w:rsidRPr="00A07EEE" w:rsidRDefault="00D90118" w:rsidP="00D21C6A">
            <w:r w:rsidRPr="00A07EEE">
              <w:t>ΓΓΕΤ</w:t>
            </w:r>
          </w:p>
        </w:tc>
        <w:tc>
          <w:tcPr>
            <w:tcW w:w="0" w:type="auto"/>
            <w:vAlign w:val="center"/>
          </w:tcPr>
          <w:p w14:paraId="1B324D82"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tcPr>
          <w:p w14:paraId="73D42800" w14:textId="77777777" w:rsidR="00D90118" w:rsidRPr="00735DA4" w:rsidRDefault="00D90118" w:rsidP="00D21C6A">
            <w:pPr>
              <w:jc w:val="center"/>
              <w:rPr>
                <w:color w:val="800000"/>
              </w:rPr>
            </w:pPr>
            <w:r w:rsidRPr="00735DA4">
              <w:rPr>
                <w:color w:val="800000"/>
                <w:sz w:val="22"/>
                <w:szCs w:val="22"/>
              </w:rPr>
              <w:t>√</w:t>
            </w:r>
          </w:p>
        </w:tc>
        <w:tc>
          <w:tcPr>
            <w:tcW w:w="0" w:type="auto"/>
          </w:tcPr>
          <w:p w14:paraId="2D0F758C" w14:textId="77777777" w:rsidR="00D90118" w:rsidRPr="00735DA4" w:rsidRDefault="00D90118" w:rsidP="00D21C6A">
            <w:pPr>
              <w:jc w:val="center"/>
              <w:rPr>
                <w:color w:val="800000"/>
              </w:rPr>
            </w:pPr>
            <w:r w:rsidRPr="00735DA4">
              <w:rPr>
                <w:color w:val="800000"/>
                <w:sz w:val="22"/>
                <w:szCs w:val="22"/>
              </w:rPr>
              <w:t>√</w:t>
            </w:r>
          </w:p>
        </w:tc>
        <w:tc>
          <w:tcPr>
            <w:tcW w:w="0" w:type="auto"/>
          </w:tcPr>
          <w:p w14:paraId="451D44EA" w14:textId="77777777" w:rsidR="00D90118" w:rsidRPr="00735DA4" w:rsidRDefault="00D90118" w:rsidP="00D21C6A">
            <w:pPr>
              <w:jc w:val="center"/>
              <w:rPr>
                <w:color w:val="800000"/>
              </w:rPr>
            </w:pPr>
            <w:r w:rsidRPr="00735DA4">
              <w:rPr>
                <w:color w:val="800000"/>
                <w:sz w:val="22"/>
                <w:szCs w:val="22"/>
              </w:rPr>
              <w:t>√</w:t>
            </w:r>
          </w:p>
        </w:tc>
        <w:tc>
          <w:tcPr>
            <w:tcW w:w="0" w:type="auto"/>
          </w:tcPr>
          <w:p w14:paraId="0EE9A2AC" w14:textId="77777777" w:rsidR="00D90118" w:rsidRPr="00735DA4" w:rsidRDefault="00D90118" w:rsidP="00D21C6A">
            <w:pPr>
              <w:jc w:val="center"/>
              <w:rPr>
                <w:color w:val="800000"/>
              </w:rPr>
            </w:pPr>
            <w:r w:rsidRPr="00735DA4">
              <w:rPr>
                <w:color w:val="800000"/>
                <w:sz w:val="22"/>
                <w:szCs w:val="22"/>
              </w:rPr>
              <w:t>√</w:t>
            </w:r>
          </w:p>
        </w:tc>
        <w:tc>
          <w:tcPr>
            <w:tcW w:w="0" w:type="auto"/>
          </w:tcPr>
          <w:p w14:paraId="341255E9" w14:textId="77777777" w:rsidR="00D90118" w:rsidRPr="00735DA4" w:rsidRDefault="00D90118" w:rsidP="00D21C6A">
            <w:pPr>
              <w:jc w:val="center"/>
              <w:rPr>
                <w:color w:val="800000"/>
              </w:rPr>
            </w:pPr>
            <w:r w:rsidRPr="00735DA4">
              <w:rPr>
                <w:color w:val="800000"/>
                <w:sz w:val="22"/>
                <w:szCs w:val="22"/>
              </w:rPr>
              <w:t>√</w:t>
            </w:r>
          </w:p>
        </w:tc>
        <w:tc>
          <w:tcPr>
            <w:tcW w:w="0" w:type="auto"/>
          </w:tcPr>
          <w:p w14:paraId="3E7692AD" w14:textId="77777777" w:rsidR="00D90118" w:rsidRPr="00735DA4" w:rsidRDefault="00D90118" w:rsidP="00D21C6A">
            <w:pPr>
              <w:jc w:val="center"/>
              <w:rPr>
                <w:color w:val="800000"/>
              </w:rPr>
            </w:pPr>
            <w:r w:rsidRPr="00735DA4">
              <w:rPr>
                <w:color w:val="800000"/>
                <w:sz w:val="22"/>
                <w:szCs w:val="22"/>
              </w:rPr>
              <w:t>√</w:t>
            </w:r>
          </w:p>
        </w:tc>
        <w:tc>
          <w:tcPr>
            <w:tcW w:w="0" w:type="auto"/>
          </w:tcPr>
          <w:p w14:paraId="65E5D82D" w14:textId="77777777" w:rsidR="00D90118" w:rsidRPr="00735DA4" w:rsidRDefault="00D90118" w:rsidP="00D21C6A">
            <w:pPr>
              <w:jc w:val="center"/>
              <w:rPr>
                <w:color w:val="800000"/>
              </w:rPr>
            </w:pPr>
            <w:r w:rsidRPr="00735DA4">
              <w:rPr>
                <w:color w:val="800000"/>
                <w:sz w:val="22"/>
                <w:szCs w:val="22"/>
              </w:rPr>
              <w:t>√</w:t>
            </w:r>
          </w:p>
        </w:tc>
        <w:tc>
          <w:tcPr>
            <w:tcW w:w="0" w:type="auto"/>
          </w:tcPr>
          <w:p w14:paraId="3DA334AD" w14:textId="77777777" w:rsidR="00D90118" w:rsidRPr="00735DA4" w:rsidRDefault="00D90118" w:rsidP="00D21C6A">
            <w:pPr>
              <w:jc w:val="center"/>
              <w:rPr>
                <w:color w:val="800000"/>
              </w:rPr>
            </w:pPr>
            <w:r w:rsidRPr="00735DA4">
              <w:rPr>
                <w:color w:val="800000"/>
                <w:sz w:val="22"/>
                <w:szCs w:val="22"/>
              </w:rPr>
              <w:t>√</w:t>
            </w:r>
          </w:p>
        </w:tc>
        <w:tc>
          <w:tcPr>
            <w:tcW w:w="0" w:type="auto"/>
          </w:tcPr>
          <w:p w14:paraId="3928B421" w14:textId="77777777" w:rsidR="00D90118" w:rsidRPr="00735DA4" w:rsidRDefault="00D90118" w:rsidP="00D21C6A">
            <w:pPr>
              <w:jc w:val="center"/>
              <w:rPr>
                <w:color w:val="800000"/>
              </w:rPr>
            </w:pPr>
            <w:r w:rsidRPr="00735DA4">
              <w:rPr>
                <w:color w:val="800000"/>
                <w:sz w:val="22"/>
                <w:szCs w:val="22"/>
              </w:rPr>
              <w:t>√</w:t>
            </w:r>
          </w:p>
        </w:tc>
        <w:tc>
          <w:tcPr>
            <w:tcW w:w="0" w:type="auto"/>
          </w:tcPr>
          <w:p w14:paraId="69932350"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4CBE9F49" w14:textId="77777777" w:rsidR="00D90118" w:rsidRPr="00735DA4" w:rsidRDefault="00D90118" w:rsidP="00D21C6A">
            <w:pPr>
              <w:jc w:val="center"/>
              <w:rPr>
                <w:color w:val="800000"/>
              </w:rPr>
            </w:pPr>
          </w:p>
        </w:tc>
      </w:tr>
      <w:tr w:rsidR="00D90118" w14:paraId="7FCC1FA7" w14:textId="77777777" w:rsidTr="00735DA4">
        <w:tc>
          <w:tcPr>
            <w:tcW w:w="2570" w:type="dxa"/>
          </w:tcPr>
          <w:p w14:paraId="185E78E2" w14:textId="77777777" w:rsidR="00D90118" w:rsidRPr="00F1002D" w:rsidRDefault="00D90118" w:rsidP="00D21C6A">
            <w:pPr>
              <w:jc w:val="left"/>
              <w:rPr>
                <w:i/>
                <w:sz w:val="16"/>
                <w:szCs w:val="16"/>
              </w:rPr>
            </w:pPr>
            <w:r w:rsidRPr="00F1002D">
              <w:rPr>
                <w:i/>
                <w:sz w:val="16"/>
                <w:szCs w:val="16"/>
              </w:rPr>
              <w:t>Διμερής Ε&amp;Τ Συνεργασία Ελλάδα-Ρωσία</w:t>
            </w:r>
          </w:p>
        </w:tc>
        <w:tc>
          <w:tcPr>
            <w:tcW w:w="1348" w:type="dxa"/>
          </w:tcPr>
          <w:p w14:paraId="7B502826" w14:textId="77777777" w:rsidR="00D90118" w:rsidRPr="006626D0" w:rsidRDefault="00D90118" w:rsidP="00D21C6A">
            <w:pPr>
              <w:jc w:val="center"/>
              <w:rPr>
                <w:b/>
              </w:rPr>
            </w:pPr>
            <w:r w:rsidRPr="006626D0">
              <w:rPr>
                <w:b/>
              </w:rPr>
              <w:t>2016</w:t>
            </w:r>
          </w:p>
        </w:tc>
        <w:tc>
          <w:tcPr>
            <w:tcW w:w="1365" w:type="dxa"/>
          </w:tcPr>
          <w:p w14:paraId="4D2146E5" w14:textId="77777777" w:rsidR="00D90118" w:rsidRPr="00A07EEE" w:rsidRDefault="00D90118" w:rsidP="00D21C6A">
            <w:r w:rsidRPr="00A07EEE">
              <w:t>ΓΓΕΤ</w:t>
            </w:r>
          </w:p>
        </w:tc>
        <w:tc>
          <w:tcPr>
            <w:tcW w:w="0" w:type="auto"/>
            <w:vAlign w:val="center"/>
          </w:tcPr>
          <w:p w14:paraId="10A99A3C"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tcPr>
          <w:p w14:paraId="558E9782" w14:textId="77777777" w:rsidR="00D90118" w:rsidRPr="00735DA4" w:rsidRDefault="00D90118" w:rsidP="00D21C6A">
            <w:pPr>
              <w:jc w:val="center"/>
              <w:rPr>
                <w:color w:val="800000"/>
              </w:rPr>
            </w:pPr>
            <w:r w:rsidRPr="00735DA4">
              <w:rPr>
                <w:color w:val="800000"/>
                <w:sz w:val="22"/>
                <w:szCs w:val="22"/>
              </w:rPr>
              <w:t>√</w:t>
            </w:r>
          </w:p>
        </w:tc>
        <w:tc>
          <w:tcPr>
            <w:tcW w:w="0" w:type="auto"/>
          </w:tcPr>
          <w:p w14:paraId="5A573A68" w14:textId="77777777" w:rsidR="00D90118" w:rsidRPr="00735DA4" w:rsidRDefault="00D90118" w:rsidP="00D21C6A">
            <w:pPr>
              <w:jc w:val="center"/>
              <w:rPr>
                <w:color w:val="800000"/>
              </w:rPr>
            </w:pPr>
            <w:r w:rsidRPr="00735DA4">
              <w:rPr>
                <w:color w:val="800000"/>
                <w:sz w:val="22"/>
                <w:szCs w:val="22"/>
              </w:rPr>
              <w:t>√</w:t>
            </w:r>
          </w:p>
        </w:tc>
        <w:tc>
          <w:tcPr>
            <w:tcW w:w="0" w:type="auto"/>
          </w:tcPr>
          <w:p w14:paraId="5F687C00" w14:textId="77777777" w:rsidR="00D90118" w:rsidRPr="00735DA4" w:rsidRDefault="00D90118" w:rsidP="00D21C6A">
            <w:pPr>
              <w:jc w:val="center"/>
              <w:rPr>
                <w:color w:val="800000"/>
              </w:rPr>
            </w:pPr>
            <w:r w:rsidRPr="00735DA4">
              <w:rPr>
                <w:color w:val="800000"/>
                <w:sz w:val="22"/>
                <w:szCs w:val="22"/>
              </w:rPr>
              <w:t>√</w:t>
            </w:r>
          </w:p>
        </w:tc>
        <w:tc>
          <w:tcPr>
            <w:tcW w:w="0" w:type="auto"/>
          </w:tcPr>
          <w:p w14:paraId="4669EC22" w14:textId="77777777" w:rsidR="00D90118" w:rsidRPr="00735DA4" w:rsidRDefault="00D90118" w:rsidP="00D21C6A">
            <w:pPr>
              <w:jc w:val="center"/>
              <w:rPr>
                <w:color w:val="800000"/>
              </w:rPr>
            </w:pPr>
            <w:r w:rsidRPr="00735DA4">
              <w:rPr>
                <w:color w:val="800000"/>
                <w:sz w:val="22"/>
                <w:szCs w:val="22"/>
              </w:rPr>
              <w:t>√</w:t>
            </w:r>
          </w:p>
        </w:tc>
        <w:tc>
          <w:tcPr>
            <w:tcW w:w="0" w:type="auto"/>
          </w:tcPr>
          <w:p w14:paraId="6894AFE9" w14:textId="77777777" w:rsidR="00D90118" w:rsidRPr="00735DA4" w:rsidRDefault="00D90118" w:rsidP="00D21C6A">
            <w:pPr>
              <w:jc w:val="center"/>
              <w:rPr>
                <w:color w:val="800000"/>
              </w:rPr>
            </w:pPr>
            <w:r w:rsidRPr="00735DA4">
              <w:rPr>
                <w:color w:val="800000"/>
                <w:sz w:val="22"/>
                <w:szCs w:val="22"/>
              </w:rPr>
              <w:t>√</w:t>
            </w:r>
          </w:p>
        </w:tc>
        <w:tc>
          <w:tcPr>
            <w:tcW w:w="0" w:type="auto"/>
          </w:tcPr>
          <w:p w14:paraId="2B2D7C80" w14:textId="77777777" w:rsidR="00D90118" w:rsidRPr="00735DA4" w:rsidRDefault="00D90118" w:rsidP="00D21C6A">
            <w:pPr>
              <w:jc w:val="center"/>
              <w:rPr>
                <w:color w:val="800000"/>
              </w:rPr>
            </w:pPr>
            <w:r w:rsidRPr="00735DA4">
              <w:rPr>
                <w:color w:val="800000"/>
                <w:sz w:val="22"/>
                <w:szCs w:val="22"/>
              </w:rPr>
              <w:t>√</w:t>
            </w:r>
          </w:p>
        </w:tc>
        <w:tc>
          <w:tcPr>
            <w:tcW w:w="0" w:type="auto"/>
          </w:tcPr>
          <w:p w14:paraId="0B0E01D6" w14:textId="77777777" w:rsidR="00D90118" w:rsidRPr="00735DA4" w:rsidRDefault="00D90118" w:rsidP="00D21C6A">
            <w:pPr>
              <w:jc w:val="center"/>
              <w:rPr>
                <w:color w:val="800000"/>
              </w:rPr>
            </w:pPr>
            <w:r w:rsidRPr="00735DA4">
              <w:rPr>
                <w:color w:val="800000"/>
                <w:sz w:val="22"/>
                <w:szCs w:val="22"/>
              </w:rPr>
              <w:t>√</w:t>
            </w:r>
          </w:p>
        </w:tc>
        <w:tc>
          <w:tcPr>
            <w:tcW w:w="0" w:type="auto"/>
          </w:tcPr>
          <w:p w14:paraId="33691F39" w14:textId="77777777" w:rsidR="00D90118" w:rsidRPr="00735DA4" w:rsidRDefault="00D90118" w:rsidP="00D21C6A">
            <w:pPr>
              <w:jc w:val="center"/>
              <w:rPr>
                <w:color w:val="800000"/>
              </w:rPr>
            </w:pPr>
            <w:r w:rsidRPr="00735DA4">
              <w:rPr>
                <w:color w:val="800000"/>
                <w:sz w:val="22"/>
                <w:szCs w:val="22"/>
              </w:rPr>
              <w:t>√</w:t>
            </w:r>
          </w:p>
        </w:tc>
        <w:tc>
          <w:tcPr>
            <w:tcW w:w="0" w:type="auto"/>
          </w:tcPr>
          <w:p w14:paraId="62DF9530" w14:textId="77777777" w:rsidR="00D90118" w:rsidRPr="00735DA4" w:rsidRDefault="00D90118" w:rsidP="00D21C6A">
            <w:pPr>
              <w:jc w:val="center"/>
              <w:rPr>
                <w:color w:val="800000"/>
              </w:rPr>
            </w:pPr>
            <w:r w:rsidRPr="00735DA4">
              <w:rPr>
                <w:color w:val="800000"/>
                <w:sz w:val="22"/>
                <w:szCs w:val="22"/>
              </w:rPr>
              <w:t>√</w:t>
            </w:r>
          </w:p>
        </w:tc>
        <w:tc>
          <w:tcPr>
            <w:tcW w:w="0" w:type="auto"/>
          </w:tcPr>
          <w:p w14:paraId="366B3738"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4A321E95" w14:textId="77777777" w:rsidR="00D90118" w:rsidRPr="00735DA4" w:rsidRDefault="00D90118" w:rsidP="00D21C6A">
            <w:pPr>
              <w:jc w:val="center"/>
              <w:rPr>
                <w:color w:val="800000"/>
              </w:rPr>
            </w:pPr>
          </w:p>
        </w:tc>
      </w:tr>
      <w:tr w:rsidR="00D90118" w14:paraId="6E20E131" w14:textId="77777777" w:rsidTr="00735DA4">
        <w:tc>
          <w:tcPr>
            <w:tcW w:w="2570" w:type="dxa"/>
          </w:tcPr>
          <w:p w14:paraId="54E74E97" w14:textId="77777777" w:rsidR="00D90118" w:rsidRPr="00F1002D" w:rsidRDefault="00D90118" w:rsidP="00D21C6A">
            <w:pPr>
              <w:jc w:val="left"/>
              <w:rPr>
                <w:i/>
                <w:sz w:val="16"/>
                <w:szCs w:val="16"/>
              </w:rPr>
            </w:pPr>
            <w:r w:rsidRPr="00F1002D">
              <w:rPr>
                <w:i/>
                <w:sz w:val="16"/>
                <w:szCs w:val="16"/>
              </w:rPr>
              <w:t>Διμερής Ε&amp;Τ Συνεργασία Ελλάδα-Ισραήλ</w:t>
            </w:r>
          </w:p>
        </w:tc>
        <w:tc>
          <w:tcPr>
            <w:tcW w:w="1348" w:type="dxa"/>
          </w:tcPr>
          <w:p w14:paraId="48BED9B0" w14:textId="77777777" w:rsidR="00D90118" w:rsidRPr="006626D0" w:rsidRDefault="00D90118" w:rsidP="00D21C6A">
            <w:pPr>
              <w:jc w:val="center"/>
              <w:rPr>
                <w:b/>
              </w:rPr>
            </w:pPr>
            <w:r w:rsidRPr="006626D0">
              <w:rPr>
                <w:b/>
              </w:rPr>
              <w:t>2017</w:t>
            </w:r>
          </w:p>
        </w:tc>
        <w:tc>
          <w:tcPr>
            <w:tcW w:w="1365" w:type="dxa"/>
          </w:tcPr>
          <w:p w14:paraId="5CB1FED1" w14:textId="77777777" w:rsidR="00D90118" w:rsidRPr="00A07EEE" w:rsidRDefault="00D90118" w:rsidP="00D21C6A">
            <w:r w:rsidRPr="00A07EEE">
              <w:t>ΓΓΕΤ</w:t>
            </w:r>
          </w:p>
        </w:tc>
        <w:tc>
          <w:tcPr>
            <w:tcW w:w="0" w:type="auto"/>
            <w:vAlign w:val="center"/>
          </w:tcPr>
          <w:p w14:paraId="33897583"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tcPr>
          <w:p w14:paraId="3B6DF769" w14:textId="77777777" w:rsidR="00D90118" w:rsidRPr="00735DA4" w:rsidRDefault="00D90118" w:rsidP="00D21C6A">
            <w:pPr>
              <w:jc w:val="center"/>
              <w:rPr>
                <w:color w:val="800000"/>
              </w:rPr>
            </w:pPr>
            <w:r w:rsidRPr="00735DA4">
              <w:rPr>
                <w:color w:val="800000"/>
                <w:sz w:val="22"/>
                <w:szCs w:val="22"/>
              </w:rPr>
              <w:t>√</w:t>
            </w:r>
          </w:p>
        </w:tc>
        <w:tc>
          <w:tcPr>
            <w:tcW w:w="0" w:type="auto"/>
          </w:tcPr>
          <w:p w14:paraId="04B9424D" w14:textId="77777777" w:rsidR="00D90118" w:rsidRPr="00735DA4" w:rsidRDefault="00D90118" w:rsidP="00D21C6A">
            <w:pPr>
              <w:jc w:val="center"/>
              <w:rPr>
                <w:color w:val="800000"/>
              </w:rPr>
            </w:pPr>
            <w:r w:rsidRPr="00735DA4">
              <w:rPr>
                <w:color w:val="800000"/>
                <w:sz w:val="22"/>
                <w:szCs w:val="22"/>
              </w:rPr>
              <w:t>√</w:t>
            </w:r>
          </w:p>
        </w:tc>
        <w:tc>
          <w:tcPr>
            <w:tcW w:w="0" w:type="auto"/>
          </w:tcPr>
          <w:p w14:paraId="52313E91" w14:textId="77777777" w:rsidR="00D90118" w:rsidRPr="00735DA4" w:rsidRDefault="00D90118" w:rsidP="00D21C6A">
            <w:pPr>
              <w:jc w:val="center"/>
              <w:rPr>
                <w:color w:val="800000"/>
              </w:rPr>
            </w:pPr>
            <w:r w:rsidRPr="00735DA4">
              <w:rPr>
                <w:color w:val="800000"/>
                <w:sz w:val="22"/>
                <w:szCs w:val="22"/>
              </w:rPr>
              <w:t>√</w:t>
            </w:r>
          </w:p>
        </w:tc>
        <w:tc>
          <w:tcPr>
            <w:tcW w:w="0" w:type="auto"/>
          </w:tcPr>
          <w:p w14:paraId="463A1C2A" w14:textId="77777777" w:rsidR="00D90118" w:rsidRPr="00735DA4" w:rsidRDefault="00D90118" w:rsidP="00D21C6A">
            <w:pPr>
              <w:jc w:val="center"/>
              <w:rPr>
                <w:color w:val="800000"/>
              </w:rPr>
            </w:pPr>
            <w:r w:rsidRPr="00735DA4">
              <w:rPr>
                <w:color w:val="800000"/>
                <w:sz w:val="22"/>
                <w:szCs w:val="22"/>
              </w:rPr>
              <w:t>√</w:t>
            </w:r>
          </w:p>
        </w:tc>
        <w:tc>
          <w:tcPr>
            <w:tcW w:w="0" w:type="auto"/>
          </w:tcPr>
          <w:p w14:paraId="3E5748C8" w14:textId="77777777" w:rsidR="00D90118" w:rsidRPr="00735DA4" w:rsidRDefault="00D90118" w:rsidP="00D21C6A">
            <w:pPr>
              <w:jc w:val="center"/>
              <w:rPr>
                <w:color w:val="800000"/>
              </w:rPr>
            </w:pPr>
            <w:r w:rsidRPr="00735DA4">
              <w:rPr>
                <w:color w:val="800000"/>
                <w:sz w:val="22"/>
                <w:szCs w:val="22"/>
              </w:rPr>
              <w:t>√</w:t>
            </w:r>
          </w:p>
        </w:tc>
        <w:tc>
          <w:tcPr>
            <w:tcW w:w="0" w:type="auto"/>
          </w:tcPr>
          <w:p w14:paraId="358FEC1C" w14:textId="77777777" w:rsidR="00D90118" w:rsidRPr="00735DA4" w:rsidRDefault="00D90118" w:rsidP="00D21C6A">
            <w:pPr>
              <w:jc w:val="center"/>
              <w:rPr>
                <w:color w:val="800000"/>
              </w:rPr>
            </w:pPr>
            <w:r w:rsidRPr="00735DA4">
              <w:rPr>
                <w:color w:val="800000"/>
                <w:sz w:val="22"/>
                <w:szCs w:val="22"/>
              </w:rPr>
              <w:t>√</w:t>
            </w:r>
          </w:p>
        </w:tc>
        <w:tc>
          <w:tcPr>
            <w:tcW w:w="0" w:type="auto"/>
          </w:tcPr>
          <w:p w14:paraId="6D61C4A3" w14:textId="77777777" w:rsidR="00D90118" w:rsidRPr="00735DA4" w:rsidRDefault="00D90118" w:rsidP="00D21C6A">
            <w:pPr>
              <w:jc w:val="center"/>
              <w:rPr>
                <w:color w:val="800000"/>
              </w:rPr>
            </w:pPr>
            <w:r w:rsidRPr="00735DA4">
              <w:rPr>
                <w:color w:val="800000"/>
                <w:sz w:val="22"/>
                <w:szCs w:val="22"/>
              </w:rPr>
              <w:t>√</w:t>
            </w:r>
          </w:p>
        </w:tc>
        <w:tc>
          <w:tcPr>
            <w:tcW w:w="0" w:type="auto"/>
          </w:tcPr>
          <w:p w14:paraId="5AC19294" w14:textId="77777777" w:rsidR="00D90118" w:rsidRPr="00735DA4" w:rsidRDefault="00D90118" w:rsidP="00D21C6A">
            <w:pPr>
              <w:jc w:val="center"/>
              <w:rPr>
                <w:color w:val="800000"/>
              </w:rPr>
            </w:pPr>
            <w:r w:rsidRPr="00735DA4">
              <w:rPr>
                <w:color w:val="800000"/>
                <w:sz w:val="22"/>
                <w:szCs w:val="22"/>
              </w:rPr>
              <w:t>√</w:t>
            </w:r>
          </w:p>
        </w:tc>
        <w:tc>
          <w:tcPr>
            <w:tcW w:w="0" w:type="auto"/>
          </w:tcPr>
          <w:p w14:paraId="4F213139" w14:textId="77777777" w:rsidR="00D90118" w:rsidRPr="00735DA4" w:rsidRDefault="00D90118" w:rsidP="00D21C6A">
            <w:pPr>
              <w:jc w:val="center"/>
              <w:rPr>
                <w:color w:val="800000"/>
              </w:rPr>
            </w:pPr>
            <w:r w:rsidRPr="00735DA4">
              <w:rPr>
                <w:color w:val="800000"/>
                <w:sz w:val="22"/>
                <w:szCs w:val="22"/>
              </w:rPr>
              <w:t>√</w:t>
            </w:r>
          </w:p>
        </w:tc>
        <w:tc>
          <w:tcPr>
            <w:tcW w:w="0" w:type="auto"/>
          </w:tcPr>
          <w:p w14:paraId="476A4268"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52825C6F" w14:textId="77777777" w:rsidR="00D90118" w:rsidRPr="00735DA4" w:rsidRDefault="00D90118" w:rsidP="00D21C6A">
            <w:pPr>
              <w:jc w:val="center"/>
              <w:rPr>
                <w:color w:val="800000"/>
              </w:rPr>
            </w:pPr>
          </w:p>
        </w:tc>
      </w:tr>
      <w:tr w:rsidR="00D90118" w14:paraId="4A134802" w14:textId="77777777" w:rsidTr="00735DA4">
        <w:tc>
          <w:tcPr>
            <w:tcW w:w="2570" w:type="dxa"/>
          </w:tcPr>
          <w:p w14:paraId="7E6C10F4" w14:textId="77777777" w:rsidR="00D90118" w:rsidRPr="00F1002D" w:rsidRDefault="00D90118" w:rsidP="00D21C6A">
            <w:pPr>
              <w:jc w:val="left"/>
              <w:rPr>
                <w:i/>
                <w:sz w:val="16"/>
                <w:szCs w:val="16"/>
              </w:rPr>
            </w:pPr>
            <w:r w:rsidRPr="00F1002D">
              <w:rPr>
                <w:i/>
                <w:sz w:val="16"/>
                <w:szCs w:val="16"/>
              </w:rPr>
              <w:t>Ειδικές Δράσεις «ΥΔΑΤΟΚΑΛΛΙΕΡΓΕΙΕΣ» «ΒΙΟΜΗΧΑΝΙΚΑ ΥΛΙΚΑ» , «ΑΝΟΙΧΤΗ ΚΑΙΝΟΤΟΜΙΑ ΣΤΟΝ ΠΟΛΙΤΙΣΜΟ»’’</w:t>
            </w:r>
          </w:p>
        </w:tc>
        <w:tc>
          <w:tcPr>
            <w:tcW w:w="1348" w:type="dxa"/>
            <w:vAlign w:val="center"/>
          </w:tcPr>
          <w:p w14:paraId="12D36019" w14:textId="77777777" w:rsidR="00D90118" w:rsidRPr="006626D0" w:rsidRDefault="00D90118" w:rsidP="00D21C6A">
            <w:pPr>
              <w:jc w:val="center"/>
              <w:rPr>
                <w:b/>
              </w:rPr>
            </w:pPr>
            <w:r w:rsidRPr="006626D0">
              <w:rPr>
                <w:b/>
              </w:rPr>
              <w:t>2017</w:t>
            </w:r>
          </w:p>
        </w:tc>
        <w:tc>
          <w:tcPr>
            <w:tcW w:w="1365" w:type="dxa"/>
            <w:vAlign w:val="center"/>
          </w:tcPr>
          <w:p w14:paraId="521A5182" w14:textId="77777777" w:rsidR="00D90118" w:rsidRPr="00A07EEE" w:rsidRDefault="00D90118" w:rsidP="00D21C6A">
            <w:r w:rsidRPr="00A07EEE">
              <w:t>ΓΓΕΤ</w:t>
            </w:r>
          </w:p>
        </w:tc>
        <w:tc>
          <w:tcPr>
            <w:tcW w:w="0" w:type="auto"/>
            <w:vAlign w:val="center"/>
          </w:tcPr>
          <w:p w14:paraId="56B5CB6E"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174A27AF"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12E12D8F"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639D7747"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2AF5BEB4"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30A1C60D"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49379F36"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75E3C72F"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3E5D5DD8" w14:textId="77777777" w:rsidR="00D90118" w:rsidRPr="00735DA4" w:rsidRDefault="00D90118" w:rsidP="00D21C6A">
            <w:pPr>
              <w:jc w:val="center"/>
              <w:rPr>
                <w:color w:val="800000"/>
              </w:rPr>
            </w:pPr>
          </w:p>
        </w:tc>
        <w:tc>
          <w:tcPr>
            <w:tcW w:w="0" w:type="auto"/>
            <w:vAlign w:val="center"/>
          </w:tcPr>
          <w:p w14:paraId="1EE60668"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79907C93" w14:textId="77777777" w:rsidR="00D90118" w:rsidRPr="00735DA4" w:rsidRDefault="00D90118" w:rsidP="00D21C6A">
            <w:pPr>
              <w:jc w:val="center"/>
              <w:rPr>
                <w:color w:val="800000"/>
              </w:rPr>
            </w:pPr>
          </w:p>
        </w:tc>
        <w:tc>
          <w:tcPr>
            <w:tcW w:w="0" w:type="auto"/>
            <w:vAlign w:val="center"/>
          </w:tcPr>
          <w:p w14:paraId="37080778" w14:textId="77777777" w:rsidR="00D90118" w:rsidRPr="00735DA4" w:rsidRDefault="00D90118" w:rsidP="00D21C6A">
            <w:pPr>
              <w:jc w:val="center"/>
              <w:rPr>
                <w:color w:val="800000"/>
              </w:rPr>
            </w:pPr>
          </w:p>
        </w:tc>
      </w:tr>
      <w:tr w:rsidR="00D90118" w14:paraId="3F940860" w14:textId="77777777" w:rsidTr="00735DA4">
        <w:tc>
          <w:tcPr>
            <w:tcW w:w="2570" w:type="dxa"/>
          </w:tcPr>
          <w:p w14:paraId="60BE3E28" w14:textId="77777777" w:rsidR="00D90118" w:rsidRPr="00F1002D" w:rsidRDefault="00D90118" w:rsidP="00D21C6A">
            <w:pPr>
              <w:jc w:val="left"/>
              <w:rPr>
                <w:i/>
                <w:sz w:val="16"/>
                <w:szCs w:val="16"/>
              </w:rPr>
            </w:pPr>
            <w:r w:rsidRPr="00F1002D">
              <w:rPr>
                <w:i/>
                <w:sz w:val="16"/>
                <w:szCs w:val="16"/>
              </w:rPr>
              <w:t>Ενίσχυση Υποδομών Ε&amp;Κ-A Κύκλος</w:t>
            </w:r>
          </w:p>
        </w:tc>
        <w:tc>
          <w:tcPr>
            <w:tcW w:w="1348" w:type="dxa"/>
          </w:tcPr>
          <w:p w14:paraId="7D635EAB" w14:textId="77777777" w:rsidR="00D90118" w:rsidRPr="006626D0" w:rsidRDefault="00D90118" w:rsidP="00D21C6A">
            <w:pPr>
              <w:jc w:val="center"/>
              <w:rPr>
                <w:b/>
              </w:rPr>
            </w:pPr>
            <w:r w:rsidRPr="006626D0">
              <w:rPr>
                <w:b/>
              </w:rPr>
              <w:t>2016</w:t>
            </w:r>
          </w:p>
        </w:tc>
        <w:tc>
          <w:tcPr>
            <w:tcW w:w="1365" w:type="dxa"/>
          </w:tcPr>
          <w:p w14:paraId="6833B3AA" w14:textId="77777777" w:rsidR="00D90118" w:rsidRPr="00A07EEE" w:rsidRDefault="00D90118" w:rsidP="00D21C6A">
            <w:r w:rsidRPr="00A07EEE">
              <w:t>ΕΥΔ ΕΠΑΝΕΚ</w:t>
            </w:r>
          </w:p>
        </w:tc>
        <w:tc>
          <w:tcPr>
            <w:tcW w:w="0" w:type="auto"/>
            <w:vAlign w:val="center"/>
          </w:tcPr>
          <w:p w14:paraId="2280702E"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345C4C02" w14:textId="77777777" w:rsidR="00D90118" w:rsidRPr="00735DA4" w:rsidRDefault="00D90118" w:rsidP="00D21C6A">
            <w:pPr>
              <w:jc w:val="center"/>
              <w:rPr>
                <w:color w:val="800000"/>
              </w:rPr>
            </w:pPr>
          </w:p>
        </w:tc>
        <w:tc>
          <w:tcPr>
            <w:tcW w:w="0" w:type="auto"/>
            <w:vAlign w:val="center"/>
          </w:tcPr>
          <w:p w14:paraId="53DCC483" w14:textId="77777777" w:rsidR="00D90118" w:rsidRPr="00735DA4" w:rsidRDefault="00D90118" w:rsidP="00D21C6A">
            <w:pPr>
              <w:jc w:val="center"/>
              <w:rPr>
                <w:color w:val="800000"/>
              </w:rPr>
            </w:pPr>
          </w:p>
        </w:tc>
        <w:tc>
          <w:tcPr>
            <w:tcW w:w="0" w:type="auto"/>
            <w:vAlign w:val="center"/>
          </w:tcPr>
          <w:p w14:paraId="576BC2FC" w14:textId="77777777" w:rsidR="00D90118" w:rsidRPr="00735DA4" w:rsidRDefault="00D90118" w:rsidP="00D21C6A">
            <w:pPr>
              <w:jc w:val="center"/>
              <w:rPr>
                <w:color w:val="800000"/>
              </w:rPr>
            </w:pPr>
          </w:p>
        </w:tc>
        <w:tc>
          <w:tcPr>
            <w:tcW w:w="0" w:type="auto"/>
            <w:vAlign w:val="center"/>
          </w:tcPr>
          <w:p w14:paraId="5C241EE1" w14:textId="77777777" w:rsidR="00D90118" w:rsidRPr="00735DA4" w:rsidRDefault="00D90118" w:rsidP="00D21C6A">
            <w:pPr>
              <w:jc w:val="center"/>
              <w:rPr>
                <w:color w:val="800000"/>
              </w:rPr>
            </w:pPr>
          </w:p>
        </w:tc>
        <w:tc>
          <w:tcPr>
            <w:tcW w:w="0" w:type="auto"/>
            <w:vAlign w:val="center"/>
          </w:tcPr>
          <w:p w14:paraId="70C175B4" w14:textId="77777777" w:rsidR="00D90118" w:rsidRPr="00735DA4" w:rsidRDefault="00D90118" w:rsidP="00D21C6A">
            <w:pPr>
              <w:jc w:val="center"/>
              <w:rPr>
                <w:color w:val="800000"/>
              </w:rPr>
            </w:pPr>
          </w:p>
        </w:tc>
        <w:tc>
          <w:tcPr>
            <w:tcW w:w="0" w:type="auto"/>
            <w:vAlign w:val="center"/>
          </w:tcPr>
          <w:p w14:paraId="48CD5DAC" w14:textId="77777777" w:rsidR="00D90118" w:rsidRPr="00735DA4" w:rsidRDefault="00D90118" w:rsidP="00D21C6A">
            <w:pPr>
              <w:jc w:val="center"/>
              <w:rPr>
                <w:color w:val="800000"/>
              </w:rPr>
            </w:pPr>
          </w:p>
        </w:tc>
        <w:tc>
          <w:tcPr>
            <w:tcW w:w="0" w:type="auto"/>
          </w:tcPr>
          <w:p w14:paraId="098F5CE4" w14:textId="77777777" w:rsidR="00D90118" w:rsidRPr="00735DA4" w:rsidRDefault="00D90118" w:rsidP="00D21C6A">
            <w:pPr>
              <w:jc w:val="center"/>
              <w:rPr>
                <w:color w:val="800000"/>
              </w:rPr>
            </w:pPr>
            <w:r w:rsidRPr="00735DA4">
              <w:rPr>
                <w:color w:val="800000"/>
                <w:sz w:val="22"/>
                <w:szCs w:val="22"/>
              </w:rPr>
              <w:t>√</w:t>
            </w:r>
          </w:p>
        </w:tc>
        <w:tc>
          <w:tcPr>
            <w:tcW w:w="0" w:type="auto"/>
          </w:tcPr>
          <w:p w14:paraId="5BEB3C4A"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6A74DC30" w14:textId="77777777" w:rsidR="00D90118" w:rsidRPr="00735DA4" w:rsidRDefault="00D90118" w:rsidP="00D21C6A">
            <w:pPr>
              <w:jc w:val="center"/>
              <w:rPr>
                <w:color w:val="800000"/>
              </w:rPr>
            </w:pPr>
          </w:p>
        </w:tc>
        <w:tc>
          <w:tcPr>
            <w:tcW w:w="0" w:type="auto"/>
            <w:vAlign w:val="center"/>
          </w:tcPr>
          <w:p w14:paraId="20302090" w14:textId="77777777" w:rsidR="00D90118" w:rsidRPr="00735DA4" w:rsidRDefault="00D90118" w:rsidP="00D21C6A">
            <w:pPr>
              <w:jc w:val="center"/>
              <w:rPr>
                <w:color w:val="800000"/>
              </w:rPr>
            </w:pPr>
          </w:p>
        </w:tc>
        <w:tc>
          <w:tcPr>
            <w:tcW w:w="0" w:type="auto"/>
            <w:vAlign w:val="center"/>
          </w:tcPr>
          <w:p w14:paraId="715E0934" w14:textId="77777777" w:rsidR="00D90118" w:rsidRPr="00735DA4" w:rsidRDefault="00D90118" w:rsidP="00D21C6A">
            <w:pPr>
              <w:jc w:val="center"/>
              <w:rPr>
                <w:color w:val="800000"/>
              </w:rPr>
            </w:pPr>
            <w:r w:rsidRPr="00735DA4">
              <w:rPr>
                <w:color w:val="800000"/>
                <w:sz w:val="22"/>
                <w:szCs w:val="22"/>
              </w:rPr>
              <w:t>√</w:t>
            </w:r>
          </w:p>
        </w:tc>
      </w:tr>
      <w:tr w:rsidR="00D90118" w14:paraId="1D0466AC" w14:textId="77777777" w:rsidTr="00735DA4">
        <w:tc>
          <w:tcPr>
            <w:tcW w:w="2570" w:type="dxa"/>
          </w:tcPr>
          <w:p w14:paraId="2D1227B6" w14:textId="77777777" w:rsidR="00D90118" w:rsidRPr="00F1002D" w:rsidRDefault="00D90118" w:rsidP="00D21C6A">
            <w:pPr>
              <w:jc w:val="left"/>
              <w:rPr>
                <w:i/>
                <w:sz w:val="16"/>
                <w:szCs w:val="16"/>
              </w:rPr>
            </w:pPr>
            <w:r w:rsidRPr="00F1002D">
              <w:rPr>
                <w:i/>
                <w:sz w:val="16"/>
                <w:szCs w:val="16"/>
              </w:rPr>
              <w:t>Ενίσχυση Υποδομών Ε&amp;Κ-Β Κύκλος</w:t>
            </w:r>
          </w:p>
        </w:tc>
        <w:tc>
          <w:tcPr>
            <w:tcW w:w="1348" w:type="dxa"/>
          </w:tcPr>
          <w:p w14:paraId="2C8A4CFB" w14:textId="77777777" w:rsidR="00D90118" w:rsidRPr="006626D0" w:rsidRDefault="00D90118" w:rsidP="00D21C6A">
            <w:pPr>
              <w:jc w:val="center"/>
              <w:rPr>
                <w:b/>
              </w:rPr>
            </w:pPr>
            <w:r w:rsidRPr="006626D0">
              <w:rPr>
                <w:b/>
              </w:rPr>
              <w:t>2017</w:t>
            </w:r>
          </w:p>
        </w:tc>
        <w:tc>
          <w:tcPr>
            <w:tcW w:w="1365" w:type="dxa"/>
          </w:tcPr>
          <w:p w14:paraId="50B8072F" w14:textId="77777777" w:rsidR="00D90118" w:rsidRPr="00A07EEE" w:rsidRDefault="00D90118" w:rsidP="00D21C6A">
            <w:r w:rsidRPr="00A07EEE">
              <w:t>ΕΥΔ ΕΠΑΝΕΚ</w:t>
            </w:r>
          </w:p>
        </w:tc>
        <w:tc>
          <w:tcPr>
            <w:tcW w:w="0" w:type="auto"/>
            <w:vAlign w:val="center"/>
          </w:tcPr>
          <w:p w14:paraId="3EF87349" w14:textId="77777777" w:rsidR="00D90118" w:rsidRPr="00735DA4" w:rsidRDefault="00D90118" w:rsidP="00D21C6A">
            <w:pPr>
              <w:jc w:val="center"/>
              <w:rPr>
                <w:color w:val="800000"/>
                <w:sz w:val="22"/>
                <w:szCs w:val="22"/>
              </w:rPr>
            </w:pPr>
            <w:r w:rsidRPr="00735DA4">
              <w:rPr>
                <w:color w:val="800000"/>
                <w:sz w:val="22"/>
                <w:szCs w:val="22"/>
              </w:rPr>
              <w:t>√</w:t>
            </w:r>
          </w:p>
        </w:tc>
        <w:tc>
          <w:tcPr>
            <w:tcW w:w="0" w:type="auto"/>
            <w:vAlign w:val="center"/>
          </w:tcPr>
          <w:p w14:paraId="5C6B8FDC" w14:textId="77777777" w:rsidR="00D90118" w:rsidRPr="00735DA4" w:rsidRDefault="00D90118" w:rsidP="00D21C6A">
            <w:pPr>
              <w:jc w:val="center"/>
              <w:rPr>
                <w:color w:val="800000"/>
              </w:rPr>
            </w:pPr>
          </w:p>
        </w:tc>
        <w:tc>
          <w:tcPr>
            <w:tcW w:w="0" w:type="auto"/>
            <w:vAlign w:val="center"/>
          </w:tcPr>
          <w:p w14:paraId="257ACAAF" w14:textId="77777777" w:rsidR="00D90118" w:rsidRPr="00735DA4" w:rsidRDefault="00D90118" w:rsidP="00D21C6A">
            <w:pPr>
              <w:jc w:val="center"/>
              <w:rPr>
                <w:color w:val="800000"/>
              </w:rPr>
            </w:pPr>
          </w:p>
        </w:tc>
        <w:tc>
          <w:tcPr>
            <w:tcW w:w="0" w:type="auto"/>
            <w:vAlign w:val="center"/>
          </w:tcPr>
          <w:p w14:paraId="72BE544B" w14:textId="77777777" w:rsidR="00D90118" w:rsidRPr="00735DA4" w:rsidRDefault="00D90118" w:rsidP="00D21C6A">
            <w:pPr>
              <w:jc w:val="center"/>
              <w:rPr>
                <w:color w:val="800000"/>
              </w:rPr>
            </w:pPr>
          </w:p>
        </w:tc>
        <w:tc>
          <w:tcPr>
            <w:tcW w:w="0" w:type="auto"/>
            <w:vAlign w:val="center"/>
          </w:tcPr>
          <w:p w14:paraId="0AB4AE58" w14:textId="77777777" w:rsidR="00D90118" w:rsidRPr="00735DA4" w:rsidRDefault="00D90118" w:rsidP="00D21C6A">
            <w:pPr>
              <w:jc w:val="center"/>
              <w:rPr>
                <w:color w:val="800000"/>
              </w:rPr>
            </w:pPr>
          </w:p>
        </w:tc>
        <w:tc>
          <w:tcPr>
            <w:tcW w:w="0" w:type="auto"/>
            <w:vAlign w:val="center"/>
          </w:tcPr>
          <w:p w14:paraId="50912B6D" w14:textId="77777777" w:rsidR="00D90118" w:rsidRPr="00735DA4" w:rsidRDefault="00D90118" w:rsidP="00D21C6A">
            <w:pPr>
              <w:jc w:val="center"/>
              <w:rPr>
                <w:color w:val="800000"/>
              </w:rPr>
            </w:pPr>
          </w:p>
        </w:tc>
        <w:tc>
          <w:tcPr>
            <w:tcW w:w="0" w:type="auto"/>
            <w:vAlign w:val="center"/>
          </w:tcPr>
          <w:p w14:paraId="6C3BDD0C" w14:textId="77777777" w:rsidR="00D90118" w:rsidRPr="00735DA4" w:rsidRDefault="00D90118" w:rsidP="00D21C6A">
            <w:pPr>
              <w:jc w:val="center"/>
              <w:rPr>
                <w:color w:val="800000"/>
              </w:rPr>
            </w:pPr>
          </w:p>
        </w:tc>
        <w:tc>
          <w:tcPr>
            <w:tcW w:w="0" w:type="auto"/>
          </w:tcPr>
          <w:p w14:paraId="4F9BF724" w14:textId="77777777" w:rsidR="00D90118" w:rsidRPr="00735DA4" w:rsidRDefault="00D90118" w:rsidP="00D21C6A">
            <w:pPr>
              <w:jc w:val="center"/>
              <w:rPr>
                <w:color w:val="800000"/>
              </w:rPr>
            </w:pPr>
            <w:r w:rsidRPr="00735DA4">
              <w:rPr>
                <w:color w:val="800000"/>
                <w:sz w:val="22"/>
                <w:szCs w:val="22"/>
              </w:rPr>
              <w:t>√</w:t>
            </w:r>
          </w:p>
        </w:tc>
        <w:tc>
          <w:tcPr>
            <w:tcW w:w="0" w:type="auto"/>
          </w:tcPr>
          <w:p w14:paraId="2D64FB91" w14:textId="77777777" w:rsidR="00D90118" w:rsidRPr="00735DA4" w:rsidRDefault="00D90118" w:rsidP="00D21C6A">
            <w:pPr>
              <w:jc w:val="center"/>
              <w:rPr>
                <w:color w:val="800000"/>
              </w:rPr>
            </w:pPr>
            <w:r w:rsidRPr="00735DA4">
              <w:rPr>
                <w:color w:val="800000"/>
                <w:sz w:val="22"/>
                <w:szCs w:val="22"/>
              </w:rPr>
              <w:t>√</w:t>
            </w:r>
          </w:p>
        </w:tc>
        <w:tc>
          <w:tcPr>
            <w:tcW w:w="0" w:type="auto"/>
            <w:vAlign w:val="center"/>
          </w:tcPr>
          <w:p w14:paraId="1613BB33" w14:textId="77777777" w:rsidR="00D90118" w:rsidRPr="00735DA4" w:rsidRDefault="00D90118" w:rsidP="00D21C6A">
            <w:pPr>
              <w:jc w:val="center"/>
              <w:rPr>
                <w:color w:val="800000"/>
              </w:rPr>
            </w:pPr>
          </w:p>
        </w:tc>
        <w:tc>
          <w:tcPr>
            <w:tcW w:w="0" w:type="auto"/>
            <w:vAlign w:val="center"/>
          </w:tcPr>
          <w:p w14:paraId="0E015EFC" w14:textId="77777777" w:rsidR="00D90118" w:rsidRPr="00735DA4" w:rsidRDefault="00D90118" w:rsidP="00D21C6A">
            <w:pPr>
              <w:jc w:val="center"/>
              <w:rPr>
                <w:color w:val="800000"/>
              </w:rPr>
            </w:pPr>
          </w:p>
        </w:tc>
        <w:tc>
          <w:tcPr>
            <w:tcW w:w="0" w:type="auto"/>
            <w:vAlign w:val="center"/>
          </w:tcPr>
          <w:p w14:paraId="65A599A6" w14:textId="77777777" w:rsidR="00D90118" w:rsidRPr="00735DA4" w:rsidRDefault="00D90118" w:rsidP="00D21C6A">
            <w:pPr>
              <w:jc w:val="center"/>
              <w:rPr>
                <w:color w:val="800000"/>
              </w:rPr>
            </w:pPr>
            <w:r w:rsidRPr="00735DA4">
              <w:rPr>
                <w:color w:val="800000"/>
                <w:sz w:val="22"/>
                <w:szCs w:val="22"/>
              </w:rPr>
              <w:t>√</w:t>
            </w:r>
          </w:p>
        </w:tc>
      </w:tr>
      <w:tr w:rsidR="00D90118" w:rsidRPr="006C426D" w14:paraId="403BA45D" w14:textId="77777777" w:rsidTr="00735DA4">
        <w:tc>
          <w:tcPr>
            <w:tcW w:w="2570" w:type="dxa"/>
          </w:tcPr>
          <w:p w14:paraId="4CE3A781" w14:textId="77777777" w:rsidR="00D90118" w:rsidRPr="006C426D" w:rsidRDefault="00D90118" w:rsidP="00D21C6A">
            <w:pPr>
              <w:jc w:val="left"/>
              <w:rPr>
                <w:i/>
                <w:sz w:val="16"/>
                <w:szCs w:val="16"/>
              </w:rPr>
            </w:pPr>
            <w:r w:rsidRPr="006C426D">
              <w:rPr>
                <w:i/>
                <w:sz w:val="16"/>
                <w:szCs w:val="16"/>
              </w:rPr>
              <w:t>Υποδομές ΚΡΗΠΙΣ</w:t>
            </w:r>
          </w:p>
        </w:tc>
        <w:tc>
          <w:tcPr>
            <w:tcW w:w="1348" w:type="dxa"/>
          </w:tcPr>
          <w:p w14:paraId="549DE398" w14:textId="77777777" w:rsidR="00D90118" w:rsidRPr="006C426D" w:rsidRDefault="00D90118" w:rsidP="00D21C6A">
            <w:pPr>
              <w:jc w:val="center"/>
              <w:rPr>
                <w:b/>
              </w:rPr>
            </w:pPr>
            <w:r w:rsidRPr="006C426D">
              <w:rPr>
                <w:b/>
              </w:rPr>
              <w:t>2016</w:t>
            </w:r>
          </w:p>
        </w:tc>
        <w:tc>
          <w:tcPr>
            <w:tcW w:w="1365" w:type="dxa"/>
          </w:tcPr>
          <w:p w14:paraId="48310EFE" w14:textId="77777777" w:rsidR="00D90118" w:rsidRPr="006C426D" w:rsidRDefault="00D90118" w:rsidP="00D21C6A">
            <w:r w:rsidRPr="006C426D">
              <w:t>ΕΥΔ ΕΠΑΝΕΚ</w:t>
            </w:r>
          </w:p>
        </w:tc>
        <w:tc>
          <w:tcPr>
            <w:tcW w:w="0" w:type="auto"/>
            <w:vAlign w:val="center"/>
          </w:tcPr>
          <w:p w14:paraId="1D18F8C6" w14:textId="77777777" w:rsidR="00D90118" w:rsidRPr="006C426D" w:rsidRDefault="00D90118" w:rsidP="00D21C6A">
            <w:pPr>
              <w:jc w:val="center"/>
              <w:rPr>
                <w:color w:val="800000"/>
                <w:sz w:val="22"/>
                <w:szCs w:val="22"/>
              </w:rPr>
            </w:pPr>
            <w:r w:rsidRPr="006C426D">
              <w:rPr>
                <w:color w:val="800000"/>
                <w:sz w:val="22"/>
                <w:szCs w:val="22"/>
              </w:rPr>
              <w:t>√</w:t>
            </w:r>
          </w:p>
        </w:tc>
        <w:tc>
          <w:tcPr>
            <w:tcW w:w="0" w:type="auto"/>
            <w:vAlign w:val="center"/>
          </w:tcPr>
          <w:p w14:paraId="620C76E1" w14:textId="77777777" w:rsidR="00D90118" w:rsidRPr="006C426D" w:rsidRDefault="00D90118" w:rsidP="00D21C6A">
            <w:pPr>
              <w:jc w:val="center"/>
              <w:rPr>
                <w:color w:val="800000"/>
              </w:rPr>
            </w:pPr>
          </w:p>
        </w:tc>
        <w:tc>
          <w:tcPr>
            <w:tcW w:w="0" w:type="auto"/>
            <w:vAlign w:val="center"/>
          </w:tcPr>
          <w:p w14:paraId="1339835D" w14:textId="77777777" w:rsidR="00D90118" w:rsidRPr="006C426D" w:rsidRDefault="00D90118" w:rsidP="00D21C6A">
            <w:pPr>
              <w:jc w:val="center"/>
              <w:rPr>
                <w:color w:val="800000"/>
              </w:rPr>
            </w:pPr>
          </w:p>
        </w:tc>
        <w:tc>
          <w:tcPr>
            <w:tcW w:w="0" w:type="auto"/>
            <w:vAlign w:val="center"/>
          </w:tcPr>
          <w:p w14:paraId="2071304C" w14:textId="77777777" w:rsidR="00D90118" w:rsidRPr="006C426D" w:rsidRDefault="00D90118" w:rsidP="00D21C6A">
            <w:pPr>
              <w:jc w:val="center"/>
              <w:rPr>
                <w:color w:val="800000"/>
              </w:rPr>
            </w:pPr>
          </w:p>
        </w:tc>
        <w:tc>
          <w:tcPr>
            <w:tcW w:w="0" w:type="auto"/>
            <w:vAlign w:val="center"/>
          </w:tcPr>
          <w:p w14:paraId="31569F37" w14:textId="77777777" w:rsidR="00D90118" w:rsidRPr="006C426D" w:rsidRDefault="00D90118" w:rsidP="00D21C6A">
            <w:pPr>
              <w:jc w:val="center"/>
              <w:rPr>
                <w:color w:val="800000"/>
              </w:rPr>
            </w:pPr>
          </w:p>
        </w:tc>
        <w:tc>
          <w:tcPr>
            <w:tcW w:w="0" w:type="auto"/>
            <w:vAlign w:val="center"/>
          </w:tcPr>
          <w:p w14:paraId="6326BF05" w14:textId="77777777" w:rsidR="00D90118" w:rsidRPr="006C426D" w:rsidRDefault="00D90118" w:rsidP="00D21C6A">
            <w:pPr>
              <w:jc w:val="center"/>
              <w:rPr>
                <w:color w:val="800000"/>
              </w:rPr>
            </w:pPr>
          </w:p>
        </w:tc>
        <w:tc>
          <w:tcPr>
            <w:tcW w:w="0" w:type="auto"/>
            <w:vAlign w:val="center"/>
          </w:tcPr>
          <w:p w14:paraId="607B0BF0" w14:textId="77777777" w:rsidR="00D90118" w:rsidRPr="006C426D" w:rsidRDefault="00D90118" w:rsidP="00D21C6A">
            <w:pPr>
              <w:jc w:val="center"/>
              <w:rPr>
                <w:color w:val="800000"/>
              </w:rPr>
            </w:pPr>
          </w:p>
        </w:tc>
        <w:tc>
          <w:tcPr>
            <w:tcW w:w="0" w:type="auto"/>
          </w:tcPr>
          <w:p w14:paraId="6B85F051" w14:textId="77777777" w:rsidR="00D90118" w:rsidRPr="006C426D" w:rsidRDefault="00D90118" w:rsidP="00D21C6A">
            <w:pPr>
              <w:jc w:val="center"/>
              <w:rPr>
                <w:color w:val="800000"/>
              </w:rPr>
            </w:pPr>
            <w:r w:rsidRPr="006C426D">
              <w:rPr>
                <w:color w:val="800000"/>
                <w:sz w:val="22"/>
                <w:szCs w:val="22"/>
              </w:rPr>
              <w:t>√</w:t>
            </w:r>
          </w:p>
        </w:tc>
        <w:tc>
          <w:tcPr>
            <w:tcW w:w="0" w:type="auto"/>
          </w:tcPr>
          <w:p w14:paraId="0C61567B" w14:textId="77777777" w:rsidR="00D90118" w:rsidRPr="006C426D" w:rsidRDefault="00D90118" w:rsidP="00D21C6A">
            <w:pPr>
              <w:jc w:val="center"/>
              <w:rPr>
                <w:color w:val="800000"/>
              </w:rPr>
            </w:pPr>
            <w:r w:rsidRPr="006C426D">
              <w:rPr>
                <w:color w:val="800000"/>
                <w:sz w:val="22"/>
                <w:szCs w:val="22"/>
              </w:rPr>
              <w:t>√</w:t>
            </w:r>
          </w:p>
        </w:tc>
        <w:tc>
          <w:tcPr>
            <w:tcW w:w="0" w:type="auto"/>
            <w:vAlign w:val="center"/>
          </w:tcPr>
          <w:p w14:paraId="0D3F5453" w14:textId="77777777" w:rsidR="00D90118" w:rsidRPr="006C426D" w:rsidRDefault="00D90118" w:rsidP="00D21C6A">
            <w:pPr>
              <w:jc w:val="center"/>
              <w:rPr>
                <w:color w:val="800000"/>
              </w:rPr>
            </w:pPr>
          </w:p>
        </w:tc>
        <w:tc>
          <w:tcPr>
            <w:tcW w:w="0" w:type="auto"/>
            <w:vAlign w:val="center"/>
          </w:tcPr>
          <w:p w14:paraId="5192AB00" w14:textId="77777777" w:rsidR="00D90118" w:rsidRPr="006C426D" w:rsidRDefault="00D90118" w:rsidP="00D21C6A">
            <w:pPr>
              <w:jc w:val="center"/>
              <w:rPr>
                <w:color w:val="800000"/>
              </w:rPr>
            </w:pPr>
          </w:p>
        </w:tc>
        <w:tc>
          <w:tcPr>
            <w:tcW w:w="0" w:type="auto"/>
            <w:vAlign w:val="center"/>
          </w:tcPr>
          <w:p w14:paraId="02B6F758" w14:textId="77777777" w:rsidR="00D90118" w:rsidRPr="006C426D" w:rsidRDefault="00D90118" w:rsidP="00D21C6A">
            <w:pPr>
              <w:jc w:val="center"/>
              <w:rPr>
                <w:color w:val="800000"/>
              </w:rPr>
            </w:pPr>
          </w:p>
        </w:tc>
      </w:tr>
    </w:tbl>
    <w:p w14:paraId="4B1D62DF" w14:textId="77777777" w:rsidR="00D90118" w:rsidRDefault="00D90118" w:rsidP="00D90118"/>
    <w:p w14:paraId="4166E2BF" w14:textId="77777777" w:rsidR="00D90118" w:rsidRDefault="00D90118" w:rsidP="00D90118">
      <w:pPr>
        <w:sectPr w:rsidR="00D90118" w:rsidSect="003D021E">
          <w:footerReference w:type="default" r:id="rId45"/>
          <w:pgSz w:w="16838" w:h="11906" w:orient="landscape"/>
          <w:pgMar w:top="1800" w:right="1440" w:bottom="1800" w:left="1440" w:header="708" w:footer="708" w:gutter="0"/>
          <w:cols w:space="708"/>
          <w:docGrid w:linePitch="360"/>
        </w:sectPr>
      </w:pPr>
    </w:p>
    <w:p w14:paraId="23159C25" w14:textId="242C8BBF" w:rsidR="00D90118" w:rsidRPr="002D1658" w:rsidRDefault="00D90118" w:rsidP="00D90118">
      <w:r>
        <w:lastRenderedPageBreak/>
        <w:t xml:space="preserve">Από τα παραπάνω προκύπτει ότι οι δείκτες </w:t>
      </w:r>
      <w:r w:rsidRPr="002D1658">
        <w:rPr>
          <w:b/>
          <w:lang w:val="en-US"/>
        </w:rPr>
        <w:t>CO</w:t>
      </w:r>
      <w:r w:rsidRPr="002D1658">
        <w:rPr>
          <w:b/>
        </w:rPr>
        <w:t>03</w:t>
      </w:r>
      <w:r>
        <w:rPr>
          <w:b/>
        </w:rPr>
        <w:t xml:space="preserve"> </w:t>
      </w:r>
      <w:r>
        <w:t>(Αριθμός επιχειρήσεων που λαμβάνουν οικονομική στήριξη πλην επιχορηγήσεων)</w:t>
      </w:r>
      <w:r w:rsidRPr="002D1658">
        <w:rPr>
          <w:b/>
        </w:rPr>
        <w:t>,</w:t>
      </w:r>
      <w:r w:rsidRPr="009F5DB6">
        <w:t xml:space="preserve"> </w:t>
      </w:r>
      <w:r w:rsidRPr="002D1658">
        <w:rPr>
          <w:b/>
          <w:lang w:val="en-US"/>
        </w:rPr>
        <w:t>CO</w:t>
      </w:r>
      <w:r w:rsidRPr="002D1658">
        <w:rPr>
          <w:b/>
        </w:rPr>
        <w:t>07</w:t>
      </w:r>
      <w:r w:rsidRPr="009F5DB6">
        <w:t xml:space="preserve"> </w:t>
      </w:r>
      <w:r>
        <w:t xml:space="preserve">(Ιδιωτικές Επενδύσεις που συνδυάζονται με δημόσια στήριξη των επιχειρήσεων) και </w:t>
      </w:r>
      <w:r w:rsidRPr="002D1658">
        <w:rPr>
          <w:b/>
          <w:lang w:val="en-US"/>
        </w:rPr>
        <w:t>CO</w:t>
      </w:r>
      <w:r w:rsidRPr="002D1658">
        <w:rPr>
          <w:b/>
        </w:rPr>
        <w:t>027</w:t>
      </w:r>
      <w:r>
        <w:rPr>
          <w:b/>
        </w:rPr>
        <w:t xml:space="preserve"> </w:t>
      </w:r>
      <w:r w:rsidRPr="002D1658">
        <w:t xml:space="preserve">(ιδιωτικές επενδύσεις </w:t>
      </w:r>
      <w:r w:rsidRPr="003216DC">
        <w:t>που συνδυάζονται με δημόσια στήριξη στον τομέα της καινοτομίας ή σε έργα έρευνας και ανάπτυξης),</w:t>
      </w:r>
      <w:r>
        <w:t xml:space="preserve"> δεν έχουν ακόμα παρουσιασθεί στις Προσκλήσεις παρόλο που μετριούνται στο πλαίσιο της Επενδυτικής Προτεραιότητας 1</w:t>
      </w:r>
      <w:r>
        <w:rPr>
          <w:lang w:val="en-US"/>
        </w:rPr>
        <w:t>b</w:t>
      </w:r>
      <w:r w:rsidRPr="003216DC">
        <w:t xml:space="preserve"> </w:t>
      </w:r>
      <w:r>
        <w:t xml:space="preserve">του Προγράμματος. του ΕΠΑνΕΚ. Ως εκ τούτου για τους δείκτες αυτούς δεν μπορούν </w:t>
      </w:r>
      <w:r w:rsidR="00435055">
        <w:t xml:space="preserve">προς το </w:t>
      </w:r>
      <w:r>
        <w:t>παρόν να εξαχθούν στοιχεία κάλυψης σε επίπεδο Προγράμματος.</w:t>
      </w:r>
    </w:p>
    <w:p w14:paraId="0F13FA5B" w14:textId="77777777" w:rsidR="00D90118" w:rsidRPr="00E01892" w:rsidRDefault="00D90118" w:rsidP="00D90118">
      <w:r>
        <w:t xml:space="preserve">Από την άλλη, ο δείκτης </w:t>
      </w:r>
      <w:r w:rsidRPr="00E01892">
        <w:rPr>
          <w:b/>
        </w:rPr>
        <w:t>05801</w:t>
      </w:r>
      <w:r>
        <w:t xml:space="preserve"> (Επιστημονικές δημοσιεύσεις σε διεθνή περιοδικά με αξιολόγηση ή σε διεθνή συνέδρια με αξιολόγηση </w:t>
      </w:r>
      <w:r w:rsidRPr="00161942">
        <w:t>(</w:t>
      </w:r>
      <w:r>
        <w:rPr>
          <w:lang w:val="en-US"/>
        </w:rPr>
        <w:t>peer</w:t>
      </w:r>
      <w:r>
        <w:t xml:space="preserve"> </w:t>
      </w:r>
      <w:r>
        <w:rPr>
          <w:lang w:val="en-US"/>
        </w:rPr>
        <w:t>reviewed</w:t>
      </w:r>
      <w:r w:rsidRPr="00161942">
        <w:t>)</w:t>
      </w:r>
      <w:r>
        <w:t>, ο οποίος εμφανίζεται σε όλες τις παραπάνω Προσκλήσεις</w:t>
      </w:r>
      <w:r w:rsidRPr="00DF19CF">
        <w:t>,</w:t>
      </w:r>
      <w:r>
        <w:t xml:space="preserve"> και οι δείκτες </w:t>
      </w:r>
      <w:r w:rsidRPr="00DF19CF">
        <w:t xml:space="preserve"> </w:t>
      </w:r>
      <w:r w:rsidRPr="00E01892">
        <w:rPr>
          <w:b/>
        </w:rPr>
        <w:t xml:space="preserve">05802 </w:t>
      </w:r>
      <w:r w:rsidRPr="00DF19CF">
        <w:t>(</w:t>
      </w:r>
      <w:r>
        <w:t xml:space="preserve">Αιτήσεις διπλωμάτων ευρεσιτεχνίας σε εθνικό επίπεδο στο πλαίσιο της δράσης, </w:t>
      </w:r>
      <w:r w:rsidRPr="00E01892">
        <w:rPr>
          <w:b/>
        </w:rPr>
        <w:t>05803</w:t>
      </w:r>
      <w:r>
        <w:t xml:space="preserve"> (Αιτήσεις διπλωμάτων ευρεσιτεχνίας σε ευρωπαϊκό επίπεδο στο πλαίσιο της δράσης) και </w:t>
      </w:r>
      <w:r w:rsidRPr="00E01892">
        <w:rPr>
          <w:b/>
        </w:rPr>
        <w:t>0580</w:t>
      </w:r>
      <w:r>
        <w:rPr>
          <w:b/>
        </w:rPr>
        <w:t>4</w:t>
      </w:r>
      <w:r>
        <w:t xml:space="preserve"> (Αιτήσεις διπλωμάτων ευρεσιτεχνίας </w:t>
      </w:r>
      <w:r>
        <w:rPr>
          <w:lang w:val="en-US"/>
        </w:rPr>
        <w:t>PCT</w:t>
      </w:r>
      <w:r>
        <w:t xml:space="preserve"> στο πλαίσιο της δράσης)</w:t>
      </w:r>
      <w:r w:rsidRPr="00E01892">
        <w:t xml:space="preserve"> </w:t>
      </w:r>
      <w:r>
        <w:t>οι οποίοι εμφανίζονται μόνο στην Πρόσκληση ΕΔΚ και στις Προσκλήσεις των τριών Διμερών Ε&amp;Τ Συνεργασιών, είναι πρόσθετοι αυτών που έχουν ορισθεί στο Ε.Π. για τις Επενδυτικές Προτεραιότητες 1</w:t>
      </w:r>
      <w:r>
        <w:rPr>
          <w:lang w:val="en-US"/>
        </w:rPr>
        <w:t>a</w:t>
      </w:r>
      <w:r w:rsidRPr="00E01892">
        <w:t xml:space="preserve"> </w:t>
      </w:r>
      <w:r>
        <w:t>και 1</w:t>
      </w:r>
      <w:r>
        <w:rPr>
          <w:lang w:val="en-US"/>
        </w:rPr>
        <w:t>b</w:t>
      </w:r>
      <w:r w:rsidRPr="00E01892">
        <w:t>.</w:t>
      </w:r>
    </w:p>
    <w:p w14:paraId="0C783068" w14:textId="77777777" w:rsidR="00D90118" w:rsidRDefault="00D90118" w:rsidP="00D90118">
      <w:pPr>
        <w:pStyle w:val="Heading2"/>
      </w:pPr>
      <w:bookmarkStart w:id="33" w:name="_Toc6503380"/>
      <w:bookmarkStart w:id="34" w:name="_Toc22645416"/>
      <w:r>
        <w:t>Τιμές στόχοι δεικτών</w:t>
      </w:r>
      <w:bookmarkEnd w:id="33"/>
      <w:bookmarkEnd w:id="34"/>
      <w:r>
        <w:t xml:space="preserve"> </w:t>
      </w:r>
    </w:p>
    <w:p w14:paraId="79E5B3DC" w14:textId="77777777" w:rsidR="00D90118" w:rsidRPr="00987545" w:rsidRDefault="00D90118" w:rsidP="00D90118">
      <w:pPr>
        <w:rPr>
          <w:b/>
        </w:rPr>
      </w:pPr>
      <w:r w:rsidRPr="00987545">
        <w:rPr>
          <w:b/>
        </w:rPr>
        <w:t>Σε επίπεδο Προγράμματος</w:t>
      </w:r>
    </w:p>
    <w:p w14:paraId="7C31F3F5" w14:textId="77777777" w:rsidR="00D90118" w:rsidRDefault="00D90118" w:rsidP="00D90118">
      <w:r>
        <w:t>Στον πίνακα που ακολουθεί εμφανίζονται οι τιμές στόχοι των δεικτών του ΘΣ1 του ΕΠΑνΕΚ</w:t>
      </w:r>
    </w:p>
    <w:p w14:paraId="2368F3B8" w14:textId="77777777" w:rsidR="0003032C" w:rsidRDefault="0003032C" w:rsidP="00D90118"/>
    <w:p w14:paraId="0C5A9B1C" w14:textId="77777777" w:rsidR="0003032C" w:rsidRDefault="0003032C" w:rsidP="00D90118">
      <w:pPr>
        <w:sectPr w:rsidR="0003032C" w:rsidSect="003632D5">
          <w:footerReference w:type="default" r:id="rId46"/>
          <w:pgSz w:w="11906" w:h="16838"/>
          <w:pgMar w:top="1440" w:right="1247" w:bottom="1440" w:left="1247" w:header="709" w:footer="709" w:gutter="0"/>
          <w:cols w:space="708"/>
          <w:docGrid w:linePitch="360"/>
        </w:sectPr>
      </w:pPr>
    </w:p>
    <w:p w14:paraId="0AFD3CAB" w14:textId="77777777" w:rsidR="0003032C" w:rsidRDefault="0003032C" w:rsidP="00D90118"/>
    <w:p w14:paraId="300D2824" w14:textId="77777777" w:rsidR="00D90118" w:rsidRPr="00435055" w:rsidRDefault="0003032C" w:rsidP="0003032C">
      <w:pPr>
        <w:pStyle w:val="Caption"/>
        <w:rPr>
          <w:szCs w:val="16"/>
        </w:rPr>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6</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2</w:t>
      </w:r>
      <w:r w:rsidR="00833098">
        <w:rPr>
          <w:noProof/>
        </w:rPr>
        <w:fldChar w:fldCharType="end"/>
      </w:r>
      <w:r>
        <w:t xml:space="preserve"> </w:t>
      </w:r>
      <w:r w:rsidR="00D90118" w:rsidRPr="00435055">
        <w:rPr>
          <w:szCs w:val="16"/>
        </w:rPr>
        <w:t>Τιμές στόχοι δεικτών εκροής σε επίπεδο ΘΣ1</w:t>
      </w:r>
    </w:p>
    <w:tbl>
      <w:tblPr>
        <w:tblW w:w="5285"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4A0" w:firstRow="1" w:lastRow="0" w:firstColumn="1" w:lastColumn="0" w:noHBand="0" w:noVBand="1"/>
      </w:tblPr>
      <w:tblGrid>
        <w:gridCol w:w="1327"/>
        <w:gridCol w:w="3730"/>
        <w:gridCol w:w="1435"/>
        <w:gridCol w:w="1296"/>
        <w:gridCol w:w="1308"/>
        <w:gridCol w:w="1299"/>
        <w:gridCol w:w="1482"/>
        <w:gridCol w:w="1482"/>
        <w:gridCol w:w="1373"/>
      </w:tblGrid>
      <w:tr w:rsidR="00913B2D" w:rsidRPr="00646DDA" w14:paraId="363518B4" w14:textId="77777777" w:rsidTr="0003032C">
        <w:trPr>
          <w:trHeight w:val="705"/>
          <w:tblHeader/>
          <w:jc w:val="center"/>
        </w:trPr>
        <w:tc>
          <w:tcPr>
            <w:tcW w:w="3086" w:type="pct"/>
            <w:gridSpan w:val="5"/>
            <w:shd w:val="clear" w:color="auto" w:fill="800000"/>
            <w:noWrap/>
            <w:vAlign w:val="center"/>
            <w:hideMark/>
          </w:tcPr>
          <w:p w14:paraId="03C9B384" w14:textId="77777777" w:rsidR="00913B2D" w:rsidRPr="00646DDA" w:rsidRDefault="00913B2D" w:rsidP="00913B2D">
            <w:pPr>
              <w:spacing w:before="0" w:line="240" w:lineRule="auto"/>
              <w:jc w:val="center"/>
              <w:rPr>
                <w:rFonts w:eastAsia="Times New Roman"/>
                <w:b/>
                <w:bCs/>
                <w:color w:val="FFFFFF"/>
                <w:szCs w:val="18"/>
                <w:lang w:eastAsia="el-GR"/>
              </w:rPr>
            </w:pPr>
            <w:r w:rsidRPr="00646DDA">
              <w:rPr>
                <w:rFonts w:eastAsia="Times New Roman"/>
                <w:b/>
                <w:bCs/>
                <w:color w:val="FFFFFF"/>
                <w:szCs w:val="18"/>
                <w:lang w:eastAsia="el-GR"/>
              </w:rPr>
              <w:t>ΔΕΙΚΤΕΣ ΕΚΡΟΩΝ</w:t>
            </w:r>
          </w:p>
        </w:tc>
        <w:tc>
          <w:tcPr>
            <w:tcW w:w="1914" w:type="pct"/>
            <w:gridSpan w:val="4"/>
            <w:shd w:val="clear" w:color="auto" w:fill="800000"/>
            <w:noWrap/>
            <w:vAlign w:val="center"/>
            <w:hideMark/>
          </w:tcPr>
          <w:p w14:paraId="6BF87889" w14:textId="77777777" w:rsidR="00913B2D" w:rsidRPr="00646DDA" w:rsidRDefault="00913B2D" w:rsidP="00913B2D">
            <w:pPr>
              <w:spacing w:before="0" w:line="240" w:lineRule="auto"/>
              <w:jc w:val="center"/>
              <w:rPr>
                <w:rFonts w:eastAsia="Times New Roman"/>
                <w:b/>
                <w:bCs/>
                <w:color w:val="FFFFFF"/>
                <w:szCs w:val="18"/>
                <w:lang w:eastAsia="el-GR"/>
              </w:rPr>
            </w:pPr>
            <w:r w:rsidRPr="00646DDA">
              <w:rPr>
                <w:rFonts w:eastAsia="Times New Roman"/>
                <w:b/>
                <w:bCs/>
                <w:color w:val="FFFFFF"/>
                <w:szCs w:val="18"/>
                <w:lang w:eastAsia="el-GR"/>
              </w:rPr>
              <w:t>Προγραμματισμός ΕΠΑΝΕΚ (Επεν. Προτ. 1a &amp; 1b)</w:t>
            </w:r>
          </w:p>
        </w:tc>
      </w:tr>
      <w:tr w:rsidR="0003032C" w:rsidRPr="00646DDA" w14:paraId="6DE1A265" w14:textId="77777777" w:rsidTr="0003032C">
        <w:trPr>
          <w:trHeight w:val="915"/>
          <w:jc w:val="center"/>
        </w:trPr>
        <w:tc>
          <w:tcPr>
            <w:tcW w:w="450" w:type="pct"/>
            <w:shd w:val="clear" w:color="000000" w:fill="EDEDED"/>
            <w:vAlign w:val="center"/>
            <w:hideMark/>
          </w:tcPr>
          <w:p w14:paraId="2E0191D3"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Κωδικός</w:t>
            </w:r>
          </w:p>
        </w:tc>
        <w:tc>
          <w:tcPr>
            <w:tcW w:w="1266" w:type="pct"/>
            <w:shd w:val="clear" w:color="000000" w:fill="EDEDED"/>
            <w:vAlign w:val="center"/>
            <w:hideMark/>
          </w:tcPr>
          <w:p w14:paraId="0D441CBA"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 xml:space="preserve">Δείκτης </w:t>
            </w:r>
          </w:p>
        </w:tc>
        <w:tc>
          <w:tcPr>
            <w:tcW w:w="487" w:type="pct"/>
            <w:shd w:val="clear" w:color="000000" w:fill="EDEDED"/>
            <w:vAlign w:val="center"/>
            <w:hideMark/>
          </w:tcPr>
          <w:p w14:paraId="090ED395"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Μονάδα Μέτρησης</w:t>
            </w:r>
          </w:p>
        </w:tc>
        <w:tc>
          <w:tcPr>
            <w:tcW w:w="440" w:type="pct"/>
            <w:shd w:val="clear" w:color="000000" w:fill="EDEDED"/>
            <w:vAlign w:val="center"/>
            <w:hideMark/>
          </w:tcPr>
          <w:p w14:paraId="18D79D99"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ΑΠ ΕΠΑΝΕΚ</w:t>
            </w:r>
          </w:p>
        </w:tc>
        <w:tc>
          <w:tcPr>
            <w:tcW w:w="444" w:type="pct"/>
            <w:shd w:val="clear" w:color="000000" w:fill="EDEDED"/>
            <w:vAlign w:val="center"/>
            <w:hideMark/>
          </w:tcPr>
          <w:p w14:paraId="22C5BF57"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Επ.Προτ.</w:t>
            </w:r>
          </w:p>
        </w:tc>
        <w:tc>
          <w:tcPr>
            <w:tcW w:w="441" w:type="pct"/>
            <w:shd w:val="clear" w:color="000000" w:fill="EDEDED"/>
            <w:vAlign w:val="center"/>
            <w:hideMark/>
          </w:tcPr>
          <w:p w14:paraId="174A2E65"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ΣΥΝΟΛΟ</w:t>
            </w:r>
          </w:p>
        </w:tc>
        <w:tc>
          <w:tcPr>
            <w:tcW w:w="503" w:type="pct"/>
            <w:shd w:val="clear" w:color="000000" w:fill="EDEDED"/>
            <w:vAlign w:val="center"/>
            <w:hideMark/>
          </w:tcPr>
          <w:p w14:paraId="13E29E9A"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 xml:space="preserve">ΕΠΑΝΕΚ-ΛΑΠ </w:t>
            </w:r>
          </w:p>
        </w:tc>
        <w:tc>
          <w:tcPr>
            <w:tcW w:w="503" w:type="pct"/>
            <w:shd w:val="clear" w:color="000000" w:fill="EDEDED"/>
            <w:vAlign w:val="center"/>
            <w:hideMark/>
          </w:tcPr>
          <w:p w14:paraId="77EB3F7A"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 xml:space="preserve">ΕΠΑΝΕΚ-ΠΜ </w:t>
            </w:r>
          </w:p>
        </w:tc>
        <w:tc>
          <w:tcPr>
            <w:tcW w:w="466" w:type="pct"/>
            <w:shd w:val="clear" w:color="000000" w:fill="EDEDED"/>
            <w:vAlign w:val="center"/>
            <w:hideMark/>
          </w:tcPr>
          <w:p w14:paraId="16EF1ABE" w14:textId="77777777" w:rsidR="00913B2D" w:rsidRPr="00646DDA" w:rsidRDefault="00913B2D" w:rsidP="00913B2D">
            <w:pPr>
              <w:spacing w:before="0" w:line="240" w:lineRule="auto"/>
              <w:jc w:val="center"/>
              <w:rPr>
                <w:rFonts w:eastAsia="Times New Roman"/>
                <w:b/>
                <w:bCs/>
                <w:color w:val="000000"/>
                <w:szCs w:val="18"/>
                <w:lang w:eastAsia="el-GR"/>
              </w:rPr>
            </w:pPr>
            <w:r w:rsidRPr="00646DDA">
              <w:rPr>
                <w:rFonts w:eastAsia="Times New Roman"/>
                <w:b/>
                <w:bCs/>
                <w:color w:val="000000"/>
                <w:szCs w:val="18"/>
                <w:lang w:eastAsia="el-GR"/>
              </w:rPr>
              <w:t>ΕΠΑΝΕΚ-ΠΑΠ</w:t>
            </w:r>
          </w:p>
        </w:tc>
      </w:tr>
      <w:tr w:rsidR="0003032C" w:rsidRPr="00646DDA" w14:paraId="5AC8AD40" w14:textId="77777777" w:rsidTr="00646DDA">
        <w:trPr>
          <w:trHeight w:val="780"/>
          <w:jc w:val="center"/>
        </w:trPr>
        <w:tc>
          <w:tcPr>
            <w:tcW w:w="450" w:type="pct"/>
            <w:shd w:val="clear" w:color="auto" w:fill="auto"/>
            <w:noWrap/>
            <w:vAlign w:val="center"/>
            <w:hideMark/>
          </w:tcPr>
          <w:p w14:paraId="041FDF7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CO01</w:t>
            </w:r>
          </w:p>
        </w:tc>
        <w:tc>
          <w:tcPr>
            <w:tcW w:w="1266" w:type="pct"/>
            <w:shd w:val="clear" w:color="auto" w:fill="auto"/>
            <w:vAlign w:val="center"/>
            <w:hideMark/>
          </w:tcPr>
          <w:p w14:paraId="55CC01D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Παραγωγικές Επενδύσεις: αριθμός επιχειρήσεων που λαμβάνουν στήριξη</w:t>
            </w:r>
          </w:p>
        </w:tc>
        <w:tc>
          <w:tcPr>
            <w:tcW w:w="487" w:type="pct"/>
            <w:shd w:val="clear" w:color="auto" w:fill="auto"/>
            <w:noWrap/>
            <w:vAlign w:val="center"/>
            <w:hideMark/>
          </w:tcPr>
          <w:p w14:paraId="0E6F5E6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Επιχειρήσεις</w:t>
            </w:r>
          </w:p>
        </w:tc>
        <w:tc>
          <w:tcPr>
            <w:tcW w:w="440" w:type="pct"/>
            <w:shd w:val="clear" w:color="auto" w:fill="auto"/>
            <w:noWrap/>
            <w:vAlign w:val="center"/>
            <w:hideMark/>
          </w:tcPr>
          <w:p w14:paraId="6184C82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3DFFE90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1D9C3985"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708</w:t>
            </w:r>
          </w:p>
        </w:tc>
        <w:tc>
          <w:tcPr>
            <w:tcW w:w="503" w:type="pct"/>
            <w:shd w:val="clear" w:color="auto" w:fill="auto"/>
            <w:noWrap/>
            <w:vAlign w:val="center"/>
            <w:hideMark/>
          </w:tcPr>
          <w:p w14:paraId="0D5753B9"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325</w:t>
            </w:r>
          </w:p>
        </w:tc>
        <w:tc>
          <w:tcPr>
            <w:tcW w:w="503" w:type="pct"/>
            <w:shd w:val="clear" w:color="auto" w:fill="auto"/>
            <w:noWrap/>
            <w:vAlign w:val="center"/>
            <w:hideMark/>
          </w:tcPr>
          <w:p w14:paraId="6A33A0B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122</w:t>
            </w:r>
          </w:p>
        </w:tc>
        <w:tc>
          <w:tcPr>
            <w:tcW w:w="466" w:type="pct"/>
            <w:shd w:val="clear" w:color="auto" w:fill="auto"/>
            <w:noWrap/>
            <w:vAlign w:val="center"/>
            <w:hideMark/>
          </w:tcPr>
          <w:p w14:paraId="59A99BBE"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261</w:t>
            </w:r>
          </w:p>
        </w:tc>
      </w:tr>
      <w:tr w:rsidR="0003032C" w:rsidRPr="00646DDA" w14:paraId="67474E6A" w14:textId="77777777" w:rsidTr="00646DDA">
        <w:trPr>
          <w:trHeight w:val="780"/>
          <w:jc w:val="center"/>
        </w:trPr>
        <w:tc>
          <w:tcPr>
            <w:tcW w:w="450" w:type="pct"/>
            <w:shd w:val="clear" w:color="auto" w:fill="auto"/>
            <w:noWrap/>
            <w:vAlign w:val="center"/>
            <w:hideMark/>
          </w:tcPr>
          <w:p w14:paraId="5FAB594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CO02</w:t>
            </w:r>
          </w:p>
        </w:tc>
        <w:tc>
          <w:tcPr>
            <w:tcW w:w="1266" w:type="pct"/>
            <w:shd w:val="clear" w:color="auto" w:fill="auto"/>
            <w:vAlign w:val="center"/>
            <w:hideMark/>
          </w:tcPr>
          <w:p w14:paraId="4B8DABC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Παραγωγικές Επενδύσεις: αριθμός επιχειρήσεων που λαμβάνουν επιχορηγήσεις</w:t>
            </w:r>
          </w:p>
        </w:tc>
        <w:tc>
          <w:tcPr>
            <w:tcW w:w="487" w:type="pct"/>
            <w:shd w:val="clear" w:color="auto" w:fill="auto"/>
            <w:noWrap/>
            <w:vAlign w:val="center"/>
            <w:hideMark/>
          </w:tcPr>
          <w:p w14:paraId="1503ABBD"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Επιχειρήσεις</w:t>
            </w:r>
          </w:p>
        </w:tc>
        <w:tc>
          <w:tcPr>
            <w:tcW w:w="440" w:type="pct"/>
            <w:shd w:val="clear" w:color="auto" w:fill="auto"/>
            <w:noWrap/>
            <w:vAlign w:val="center"/>
            <w:hideMark/>
          </w:tcPr>
          <w:p w14:paraId="48E03F3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5DE5D46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55117E4E"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650</w:t>
            </w:r>
          </w:p>
        </w:tc>
        <w:tc>
          <w:tcPr>
            <w:tcW w:w="503" w:type="pct"/>
            <w:shd w:val="clear" w:color="auto" w:fill="auto"/>
            <w:noWrap/>
            <w:vAlign w:val="center"/>
            <w:hideMark/>
          </w:tcPr>
          <w:p w14:paraId="1B2753D9"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306</w:t>
            </w:r>
          </w:p>
        </w:tc>
        <w:tc>
          <w:tcPr>
            <w:tcW w:w="503" w:type="pct"/>
            <w:shd w:val="clear" w:color="auto" w:fill="auto"/>
            <w:noWrap/>
            <w:vAlign w:val="center"/>
            <w:hideMark/>
          </w:tcPr>
          <w:p w14:paraId="4EC879AF"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115</w:t>
            </w:r>
          </w:p>
        </w:tc>
        <w:tc>
          <w:tcPr>
            <w:tcW w:w="466" w:type="pct"/>
            <w:shd w:val="clear" w:color="auto" w:fill="auto"/>
            <w:noWrap/>
            <w:vAlign w:val="center"/>
            <w:hideMark/>
          </w:tcPr>
          <w:p w14:paraId="7BF0FDD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229</w:t>
            </w:r>
          </w:p>
        </w:tc>
      </w:tr>
      <w:tr w:rsidR="0003032C" w:rsidRPr="00646DDA" w14:paraId="4FF10B69" w14:textId="77777777" w:rsidTr="00646DDA">
        <w:trPr>
          <w:trHeight w:val="780"/>
          <w:jc w:val="center"/>
        </w:trPr>
        <w:tc>
          <w:tcPr>
            <w:tcW w:w="450" w:type="pct"/>
            <w:shd w:val="clear" w:color="auto" w:fill="auto"/>
            <w:noWrap/>
            <w:vAlign w:val="center"/>
            <w:hideMark/>
          </w:tcPr>
          <w:p w14:paraId="3598179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CO03</w:t>
            </w:r>
          </w:p>
        </w:tc>
        <w:tc>
          <w:tcPr>
            <w:tcW w:w="1266" w:type="pct"/>
            <w:shd w:val="clear" w:color="auto" w:fill="auto"/>
            <w:vAlign w:val="center"/>
            <w:hideMark/>
          </w:tcPr>
          <w:p w14:paraId="26CDE8F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Παραγωγικές Επενδύσεις: αριθμός επιχειρήσεων που λαμβάνουν επιχορηγήσεις πλην επιχορηγήσεων</w:t>
            </w:r>
          </w:p>
        </w:tc>
        <w:tc>
          <w:tcPr>
            <w:tcW w:w="487" w:type="pct"/>
            <w:shd w:val="clear" w:color="auto" w:fill="auto"/>
            <w:noWrap/>
            <w:vAlign w:val="center"/>
            <w:hideMark/>
          </w:tcPr>
          <w:p w14:paraId="446E9E19"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Επιχειρήσεις</w:t>
            </w:r>
          </w:p>
        </w:tc>
        <w:tc>
          <w:tcPr>
            <w:tcW w:w="440" w:type="pct"/>
            <w:shd w:val="clear" w:color="auto" w:fill="auto"/>
            <w:noWrap/>
            <w:vAlign w:val="center"/>
            <w:hideMark/>
          </w:tcPr>
          <w:p w14:paraId="62B40D8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3077FC30"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061298DB"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115</w:t>
            </w:r>
          </w:p>
        </w:tc>
        <w:tc>
          <w:tcPr>
            <w:tcW w:w="503" w:type="pct"/>
            <w:shd w:val="clear" w:color="auto" w:fill="auto"/>
            <w:noWrap/>
            <w:vAlign w:val="center"/>
            <w:hideMark/>
          </w:tcPr>
          <w:p w14:paraId="127EADC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46</w:t>
            </w:r>
          </w:p>
        </w:tc>
        <w:tc>
          <w:tcPr>
            <w:tcW w:w="503" w:type="pct"/>
            <w:shd w:val="clear" w:color="auto" w:fill="auto"/>
            <w:noWrap/>
            <w:vAlign w:val="center"/>
            <w:hideMark/>
          </w:tcPr>
          <w:p w14:paraId="20DC6E5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17</w:t>
            </w:r>
          </w:p>
        </w:tc>
        <w:tc>
          <w:tcPr>
            <w:tcW w:w="466" w:type="pct"/>
            <w:shd w:val="clear" w:color="auto" w:fill="auto"/>
            <w:noWrap/>
            <w:vAlign w:val="center"/>
            <w:hideMark/>
          </w:tcPr>
          <w:p w14:paraId="43813C3F"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52</w:t>
            </w:r>
          </w:p>
        </w:tc>
      </w:tr>
      <w:tr w:rsidR="0003032C" w:rsidRPr="00646DDA" w14:paraId="6A5E050B" w14:textId="77777777" w:rsidTr="00646DDA">
        <w:trPr>
          <w:trHeight w:val="525"/>
          <w:jc w:val="center"/>
        </w:trPr>
        <w:tc>
          <w:tcPr>
            <w:tcW w:w="450" w:type="pct"/>
            <w:shd w:val="clear" w:color="auto" w:fill="auto"/>
            <w:noWrap/>
            <w:vAlign w:val="center"/>
            <w:hideMark/>
          </w:tcPr>
          <w:p w14:paraId="6D4FA2C5"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CO05</w:t>
            </w:r>
          </w:p>
        </w:tc>
        <w:tc>
          <w:tcPr>
            <w:tcW w:w="1266" w:type="pct"/>
            <w:shd w:val="clear" w:color="auto" w:fill="auto"/>
            <w:vAlign w:val="center"/>
            <w:hideMark/>
          </w:tcPr>
          <w:p w14:paraId="2324416D"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Παραγωγικές Επενδύσεις: Αριθμός νέων επιχειρήσεων που ενισχύονται</w:t>
            </w:r>
          </w:p>
        </w:tc>
        <w:tc>
          <w:tcPr>
            <w:tcW w:w="487" w:type="pct"/>
            <w:shd w:val="clear" w:color="auto" w:fill="auto"/>
            <w:noWrap/>
            <w:vAlign w:val="center"/>
            <w:hideMark/>
          </w:tcPr>
          <w:p w14:paraId="40EEAEC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Επιχειρήσεις</w:t>
            </w:r>
          </w:p>
        </w:tc>
        <w:tc>
          <w:tcPr>
            <w:tcW w:w="440" w:type="pct"/>
            <w:shd w:val="clear" w:color="auto" w:fill="auto"/>
            <w:noWrap/>
            <w:vAlign w:val="center"/>
            <w:hideMark/>
          </w:tcPr>
          <w:p w14:paraId="1FB3699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40E5F41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50D2A97E"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100</w:t>
            </w:r>
          </w:p>
        </w:tc>
        <w:tc>
          <w:tcPr>
            <w:tcW w:w="503" w:type="pct"/>
            <w:shd w:val="clear" w:color="auto" w:fill="auto"/>
            <w:noWrap/>
            <w:vAlign w:val="center"/>
            <w:hideMark/>
          </w:tcPr>
          <w:p w14:paraId="3CBD200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46</w:t>
            </w:r>
          </w:p>
        </w:tc>
        <w:tc>
          <w:tcPr>
            <w:tcW w:w="503" w:type="pct"/>
            <w:shd w:val="clear" w:color="auto" w:fill="auto"/>
            <w:noWrap/>
            <w:vAlign w:val="center"/>
            <w:hideMark/>
          </w:tcPr>
          <w:p w14:paraId="3E81F9BE"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15</w:t>
            </w:r>
          </w:p>
        </w:tc>
        <w:tc>
          <w:tcPr>
            <w:tcW w:w="466" w:type="pct"/>
            <w:shd w:val="clear" w:color="auto" w:fill="auto"/>
            <w:noWrap/>
            <w:vAlign w:val="center"/>
            <w:hideMark/>
          </w:tcPr>
          <w:p w14:paraId="1B56C205"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39</w:t>
            </w:r>
          </w:p>
        </w:tc>
      </w:tr>
      <w:tr w:rsidR="0003032C" w:rsidRPr="00646DDA" w14:paraId="3185068C" w14:textId="77777777" w:rsidTr="00646DDA">
        <w:trPr>
          <w:trHeight w:val="1035"/>
          <w:jc w:val="center"/>
        </w:trPr>
        <w:tc>
          <w:tcPr>
            <w:tcW w:w="450" w:type="pct"/>
            <w:shd w:val="clear" w:color="auto" w:fill="auto"/>
            <w:noWrap/>
            <w:vAlign w:val="center"/>
            <w:hideMark/>
          </w:tcPr>
          <w:p w14:paraId="33F45EE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CO07</w:t>
            </w:r>
          </w:p>
        </w:tc>
        <w:tc>
          <w:tcPr>
            <w:tcW w:w="1266" w:type="pct"/>
            <w:shd w:val="clear" w:color="auto" w:fill="auto"/>
            <w:vAlign w:val="center"/>
            <w:hideMark/>
          </w:tcPr>
          <w:p w14:paraId="40EA5B1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Παραγωγικές Επενδύσεις: Ιδιωτικές Επενδύσεις που συνδυάζονται με δημόσια στήριξη των επιχειρήσεων (όχι επιχορηγήσεις)</w:t>
            </w:r>
          </w:p>
        </w:tc>
        <w:tc>
          <w:tcPr>
            <w:tcW w:w="487" w:type="pct"/>
            <w:shd w:val="clear" w:color="auto" w:fill="auto"/>
            <w:noWrap/>
            <w:vAlign w:val="center"/>
            <w:hideMark/>
          </w:tcPr>
          <w:p w14:paraId="79B5C657"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Ευρώ</w:t>
            </w:r>
          </w:p>
        </w:tc>
        <w:tc>
          <w:tcPr>
            <w:tcW w:w="440" w:type="pct"/>
            <w:shd w:val="clear" w:color="auto" w:fill="auto"/>
            <w:noWrap/>
            <w:vAlign w:val="center"/>
            <w:hideMark/>
          </w:tcPr>
          <w:p w14:paraId="4D86E5E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4B2E90C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54751588"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21.980.000</w:t>
            </w:r>
          </w:p>
        </w:tc>
        <w:tc>
          <w:tcPr>
            <w:tcW w:w="503" w:type="pct"/>
            <w:shd w:val="clear" w:color="auto" w:fill="auto"/>
            <w:noWrap/>
            <w:vAlign w:val="center"/>
            <w:hideMark/>
          </w:tcPr>
          <w:p w14:paraId="2AC7EA2F"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8.790.000</w:t>
            </w:r>
          </w:p>
        </w:tc>
        <w:tc>
          <w:tcPr>
            <w:tcW w:w="503" w:type="pct"/>
            <w:shd w:val="clear" w:color="auto" w:fill="auto"/>
            <w:noWrap/>
            <w:vAlign w:val="center"/>
            <w:hideMark/>
          </w:tcPr>
          <w:p w14:paraId="526FD68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3.297.000</w:t>
            </w:r>
          </w:p>
        </w:tc>
        <w:tc>
          <w:tcPr>
            <w:tcW w:w="466" w:type="pct"/>
            <w:shd w:val="clear" w:color="auto" w:fill="auto"/>
            <w:noWrap/>
            <w:vAlign w:val="center"/>
            <w:hideMark/>
          </w:tcPr>
          <w:p w14:paraId="2784ED0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9.893.000</w:t>
            </w:r>
          </w:p>
        </w:tc>
      </w:tr>
      <w:tr w:rsidR="0003032C" w:rsidRPr="00646DDA" w14:paraId="735BD486" w14:textId="77777777" w:rsidTr="00646DDA">
        <w:trPr>
          <w:trHeight w:val="780"/>
          <w:jc w:val="center"/>
        </w:trPr>
        <w:tc>
          <w:tcPr>
            <w:tcW w:w="450" w:type="pct"/>
            <w:shd w:val="clear" w:color="auto" w:fill="auto"/>
            <w:noWrap/>
            <w:vAlign w:val="center"/>
            <w:hideMark/>
          </w:tcPr>
          <w:p w14:paraId="5758F1C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CO24</w:t>
            </w:r>
          </w:p>
        </w:tc>
        <w:tc>
          <w:tcPr>
            <w:tcW w:w="1266" w:type="pct"/>
            <w:shd w:val="clear" w:color="auto" w:fill="auto"/>
            <w:vAlign w:val="center"/>
            <w:hideMark/>
          </w:tcPr>
          <w:p w14:paraId="0A3FBBEE"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Έρευνα, Καινοτομία: Αριθμός νέων ερευνητών σε οντότητες που ενισχύονται</w:t>
            </w:r>
          </w:p>
        </w:tc>
        <w:tc>
          <w:tcPr>
            <w:tcW w:w="487" w:type="pct"/>
            <w:shd w:val="clear" w:color="auto" w:fill="auto"/>
            <w:noWrap/>
            <w:vAlign w:val="center"/>
            <w:hideMark/>
          </w:tcPr>
          <w:p w14:paraId="4A195720"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ΙΠΑ</w:t>
            </w:r>
          </w:p>
        </w:tc>
        <w:tc>
          <w:tcPr>
            <w:tcW w:w="440" w:type="pct"/>
            <w:shd w:val="clear" w:color="auto" w:fill="auto"/>
            <w:noWrap/>
            <w:vAlign w:val="center"/>
            <w:hideMark/>
          </w:tcPr>
          <w:p w14:paraId="49305345"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5DF7667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7721D7DC"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7.762</w:t>
            </w:r>
          </w:p>
        </w:tc>
        <w:tc>
          <w:tcPr>
            <w:tcW w:w="503" w:type="pct"/>
            <w:shd w:val="clear" w:color="auto" w:fill="auto"/>
            <w:noWrap/>
            <w:vAlign w:val="center"/>
            <w:hideMark/>
          </w:tcPr>
          <w:p w14:paraId="686318D1"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3.772</w:t>
            </w:r>
          </w:p>
        </w:tc>
        <w:tc>
          <w:tcPr>
            <w:tcW w:w="503" w:type="pct"/>
            <w:shd w:val="clear" w:color="auto" w:fill="auto"/>
            <w:noWrap/>
            <w:vAlign w:val="center"/>
            <w:hideMark/>
          </w:tcPr>
          <w:p w14:paraId="3CBBFA8B"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1.265</w:t>
            </w:r>
          </w:p>
        </w:tc>
        <w:tc>
          <w:tcPr>
            <w:tcW w:w="466" w:type="pct"/>
            <w:shd w:val="clear" w:color="auto" w:fill="auto"/>
            <w:noWrap/>
            <w:vAlign w:val="center"/>
            <w:hideMark/>
          </w:tcPr>
          <w:p w14:paraId="12878090"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2.725</w:t>
            </w:r>
          </w:p>
        </w:tc>
      </w:tr>
      <w:tr w:rsidR="0003032C" w:rsidRPr="00646DDA" w14:paraId="5D688E07" w14:textId="77777777" w:rsidTr="00646DDA">
        <w:trPr>
          <w:trHeight w:val="1035"/>
          <w:jc w:val="center"/>
        </w:trPr>
        <w:tc>
          <w:tcPr>
            <w:tcW w:w="450" w:type="pct"/>
            <w:shd w:val="clear" w:color="auto" w:fill="auto"/>
            <w:noWrap/>
            <w:vAlign w:val="center"/>
            <w:hideMark/>
          </w:tcPr>
          <w:p w14:paraId="24F50C12"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CO25</w:t>
            </w:r>
          </w:p>
        </w:tc>
        <w:tc>
          <w:tcPr>
            <w:tcW w:w="1266" w:type="pct"/>
            <w:shd w:val="clear" w:color="auto" w:fill="auto"/>
            <w:vAlign w:val="center"/>
            <w:hideMark/>
          </w:tcPr>
          <w:p w14:paraId="67DCDDE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Έρευνα, Καινοτομία: Αριθμός ερευνητών που εργάζονται σε βελτιωμένες εγκαταστάσεις ερευνητικών υποδομών</w:t>
            </w:r>
          </w:p>
        </w:tc>
        <w:tc>
          <w:tcPr>
            <w:tcW w:w="487" w:type="pct"/>
            <w:shd w:val="clear" w:color="auto" w:fill="auto"/>
            <w:noWrap/>
            <w:vAlign w:val="center"/>
            <w:hideMark/>
          </w:tcPr>
          <w:p w14:paraId="1F393505"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ΙΠΑ</w:t>
            </w:r>
          </w:p>
        </w:tc>
        <w:tc>
          <w:tcPr>
            <w:tcW w:w="440" w:type="pct"/>
            <w:shd w:val="clear" w:color="auto" w:fill="auto"/>
            <w:noWrap/>
            <w:vAlign w:val="center"/>
            <w:hideMark/>
          </w:tcPr>
          <w:p w14:paraId="70B3B557"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3/3Σ</w:t>
            </w:r>
          </w:p>
        </w:tc>
        <w:tc>
          <w:tcPr>
            <w:tcW w:w="444" w:type="pct"/>
            <w:shd w:val="clear" w:color="auto" w:fill="auto"/>
            <w:noWrap/>
            <w:vAlign w:val="center"/>
            <w:hideMark/>
          </w:tcPr>
          <w:p w14:paraId="3940B11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1a</w:t>
            </w:r>
          </w:p>
        </w:tc>
        <w:tc>
          <w:tcPr>
            <w:tcW w:w="441" w:type="pct"/>
            <w:shd w:val="clear" w:color="auto" w:fill="auto"/>
            <w:noWrap/>
            <w:vAlign w:val="center"/>
            <w:hideMark/>
          </w:tcPr>
          <w:p w14:paraId="01D7453C"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2.165</w:t>
            </w:r>
          </w:p>
        </w:tc>
        <w:tc>
          <w:tcPr>
            <w:tcW w:w="503" w:type="pct"/>
            <w:shd w:val="clear" w:color="auto" w:fill="auto"/>
            <w:noWrap/>
            <w:vAlign w:val="center"/>
            <w:hideMark/>
          </w:tcPr>
          <w:p w14:paraId="3A87BBE8"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645</w:t>
            </w:r>
          </w:p>
        </w:tc>
        <w:tc>
          <w:tcPr>
            <w:tcW w:w="503" w:type="pct"/>
            <w:shd w:val="clear" w:color="auto" w:fill="auto"/>
            <w:noWrap/>
            <w:vAlign w:val="center"/>
            <w:hideMark/>
          </w:tcPr>
          <w:p w14:paraId="0440741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517</w:t>
            </w:r>
          </w:p>
        </w:tc>
        <w:tc>
          <w:tcPr>
            <w:tcW w:w="466" w:type="pct"/>
            <w:shd w:val="clear" w:color="auto" w:fill="auto"/>
            <w:noWrap/>
            <w:vAlign w:val="center"/>
            <w:hideMark/>
          </w:tcPr>
          <w:p w14:paraId="37B2B222"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1.003</w:t>
            </w:r>
          </w:p>
        </w:tc>
      </w:tr>
      <w:tr w:rsidR="0003032C" w:rsidRPr="00646DDA" w14:paraId="0F782AD6" w14:textId="77777777" w:rsidTr="00646DDA">
        <w:trPr>
          <w:trHeight w:val="780"/>
          <w:jc w:val="center"/>
        </w:trPr>
        <w:tc>
          <w:tcPr>
            <w:tcW w:w="450" w:type="pct"/>
            <w:shd w:val="clear" w:color="auto" w:fill="auto"/>
            <w:noWrap/>
            <w:vAlign w:val="center"/>
            <w:hideMark/>
          </w:tcPr>
          <w:p w14:paraId="0F1D8DEB"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lastRenderedPageBreak/>
              <w:t>CO26</w:t>
            </w:r>
          </w:p>
        </w:tc>
        <w:tc>
          <w:tcPr>
            <w:tcW w:w="1266" w:type="pct"/>
            <w:shd w:val="clear" w:color="auto" w:fill="auto"/>
            <w:vAlign w:val="center"/>
            <w:hideMark/>
          </w:tcPr>
          <w:p w14:paraId="7BDA2F02"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Έρευνα, Καινοτομία: Αριθμός επιχειρήσεων που συνεργάζονται με ερευνητικά ινστιτούτα</w:t>
            </w:r>
          </w:p>
        </w:tc>
        <w:tc>
          <w:tcPr>
            <w:tcW w:w="487" w:type="pct"/>
            <w:shd w:val="clear" w:color="auto" w:fill="auto"/>
            <w:noWrap/>
            <w:vAlign w:val="center"/>
            <w:hideMark/>
          </w:tcPr>
          <w:p w14:paraId="7C4A5A3B"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Επιχειρήσεις</w:t>
            </w:r>
          </w:p>
        </w:tc>
        <w:tc>
          <w:tcPr>
            <w:tcW w:w="440" w:type="pct"/>
            <w:shd w:val="clear" w:color="auto" w:fill="auto"/>
            <w:noWrap/>
            <w:vAlign w:val="center"/>
            <w:hideMark/>
          </w:tcPr>
          <w:p w14:paraId="4B748909"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50BA04FF"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0B5E859A"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640</w:t>
            </w:r>
          </w:p>
        </w:tc>
        <w:tc>
          <w:tcPr>
            <w:tcW w:w="503" w:type="pct"/>
            <w:shd w:val="clear" w:color="auto" w:fill="auto"/>
            <w:noWrap/>
            <w:vAlign w:val="center"/>
            <w:hideMark/>
          </w:tcPr>
          <w:p w14:paraId="44382C0D"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321</w:t>
            </w:r>
          </w:p>
        </w:tc>
        <w:tc>
          <w:tcPr>
            <w:tcW w:w="503" w:type="pct"/>
            <w:shd w:val="clear" w:color="auto" w:fill="auto"/>
            <w:noWrap/>
            <w:vAlign w:val="center"/>
            <w:hideMark/>
          </w:tcPr>
          <w:p w14:paraId="39FED70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121</w:t>
            </w:r>
          </w:p>
        </w:tc>
        <w:tc>
          <w:tcPr>
            <w:tcW w:w="466" w:type="pct"/>
            <w:shd w:val="clear" w:color="auto" w:fill="auto"/>
            <w:noWrap/>
            <w:vAlign w:val="center"/>
            <w:hideMark/>
          </w:tcPr>
          <w:p w14:paraId="008BD507"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198</w:t>
            </w:r>
          </w:p>
        </w:tc>
      </w:tr>
      <w:tr w:rsidR="0003032C" w:rsidRPr="00646DDA" w14:paraId="52BD4ABC" w14:textId="77777777" w:rsidTr="00646DDA">
        <w:trPr>
          <w:trHeight w:val="1290"/>
          <w:jc w:val="center"/>
        </w:trPr>
        <w:tc>
          <w:tcPr>
            <w:tcW w:w="450" w:type="pct"/>
            <w:shd w:val="clear" w:color="auto" w:fill="auto"/>
            <w:noWrap/>
            <w:vAlign w:val="center"/>
            <w:hideMark/>
          </w:tcPr>
          <w:p w14:paraId="10101D8D"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CO27</w:t>
            </w:r>
          </w:p>
        </w:tc>
        <w:tc>
          <w:tcPr>
            <w:tcW w:w="1266" w:type="pct"/>
            <w:shd w:val="clear" w:color="auto" w:fill="auto"/>
            <w:vAlign w:val="center"/>
            <w:hideMark/>
          </w:tcPr>
          <w:p w14:paraId="554A65F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 xml:space="preserve">Έρευνα, Καινοτομία: Ιδιωτικές επενδύσεις που συνδυάζονται με δημόσια </w:t>
            </w:r>
            <w:r w:rsidR="00A332A9" w:rsidRPr="00646DDA">
              <w:rPr>
                <w:rFonts w:eastAsia="Times New Roman"/>
                <w:color w:val="000000"/>
                <w:szCs w:val="18"/>
                <w:lang w:eastAsia="el-GR"/>
              </w:rPr>
              <w:t>στήριξη</w:t>
            </w:r>
            <w:r w:rsidRPr="00646DDA">
              <w:rPr>
                <w:rFonts w:eastAsia="Times New Roman"/>
                <w:color w:val="000000"/>
                <w:szCs w:val="18"/>
                <w:lang w:eastAsia="el-GR"/>
              </w:rPr>
              <w:t xml:space="preserve"> στον τομέα της καινοτομίας ή σε έργα έρευνας και ανάπτυξης</w:t>
            </w:r>
          </w:p>
        </w:tc>
        <w:tc>
          <w:tcPr>
            <w:tcW w:w="487" w:type="pct"/>
            <w:shd w:val="clear" w:color="auto" w:fill="auto"/>
            <w:noWrap/>
            <w:vAlign w:val="center"/>
            <w:hideMark/>
          </w:tcPr>
          <w:p w14:paraId="22370F69"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Ευρώ</w:t>
            </w:r>
          </w:p>
        </w:tc>
        <w:tc>
          <w:tcPr>
            <w:tcW w:w="440" w:type="pct"/>
            <w:shd w:val="clear" w:color="auto" w:fill="auto"/>
            <w:noWrap/>
            <w:vAlign w:val="center"/>
            <w:hideMark/>
          </w:tcPr>
          <w:p w14:paraId="3556FA60"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64CFF66F"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192DFE0E"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135.000.000</w:t>
            </w:r>
          </w:p>
        </w:tc>
        <w:tc>
          <w:tcPr>
            <w:tcW w:w="503" w:type="pct"/>
            <w:shd w:val="clear" w:color="auto" w:fill="auto"/>
            <w:noWrap/>
            <w:vAlign w:val="center"/>
            <w:hideMark/>
          </w:tcPr>
          <w:p w14:paraId="147830F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77.190.000</w:t>
            </w:r>
          </w:p>
        </w:tc>
        <w:tc>
          <w:tcPr>
            <w:tcW w:w="503" w:type="pct"/>
            <w:shd w:val="clear" w:color="auto" w:fill="auto"/>
            <w:noWrap/>
            <w:vAlign w:val="center"/>
            <w:hideMark/>
          </w:tcPr>
          <w:p w14:paraId="61FBFB7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17.720.000</w:t>
            </w:r>
          </w:p>
        </w:tc>
        <w:tc>
          <w:tcPr>
            <w:tcW w:w="466" w:type="pct"/>
            <w:shd w:val="clear" w:color="auto" w:fill="auto"/>
            <w:noWrap/>
            <w:vAlign w:val="center"/>
            <w:hideMark/>
          </w:tcPr>
          <w:p w14:paraId="1AEB5F8C"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40.090.000</w:t>
            </w:r>
          </w:p>
        </w:tc>
      </w:tr>
      <w:tr w:rsidR="0003032C" w:rsidRPr="00646DDA" w14:paraId="18767516" w14:textId="77777777" w:rsidTr="00646DDA">
        <w:trPr>
          <w:trHeight w:val="780"/>
          <w:jc w:val="center"/>
        </w:trPr>
        <w:tc>
          <w:tcPr>
            <w:tcW w:w="450" w:type="pct"/>
            <w:shd w:val="clear" w:color="auto" w:fill="auto"/>
            <w:noWrap/>
            <w:vAlign w:val="center"/>
            <w:hideMark/>
          </w:tcPr>
          <w:p w14:paraId="42E8F613"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Τ4204</w:t>
            </w:r>
          </w:p>
        </w:tc>
        <w:tc>
          <w:tcPr>
            <w:tcW w:w="1266" w:type="pct"/>
            <w:shd w:val="clear" w:color="auto" w:fill="auto"/>
            <w:vAlign w:val="center"/>
            <w:hideMark/>
          </w:tcPr>
          <w:p w14:paraId="7E35005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Αριθμός κοινών έργων Ε&amp;Κ με φορείς άλλων χωρών (με ή χωρίς συντονισμό με την Ε.Ε)</w:t>
            </w:r>
          </w:p>
        </w:tc>
        <w:tc>
          <w:tcPr>
            <w:tcW w:w="487" w:type="pct"/>
            <w:shd w:val="clear" w:color="auto" w:fill="auto"/>
            <w:noWrap/>
            <w:vAlign w:val="center"/>
            <w:hideMark/>
          </w:tcPr>
          <w:p w14:paraId="525A970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Αριθμός</w:t>
            </w:r>
          </w:p>
        </w:tc>
        <w:tc>
          <w:tcPr>
            <w:tcW w:w="440" w:type="pct"/>
            <w:shd w:val="clear" w:color="auto" w:fill="auto"/>
            <w:noWrap/>
            <w:vAlign w:val="center"/>
            <w:hideMark/>
          </w:tcPr>
          <w:p w14:paraId="78606212"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1/1Σ</w:t>
            </w:r>
          </w:p>
        </w:tc>
        <w:tc>
          <w:tcPr>
            <w:tcW w:w="444" w:type="pct"/>
            <w:shd w:val="clear" w:color="auto" w:fill="auto"/>
            <w:noWrap/>
            <w:vAlign w:val="center"/>
            <w:hideMark/>
          </w:tcPr>
          <w:p w14:paraId="249F42C7"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1b</w:t>
            </w:r>
          </w:p>
        </w:tc>
        <w:tc>
          <w:tcPr>
            <w:tcW w:w="441" w:type="pct"/>
            <w:shd w:val="clear" w:color="auto" w:fill="auto"/>
            <w:noWrap/>
            <w:vAlign w:val="center"/>
            <w:hideMark/>
          </w:tcPr>
          <w:p w14:paraId="0CD1980D"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292</w:t>
            </w:r>
          </w:p>
        </w:tc>
        <w:tc>
          <w:tcPr>
            <w:tcW w:w="503" w:type="pct"/>
            <w:shd w:val="clear" w:color="auto" w:fill="auto"/>
            <w:noWrap/>
            <w:vAlign w:val="center"/>
            <w:hideMark/>
          </w:tcPr>
          <w:p w14:paraId="5FC2D05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121</w:t>
            </w:r>
          </w:p>
        </w:tc>
        <w:tc>
          <w:tcPr>
            <w:tcW w:w="503" w:type="pct"/>
            <w:shd w:val="clear" w:color="auto" w:fill="auto"/>
            <w:noWrap/>
            <w:vAlign w:val="center"/>
            <w:hideMark/>
          </w:tcPr>
          <w:p w14:paraId="4FBF5420"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66</w:t>
            </w:r>
          </w:p>
        </w:tc>
        <w:tc>
          <w:tcPr>
            <w:tcW w:w="466" w:type="pct"/>
            <w:shd w:val="clear" w:color="auto" w:fill="auto"/>
            <w:noWrap/>
            <w:vAlign w:val="center"/>
            <w:hideMark/>
          </w:tcPr>
          <w:p w14:paraId="7A0B242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105</w:t>
            </w:r>
          </w:p>
        </w:tc>
      </w:tr>
      <w:tr w:rsidR="0003032C" w:rsidRPr="00646DDA" w14:paraId="6C5355E7" w14:textId="77777777" w:rsidTr="00646DDA">
        <w:trPr>
          <w:trHeight w:val="540"/>
          <w:jc w:val="center"/>
        </w:trPr>
        <w:tc>
          <w:tcPr>
            <w:tcW w:w="450" w:type="pct"/>
            <w:shd w:val="clear" w:color="auto" w:fill="auto"/>
            <w:noWrap/>
            <w:vAlign w:val="center"/>
            <w:hideMark/>
          </w:tcPr>
          <w:p w14:paraId="1376982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T4225/SO033</w:t>
            </w:r>
          </w:p>
        </w:tc>
        <w:tc>
          <w:tcPr>
            <w:tcW w:w="1266" w:type="pct"/>
            <w:shd w:val="clear" w:color="auto" w:fill="auto"/>
            <w:vAlign w:val="center"/>
            <w:hideMark/>
          </w:tcPr>
          <w:p w14:paraId="47B7A466"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Ερευνητικές υποδομές που ενισχύονται</w:t>
            </w:r>
          </w:p>
        </w:tc>
        <w:tc>
          <w:tcPr>
            <w:tcW w:w="487" w:type="pct"/>
            <w:shd w:val="clear" w:color="auto" w:fill="auto"/>
            <w:noWrap/>
            <w:vAlign w:val="center"/>
            <w:hideMark/>
          </w:tcPr>
          <w:p w14:paraId="6B2AB88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Αριθμός</w:t>
            </w:r>
          </w:p>
        </w:tc>
        <w:tc>
          <w:tcPr>
            <w:tcW w:w="440" w:type="pct"/>
            <w:shd w:val="clear" w:color="auto" w:fill="auto"/>
            <w:noWrap/>
            <w:vAlign w:val="center"/>
            <w:hideMark/>
          </w:tcPr>
          <w:p w14:paraId="60F67E0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3/3Σ</w:t>
            </w:r>
          </w:p>
        </w:tc>
        <w:tc>
          <w:tcPr>
            <w:tcW w:w="444" w:type="pct"/>
            <w:shd w:val="clear" w:color="auto" w:fill="auto"/>
            <w:noWrap/>
            <w:vAlign w:val="center"/>
            <w:hideMark/>
          </w:tcPr>
          <w:p w14:paraId="6B4D5144"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1a</w:t>
            </w:r>
          </w:p>
        </w:tc>
        <w:tc>
          <w:tcPr>
            <w:tcW w:w="441" w:type="pct"/>
            <w:shd w:val="clear" w:color="auto" w:fill="auto"/>
            <w:noWrap/>
            <w:vAlign w:val="center"/>
            <w:hideMark/>
          </w:tcPr>
          <w:p w14:paraId="10339A89" w14:textId="77777777" w:rsidR="00913B2D" w:rsidRPr="00646DDA" w:rsidRDefault="00913B2D" w:rsidP="00646DDA">
            <w:pPr>
              <w:spacing w:before="0" w:line="240" w:lineRule="auto"/>
              <w:jc w:val="center"/>
              <w:rPr>
                <w:rFonts w:eastAsia="Times New Roman"/>
                <w:b/>
                <w:bCs/>
                <w:i/>
                <w:iCs/>
                <w:color w:val="000000"/>
                <w:szCs w:val="18"/>
                <w:lang w:eastAsia="el-GR"/>
              </w:rPr>
            </w:pPr>
            <w:r w:rsidRPr="00646DDA">
              <w:rPr>
                <w:rFonts w:eastAsia="Times New Roman"/>
                <w:b/>
                <w:bCs/>
                <w:i/>
                <w:iCs/>
                <w:color w:val="000000"/>
                <w:szCs w:val="18"/>
                <w:lang w:eastAsia="el-GR"/>
              </w:rPr>
              <w:t>28</w:t>
            </w:r>
          </w:p>
        </w:tc>
        <w:tc>
          <w:tcPr>
            <w:tcW w:w="503" w:type="pct"/>
            <w:shd w:val="clear" w:color="auto" w:fill="auto"/>
            <w:noWrap/>
            <w:vAlign w:val="center"/>
            <w:hideMark/>
          </w:tcPr>
          <w:p w14:paraId="26BC44ED"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8</w:t>
            </w:r>
          </w:p>
        </w:tc>
        <w:tc>
          <w:tcPr>
            <w:tcW w:w="503" w:type="pct"/>
            <w:shd w:val="clear" w:color="auto" w:fill="auto"/>
            <w:noWrap/>
            <w:vAlign w:val="center"/>
            <w:hideMark/>
          </w:tcPr>
          <w:p w14:paraId="1FACF2B2"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6</w:t>
            </w:r>
          </w:p>
        </w:tc>
        <w:tc>
          <w:tcPr>
            <w:tcW w:w="466" w:type="pct"/>
            <w:shd w:val="clear" w:color="auto" w:fill="auto"/>
            <w:noWrap/>
            <w:vAlign w:val="center"/>
            <w:hideMark/>
          </w:tcPr>
          <w:p w14:paraId="48E74BCA" w14:textId="77777777" w:rsidR="00913B2D" w:rsidRPr="00646DDA" w:rsidRDefault="00913B2D" w:rsidP="00646DDA">
            <w:pPr>
              <w:spacing w:before="0" w:line="240" w:lineRule="auto"/>
              <w:jc w:val="center"/>
              <w:rPr>
                <w:rFonts w:eastAsia="Times New Roman"/>
                <w:color w:val="000000"/>
                <w:szCs w:val="18"/>
                <w:lang w:eastAsia="el-GR"/>
              </w:rPr>
            </w:pPr>
            <w:r w:rsidRPr="00646DDA">
              <w:rPr>
                <w:rFonts w:eastAsia="Times New Roman"/>
                <w:color w:val="000000"/>
                <w:szCs w:val="18"/>
                <w:lang w:eastAsia="el-GR"/>
              </w:rPr>
              <w:t>14</w:t>
            </w:r>
          </w:p>
        </w:tc>
      </w:tr>
    </w:tbl>
    <w:p w14:paraId="541370BC" w14:textId="77777777" w:rsidR="00D90118" w:rsidRPr="00A510E7" w:rsidRDefault="00D90118" w:rsidP="00D90118"/>
    <w:p w14:paraId="08D8B2D8" w14:textId="77777777" w:rsidR="00D90118" w:rsidRPr="0003032C" w:rsidRDefault="00D90118" w:rsidP="00D90118">
      <w:pPr>
        <w:rPr>
          <w:sz w:val="16"/>
          <w:szCs w:val="14"/>
        </w:rPr>
      </w:pPr>
      <w:r w:rsidRPr="0003032C">
        <w:rPr>
          <w:sz w:val="16"/>
          <w:szCs w:val="14"/>
        </w:rPr>
        <w:t xml:space="preserve">Σημ. 1: ΛΑΠ: Λιγότερο Ανεπτυγμένες Περιφέρειες, ΠΜ: Περιφέρειες Μετάβασης, ΠΑΠ: Περισσότερο Ανεπτυγμένες Περιφέρειες </w:t>
      </w:r>
    </w:p>
    <w:p w14:paraId="7C51B413" w14:textId="77777777" w:rsidR="00D90118" w:rsidRPr="0003032C" w:rsidRDefault="00D90118" w:rsidP="00D90118">
      <w:pPr>
        <w:rPr>
          <w:sz w:val="16"/>
          <w:szCs w:val="14"/>
        </w:rPr>
      </w:pPr>
      <w:r w:rsidRPr="0003032C">
        <w:rPr>
          <w:sz w:val="16"/>
          <w:szCs w:val="14"/>
        </w:rPr>
        <w:t>Σημ. 2: Οι τιμές στόχοι των δεικτών της Επενδυτικής Προτεραιότητας 1</w:t>
      </w:r>
      <w:r w:rsidRPr="0003032C">
        <w:rPr>
          <w:sz w:val="16"/>
          <w:szCs w:val="14"/>
          <w:lang w:val="en-US"/>
        </w:rPr>
        <w:t>b</w:t>
      </w:r>
      <w:r w:rsidRPr="0003032C">
        <w:rPr>
          <w:sz w:val="16"/>
          <w:szCs w:val="14"/>
        </w:rPr>
        <w:t xml:space="preserve"> έχουν προκύψει από την άθροιση  των αντίστοιχων τιμών σε επίπεδο Α.Π 1 και Α.Π 1Σ. Το ίδιο ισχύει και για την Επενδυτική Προτεραιότητα 1</w:t>
      </w:r>
      <w:r w:rsidRPr="0003032C">
        <w:rPr>
          <w:sz w:val="16"/>
          <w:szCs w:val="14"/>
          <w:lang w:val="en-US"/>
        </w:rPr>
        <w:t>a</w:t>
      </w:r>
      <w:r w:rsidRPr="0003032C">
        <w:rPr>
          <w:sz w:val="16"/>
          <w:szCs w:val="14"/>
        </w:rPr>
        <w:t xml:space="preserve"> για τους ΑΠ. 3 και 3Σ.</w:t>
      </w:r>
    </w:p>
    <w:p w14:paraId="6576322A" w14:textId="77777777" w:rsidR="00D90118" w:rsidRDefault="00D90118" w:rsidP="00D90118"/>
    <w:p w14:paraId="026F5971" w14:textId="77777777" w:rsidR="0003032C" w:rsidRDefault="0003032C" w:rsidP="00D90118">
      <w:pPr>
        <w:sectPr w:rsidR="0003032C" w:rsidSect="0003032C">
          <w:footerReference w:type="default" r:id="rId47"/>
          <w:pgSz w:w="16838" w:h="11906" w:orient="landscape"/>
          <w:pgMar w:top="1800" w:right="1440" w:bottom="1800" w:left="1440" w:header="708" w:footer="708" w:gutter="0"/>
          <w:cols w:space="708"/>
          <w:docGrid w:linePitch="360"/>
        </w:sectPr>
      </w:pPr>
    </w:p>
    <w:p w14:paraId="04C6F1E9" w14:textId="77777777" w:rsidR="00D90118" w:rsidRDefault="00D90118" w:rsidP="00D90118"/>
    <w:p w14:paraId="5F3B316A" w14:textId="77777777" w:rsidR="00D90118" w:rsidRPr="00987545" w:rsidRDefault="00D90118" w:rsidP="00D90118">
      <w:pPr>
        <w:rPr>
          <w:b/>
        </w:rPr>
      </w:pPr>
      <w:r w:rsidRPr="00987545">
        <w:rPr>
          <w:b/>
        </w:rPr>
        <w:t xml:space="preserve">Σε επίπεδο </w:t>
      </w:r>
      <w:r>
        <w:rPr>
          <w:b/>
        </w:rPr>
        <w:t>Προσκλήσεων</w:t>
      </w:r>
    </w:p>
    <w:p w14:paraId="7CE3A20F" w14:textId="77777777" w:rsidR="00D90118" w:rsidRPr="00987545" w:rsidRDefault="00D90118" w:rsidP="00D90118">
      <w:r>
        <w:t>Οι τιμές στόχοι των δεικτών εκροών των Προσκλήσεων που έχουν εκδοθεί μέχρι τέλος του 2018 στο πλαίσιο του Θεματικού Στόχου 1, έχουν ως εξής:</w:t>
      </w:r>
    </w:p>
    <w:p w14:paraId="43CD2651" w14:textId="77777777" w:rsidR="00D90118" w:rsidRPr="0000404B" w:rsidRDefault="0003032C" w:rsidP="0003032C">
      <w:pPr>
        <w:pStyle w:val="Caption"/>
        <w:rPr>
          <w:szCs w:val="16"/>
        </w:rPr>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6</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3</w:t>
      </w:r>
      <w:r w:rsidR="00833098">
        <w:rPr>
          <w:noProof/>
        </w:rPr>
        <w:fldChar w:fldCharType="end"/>
      </w:r>
      <w:r w:rsidR="0000404B" w:rsidRPr="0000404B">
        <w:rPr>
          <w:szCs w:val="16"/>
        </w:rPr>
        <w:t>: Τιμές δεκτών Προσκλήσεων Θ</w:t>
      </w:r>
      <w:r w:rsidR="0000404B">
        <w:rPr>
          <w:szCs w:val="16"/>
        </w:rPr>
        <w:t>Σ</w:t>
      </w:r>
      <w:r w:rsidR="0000404B" w:rsidRPr="0000404B">
        <w:rPr>
          <w:szCs w:val="16"/>
        </w:rPr>
        <w:t xml:space="preserve"> 1 ΕΠΑνΕΚ</w:t>
      </w:r>
    </w:p>
    <w:tbl>
      <w:tblPr>
        <w:tblStyle w:val="TableGrid"/>
        <w:tblW w:w="9214"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268"/>
        <w:gridCol w:w="1560"/>
        <w:gridCol w:w="1559"/>
        <w:gridCol w:w="992"/>
        <w:gridCol w:w="851"/>
        <w:gridCol w:w="1984"/>
      </w:tblGrid>
      <w:tr w:rsidR="00D90118" w14:paraId="10A69E67" w14:textId="77777777" w:rsidTr="00804D5C">
        <w:trPr>
          <w:trHeight w:val="497"/>
          <w:tblHeader/>
        </w:trPr>
        <w:tc>
          <w:tcPr>
            <w:tcW w:w="2268" w:type="dxa"/>
            <w:vMerge w:val="restart"/>
            <w:shd w:val="clear" w:color="auto" w:fill="800000"/>
            <w:vAlign w:val="center"/>
          </w:tcPr>
          <w:p w14:paraId="3043B77C" w14:textId="77777777" w:rsidR="00D90118" w:rsidRPr="0003032C" w:rsidRDefault="00D90118" w:rsidP="0003032C">
            <w:pPr>
              <w:jc w:val="center"/>
              <w:rPr>
                <w:b/>
              </w:rPr>
            </w:pPr>
            <w:r w:rsidRPr="0003032C">
              <w:rPr>
                <w:b/>
              </w:rPr>
              <w:t>Πρόσκληση/Δράση</w:t>
            </w:r>
          </w:p>
        </w:tc>
        <w:tc>
          <w:tcPr>
            <w:tcW w:w="1560" w:type="dxa"/>
            <w:vMerge w:val="restart"/>
            <w:shd w:val="clear" w:color="auto" w:fill="800000"/>
            <w:vAlign w:val="center"/>
          </w:tcPr>
          <w:p w14:paraId="30E2E385" w14:textId="77777777" w:rsidR="00D90118" w:rsidRPr="0003032C" w:rsidRDefault="00D90118" w:rsidP="0003032C">
            <w:pPr>
              <w:jc w:val="center"/>
              <w:rPr>
                <w:b/>
              </w:rPr>
            </w:pPr>
            <w:r w:rsidRPr="0003032C">
              <w:rPr>
                <w:b/>
              </w:rPr>
              <w:t>Ομάδα Περιφερειών</w:t>
            </w:r>
          </w:p>
        </w:tc>
        <w:tc>
          <w:tcPr>
            <w:tcW w:w="5386" w:type="dxa"/>
            <w:gridSpan w:val="4"/>
            <w:shd w:val="clear" w:color="auto" w:fill="800000"/>
          </w:tcPr>
          <w:p w14:paraId="0B3F2622" w14:textId="77777777" w:rsidR="00D90118" w:rsidRPr="0003032C" w:rsidRDefault="00D90118" w:rsidP="0003032C">
            <w:pPr>
              <w:jc w:val="center"/>
              <w:rPr>
                <w:b/>
                <w:sz w:val="16"/>
                <w:szCs w:val="16"/>
              </w:rPr>
            </w:pPr>
            <w:r w:rsidRPr="0003032C">
              <w:rPr>
                <w:b/>
                <w:szCs w:val="16"/>
              </w:rPr>
              <w:t>Τιμές στόχοι  ανά Πρόσκληση Επενδ Προτ 1</w:t>
            </w:r>
            <w:r w:rsidRPr="0003032C">
              <w:rPr>
                <w:b/>
                <w:szCs w:val="16"/>
                <w:lang w:val="en-US"/>
              </w:rPr>
              <w:t>a</w:t>
            </w:r>
            <w:r w:rsidRPr="0003032C">
              <w:rPr>
                <w:b/>
                <w:szCs w:val="16"/>
              </w:rPr>
              <w:t xml:space="preserve"> και 1</w:t>
            </w:r>
            <w:r w:rsidRPr="0003032C">
              <w:rPr>
                <w:b/>
                <w:szCs w:val="16"/>
                <w:lang w:val="en-US"/>
              </w:rPr>
              <w:t>b</w:t>
            </w:r>
          </w:p>
        </w:tc>
      </w:tr>
      <w:tr w:rsidR="00D90118" w14:paraId="6D73246B" w14:textId="77777777" w:rsidTr="0003032C">
        <w:trPr>
          <w:tblHeader/>
        </w:trPr>
        <w:tc>
          <w:tcPr>
            <w:tcW w:w="2268" w:type="dxa"/>
            <w:vMerge/>
            <w:shd w:val="clear" w:color="auto" w:fill="800000"/>
          </w:tcPr>
          <w:p w14:paraId="631783CC" w14:textId="77777777" w:rsidR="00D90118" w:rsidRPr="00A07EEE" w:rsidRDefault="00D90118" w:rsidP="00D21C6A"/>
        </w:tc>
        <w:tc>
          <w:tcPr>
            <w:tcW w:w="1560" w:type="dxa"/>
            <w:vMerge/>
            <w:shd w:val="clear" w:color="auto" w:fill="800000"/>
          </w:tcPr>
          <w:p w14:paraId="182813A9" w14:textId="77777777" w:rsidR="00D90118" w:rsidRPr="00A07EEE" w:rsidRDefault="00D90118" w:rsidP="00D21C6A"/>
        </w:tc>
        <w:tc>
          <w:tcPr>
            <w:tcW w:w="1559" w:type="dxa"/>
            <w:shd w:val="clear" w:color="auto" w:fill="D9D9D9" w:themeFill="background1" w:themeFillShade="D9"/>
            <w:vAlign w:val="center"/>
          </w:tcPr>
          <w:p w14:paraId="5486F91C" w14:textId="77777777" w:rsidR="00D90118" w:rsidRPr="00A07EEE" w:rsidRDefault="00D90118" w:rsidP="00D21C6A">
            <w:pPr>
              <w:jc w:val="center"/>
              <w:rPr>
                <w:b/>
                <w:sz w:val="16"/>
                <w:szCs w:val="16"/>
              </w:rPr>
            </w:pPr>
            <w:r w:rsidRPr="00A07EEE">
              <w:rPr>
                <w:b/>
                <w:sz w:val="16"/>
                <w:szCs w:val="16"/>
              </w:rPr>
              <w:t>05801</w:t>
            </w:r>
          </w:p>
        </w:tc>
        <w:tc>
          <w:tcPr>
            <w:tcW w:w="992" w:type="dxa"/>
            <w:shd w:val="clear" w:color="auto" w:fill="D9D9D9" w:themeFill="background1" w:themeFillShade="D9"/>
            <w:vAlign w:val="center"/>
          </w:tcPr>
          <w:p w14:paraId="590F8249" w14:textId="77777777" w:rsidR="00D90118" w:rsidRPr="00A07EEE" w:rsidRDefault="00D90118" w:rsidP="00D21C6A">
            <w:pPr>
              <w:jc w:val="center"/>
              <w:rPr>
                <w:b/>
                <w:sz w:val="16"/>
                <w:szCs w:val="16"/>
                <w:lang w:val="en-US"/>
              </w:rPr>
            </w:pPr>
            <w:r w:rsidRPr="00A07EEE">
              <w:rPr>
                <w:b/>
                <w:sz w:val="16"/>
                <w:szCs w:val="16"/>
                <w:lang w:val="en-US"/>
              </w:rPr>
              <w:t>CO24</w:t>
            </w:r>
          </w:p>
        </w:tc>
        <w:tc>
          <w:tcPr>
            <w:tcW w:w="851" w:type="dxa"/>
            <w:shd w:val="clear" w:color="auto" w:fill="D9D9D9" w:themeFill="background1" w:themeFillShade="D9"/>
            <w:vAlign w:val="center"/>
          </w:tcPr>
          <w:p w14:paraId="4305FF90" w14:textId="77777777" w:rsidR="00D90118" w:rsidRPr="00A07EEE" w:rsidRDefault="00D90118" w:rsidP="00D21C6A">
            <w:pPr>
              <w:jc w:val="center"/>
              <w:rPr>
                <w:b/>
                <w:sz w:val="16"/>
                <w:szCs w:val="16"/>
              </w:rPr>
            </w:pPr>
            <w:r w:rsidRPr="00A07EEE">
              <w:rPr>
                <w:b/>
                <w:sz w:val="16"/>
                <w:szCs w:val="16"/>
                <w:lang w:val="en-US"/>
              </w:rPr>
              <w:t>CO25</w:t>
            </w:r>
          </w:p>
        </w:tc>
        <w:tc>
          <w:tcPr>
            <w:tcW w:w="1984" w:type="dxa"/>
            <w:shd w:val="clear" w:color="auto" w:fill="D9D9D9" w:themeFill="background1" w:themeFillShade="D9"/>
            <w:vAlign w:val="center"/>
          </w:tcPr>
          <w:p w14:paraId="582A175F" w14:textId="77777777" w:rsidR="00804D5C" w:rsidRDefault="00D90118" w:rsidP="002A0499">
            <w:pPr>
              <w:jc w:val="center"/>
              <w:rPr>
                <w:b/>
                <w:sz w:val="16"/>
                <w:szCs w:val="16"/>
                <w:lang w:val="en-US"/>
              </w:rPr>
            </w:pPr>
            <w:r w:rsidRPr="00A07EEE">
              <w:rPr>
                <w:b/>
                <w:sz w:val="16"/>
                <w:szCs w:val="16"/>
                <w:lang w:val="en-US"/>
              </w:rPr>
              <w:t>SO033/</w:t>
            </w:r>
          </w:p>
          <w:p w14:paraId="61CF6C1B" w14:textId="77777777" w:rsidR="00D90118" w:rsidRPr="00A07EEE" w:rsidRDefault="00D90118" w:rsidP="002A0499">
            <w:pPr>
              <w:jc w:val="center"/>
              <w:rPr>
                <w:b/>
                <w:sz w:val="16"/>
                <w:szCs w:val="16"/>
                <w:lang w:val="en-US"/>
              </w:rPr>
            </w:pPr>
            <w:r w:rsidRPr="00A07EEE">
              <w:rPr>
                <w:b/>
                <w:sz w:val="16"/>
                <w:szCs w:val="16"/>
                <w:lang w:val="en-US"/>
              </w:rPr>
              <w:t>T4225</w:t>
            </w:r>
          </w:p>
        </w:tc>
      </w:tr>
      <w:tr w:rsidR="00D90118" w14:paraId="6D0F4273" w14:textId="77777777" w:rsidTr="0003032C">
        <w:tc>
          <w:tcPr>
            <w:tcW w:w="2268" w:type="dxa"/>
          </w:tcPr>
          <w:p w14:paraId="75490A30" w14:textId="77777777" w:rsidR="00D90118" w:rsidRPr="00673DC4" w:rsidRDefault="00D90118" w:rsidP="00D21C6A">
            <w:pPr>
              <w:rPr>
                <w:szCs w:val="18"/>
              </w:rPr>
            </w:pPr>
            <w:r w:rsidRPr="00673DC4">
              <w:rPr>
                <w:szCs w:val="18"/>
              </w:rPr>
              <w:t>Ενίσχυση Υποδομών Ε&amp;Κ-A Κύκλος</w:t>
            </w:r>
          </w:p>
        </w:tc>
        <w:tc>
          <w:tcPr>
            <w:tcW w:w="1560" w:type="dxa"/>
            <w:vAlign w:val="center"/>
          </w:tcPr>
          <w:p w14:paraId="0E18D43E" w14:textId="77777777" w:rsidR="00D90118" w:rsidRPr="00673DC4" w:rsidRDefault="00D90118" w:rsidP="00D21C6A">
            <w:pPr>
              <w:jc w:val="center"/>
              <w:rPr>
                <w:szCs w:val="18"/>
              </w:rPr>
            </w:pPr>
            <w:r w:rsidRPr="00673DC4">
              <w:rPr>
                <w:szCs w:val="18"/>
              </w:rPr>
              <w:t>Λ</w:t>
            </w:r>
            <w:r>
              <w:rPr>
                <w:szCs w:val="18"/>
              </w:rPr>
              <w:t>.</w:t>
            </w:r>
            <w:r w:rsidRPr="00673DC4">
              <w:rPr>
                <w:szCs w:val="18"/>
              </w:rPr>
              <w:t>Α</w:t>
            </w:r>
            <w:r>
              <w:rPr>
                <w:szCs w:val="18"/>
              </w:rPr>
              <w:t>.</w:t>
            </w:r>
            <w:r w:rsidRPr="00673DC4">
              <w:rPr>
                <w:szCs w:val="18"/>
              </w:rPr>
              <w:t>Π</w:t>
            </w:r>
          </w:p>
        </w:tc>
        <w:tc>
          <w:tcPr>
            <w:tcW w:w="1559" w:type="dxa"/>
            <w:vAlign w:val="center"/>
          </w:tcPr>
          <w:p w14:paraId="69930B4A" w14:textId="77777777" w:rsidR="00D90118" w:rsidRPr="00673DC4" w:rsidRDefault="00D90118" w:rsidP="00D21C6A">
            <w:pPr>
              <w:jc w:val="center"/>
              <w:rPr>
                <w:szCs w:val="18"/>
              </w:rPr>
            </w:pPr>
            <w:r w:rsidRPr="00673DC4">
              <w:rPr>
                <w:szCs w:val="18"/>
              </w:rPr>
              <w:t>40</w:t>
            </w:r>
          </w:p>
        </w:tc>
        <w:tc>
          <w:tcPr>
            <w:tcW w:w="992" w:type="dxa"/>
            <w:vAlign w:val="center"/>
          </w:tcPr>
          <w:p w14:paraId="4924FBA3" w14:textId="77777777" w:rsidR="00D90118" w:rsidRPr="00673DC4" w:rsidRDefault="00D90118" w:rsidP="00D21C6A">
            <w:pPr>
              <w:jc w:val="center"/>
              <w:rPr>
                <w:szCs w:val="18"/>
              </w:rPr>
            </w:pPr>
            <w:r>
              <w:rPr>
                <w:szCs w:val="18"/>
              </w:rPr>
              <w:t>32</w:t>
            </w:r>
          </w:p>
        </w:tc>
        <w:tc>
          <w:tcPr>
            <w:tcW w:w="851" w:type="dxa"/>
            <w:vAlign w:val="center"/>
          </w:tcPr>
          <w:p w14:paraId="2AD66951" w14:textId="77777777" w:rsidR="00D90118" w:rsidRPr="00673DC4" w:rsidRDefault="00D90118" w:rsidP="00D21C6A">
            <w:pPr>
              <w:jc w:val="center"/>
              <w:rPr>
                <w:szCs w:val="18"/>
              </w:rPr>
            </w:pPr>
            <w:r>
              <w:rPr>
                <w:szCs w:val="18"/>
              </w:rPr>
              <w:t>38</w:t>
            </w:r>
          </w:p>
        </w:tc>
        <w:tc>
          <w:tcPr>
            <w:tcW w:w="1984" w:type="dxa"/>
            <w:vAlign w:val="center"/>
          </w:tcPr>
          <w:p w14:paraId="7E931EBD" w14:textId="77777777" w:rsidR="00D90118" w:rsidRPr="00673DC4" w:rsidRDefault="00D90118" w:rsidP="00D21C6A">
            <w:pPr>
              <w:jc w:val="center"/>
              <w:rPr>
                <w:szCs w:val="18"/>
              </w:rPr>
            </w:pPr>
            <w:r>
              <w:rPr>
                <w:szCs w:val="18"/>
              </w:rPr>
              <w:t>8</w:t>
            </w:r>
          </w:p>
        </w:tc>
      </w:tr>
      <w:tr w:rsidR="00D90118" w14:paraId="242E5B20" w14:textId="77777777" w:rsidTr="0003032C">
        <w:tc>
          <w:tcPr>
            <w:tcW w:w="2268" w:type="dxa"/>
          </w:tcPr>
          <w:p w14:paraId="7D75377A" w14:textId="77777777" w:rsidR="00D90118" w:rsidRPr="00673DC4" w:rsidRDefault="00D90118" w:rsidP="00D21C6A">
            <w:pPr>
              <w:rPr>
                <w:szCs w:val="18"/>
              </w:rPr>
            </w:pPr>
            <w:r w:rsidRPr="00673DC4">
              <w:rPr>
                <w:szCs w:val="18"/>
              </w:rPr>
              <w:t>Ενίσχυση Υποδομών Ε&amp;Κ-A Κύκλος</w:t>
            </w:r>
          </w:p>
        </w:tc>
        <w:tc>
          <w:tcPr>
            <w:tcW w:w="1560" w:type="dxa"/>
            <w:vAlign w:val="center"/>
          </w:tcPr>
          <w:p w14:paraId="14DE2D59" w14:textId="77777777" w:rsidR="00D90118" w:rsidRPr="00673DC4" w:rsidRDefault="00D90118" w:rsidP="00D21C6A">
            <w:pPr>
              <w:jc w:val="center"/>
              <w:rPr>
                <w:szCs w:val="18"/>
              </w:rPr>
            </w:pPr>
            <w:r w:rsidRPr="00673DC4">
              <w:rPr>
                <w:szCs w:val="18"/>
              </w:rPr>
              <w:t>Π</w:t>
            </w:r>
            <w:r>
              <w:rPr>
                <w:szCs w:val="18"/>
              </w:rPr>
              <w:t>.</w:t>
            </w:r>
            <w:r w:rsidRPr="00673DC4">
              <w:rPr>
                <w:szCs w:val="18"/>
              </w:rPr>
              <w:t>Μ</w:t>
            </w:r>
          </w:p>
        </w:tc>
        <w:tc>
          <w:tcPr>
            <w:tcW w:w="1559" w:type="dxa"/>
            <w:vAlign w:val="center"/>
          </w:tcPr>
          <w:p w14:paraId="2A7E63B5" w14:textId="77777777" w:rsidR="00D90118" w:rsidRPr="00673DC4" w:rsidRDefault="00D90118" w:rsidP="00D21C6A">
            <w:pPr>
              <w:jc w:val="center"/>
              <w:rPr>
                <w:szCs w:val="18"/>
              </w:rPr>
            </w:pPr>
            <w:r w:rsidRPr="00673DC4">
              <w:rPr>
                <w:szCs w:val="18"/>
              </w:rPr>
              <w:t>45</w:t>
            </w:r>
          </w:p>
        </w:tc>
        <w:tc>
          <w:tcPr>
            <w:tcW w:w="992" w:type="dxa"/>
            <w:vAlign w:val="center"/>
          </w:tcPr>
          <w:p w14:paraId="4DC3EF52" w14:textId="77777777" w:rsidR="00D90118" w:rsidRPr="00673DC4" w:rsidRDefault="00D90118" w:rsidP="00D21C6A">
            <w:pPr>
              <w:jc w:val="center"/>
              <w:rPr>
                <w:szCs w:val="18"/>
              </w:rPr>
            </w:pPr>
            <w:r>
              <w:rPr>
                <w:szCs w:val="18"/>
              </w:rPr>
              <w:t>35</w:t>
            </w:r>
          </w:p>
        </w:tc>
        <w:tc>
          <w:tcPr>
            <w:tcW w:w="851" w:type="dxa"/>
            <w:vAlign w:val="center"/>
          </w:tcPr>
          <w:p w14:paraId="70C0EB16" w14:textId="77777777" w:rsidR="00D90118" w:rsidRPr="00673DC4" w:rsidRDefault="00D90118" w:rsidP="00D21C6A">
            <w:pPr>
              <w:jc w:val="center"/>
              <w:rPr>
                <w:szCs w:val="18"/>
              </w:rPr>
            </w:pPr>
            <w:r>
              <w:rPr>
                <w:szCs w:val="18"/>
              </w:rPr>
              <w:t>35</w:t>
            </w:r>
          </w:p>
        </w:tc>
        <w:tc>
          <w:tcPr>
            <w:tcW w:w="1984" w:type="dxa"/>
            <w:vAlign w:val="center"/>
          </w:tcPr>
          <w:p w14:paraId="3407A414" w14:textId="77777777" w:rsidR="00D90118" w:rsidRPr="00673DC4" w:rsidRDefault="00D90118" w:rsidP="00D21C6A">
            <w:pPr>
              <w:jc w:val="center"/>
              <w:rPr>
                <w:szCs w:val="18"/>
              </w:rPr>
            </w:pPr>
            <w:r>
              <w:rPr>
                <w:szCs w:val="18"/>
              </w:rPr>
              <w:t>3</w:t>
            </w:r>
          </w:p>
        </w:tc>
      </w:tr>
      <w:tr w:rsidR="00D90118" w14:paraId="27385814" w14:textId="77777777" w:rsidTr="0003032C">
        <w:tc>
          <w:tcPr>
            <w:tcW w:w="2268" w:type="dxa"/>
          </w:tcPr>
          <w:p w14:paraId="216A9585" w14:textId="77777777" w:rsidR="00D90118" w:rsidRPr="00673DC4" w:rsidRDefault="00D90118" w:rsidP="00D21C6A">
            <w:pPr>
              <w:rPr>
                <w:szCs w:val="18"/>
              </w:rPr>
            </w:pPr>
            <w:r w:rsidRPr="00673DC4">
              <w:rPr>
                <w:szCs w:val="18"/>
              </w:rPr>
              <w:t>Ενίσχυση Υποδομών Ε&amp;Κ-A Κύκλος</w:t>
            </w:r>
          </w:p>
        </w:tc>
        <w:tc>
          <w:tcPr>
            <w:tcW w:w="1560" w:type="dxa"/>
            <w:vAlign w:val="center"/>
          </w:tcPr>
          <w:p w14:paraId="10F6E051" w14:textId="77777777" w:rsidR="00D90118" w:rsidRPr="00673DC4" w:rsidRDefault="00D90118" w:rsidP="00D21C6A">
            <w:pPr>
              <w:jc w:val="center"/>
              <w:rPr>
                <w:szCs w:val="18"/>
              </w:rPr>
            </w:pPr>
            <w:r w:rsidRPr="00673DC4">
              <w:rPr>
                <w:szCs w:val="18"/>
              </w:rPr>
              <w:t>Π</w:t>
            </w:r>
            <w:r>
              <w:rPr>
                <w:szCs w:val="18"/>
              </w:rPr>
              <w:t>.</w:t>
            </w:r>
            <w:r w:rsidRPr="00673DC4">
              <w:rPr>
                <w:szCs w:val="18"/>
              </w:rPr>
              <w:t>Α</w:t>
            </w:r>
            <w:r>
              <w:rPr>
                <w:szCs w:val="18"/>
              </w:rPr>
              <w:t>.</w:t>
            </w:r>
            <w:r w:rsidRPr="00673DC4">
              <w:rPr>
                <w:szCs w:val="18"/>
              </w:rPr>
              <w:t>Π</w:t>
            </w:r>
          </w:p>
        </w:tc>
        <w:tc>
          <w:tcPr>
            <w:tcW w:w="1559" w:type="dxa"/>
            <w:vAlign w:val="center"/>
          </w:tcPr>
          <w:p w14:paraId="6A084476" w14:textId="77777777" w:rsidR="00D90118" w:rsidRPr="00673DC4" w:rsidRDefault="00D90118" w:rsidP="00D21C6A">
            <w:pPr>
              <w:jc w:val="center"/>
              <w:rPr>
                <w:szCs w:val="18"/>
              </w:rPr>
            </w:pPr>
            <w:r w:rsidRPr="00673DC4">
              <w:rPr>
                <w:szCs w:val="18"/>
              </w:rPr>
              <w:t>90</w:t>
            </w:r>
          </w:p>
        </w:tc>
        <w:tc>
          <w:tcPr>
            <w:tcW w:w="992" w:type="dxa"/>
            <w:vAlign w:val="center"/>
          </w:tcPr>
          <w:p w14:paraId="5A37562E" w14:textId="77777777" w:rsidR="00D90118" w:rsidRPr="00673DC4" w:rsidRDefault="00D90118" w:rsidP="00D21C6A">
            <w:pPr>
              <w:jc w:val="center"/>
              <w:rPr>
                <w:szCs w:val="18"/>
              </w:rPr>
            </w:pPr>
            <w:r>
              <w:rPr>
                <w:szCs w:val="18"/>
              </w:rPr>
              <w:t>71</w:t>
            </w:r>
          </w:p>
        </w:tc>
        <w:tc>
          <w:tcPr>
            <w:tcW w:w="851" w:type="dxa"/>
            <w:vAlign w:val="center"/>
          </w:tcPr>
          <w:p w14:paraId="17F21175" w14:textId="77777777" w:rsidR="00D90118" w:rsidRPr="00673DC4" w:rsidRDefault="00D90118" w:rsidP="00D21C6A">
            <w:pPr>
              <w:jc w:val="center"/>
              <w:rPr>
                <w:szCs w:val="18"/>
              </w:rPr>
            </w:pPr>
            <w:r>
              <w:rPr>
                <w:szCs w:val="18"/>
              </w:rPr>
              <w:t>84</w:t>
            </w:r>
          </w:p>
        </w:tc>
        <w:tc>
          <w:tcPr>
            <w:tcW w:w="1984" w:type="dxa"/>
            <w:vAlign w:val="center"/>
          </w:tcPr>
          <w:p w14:paraId="3C947AD0" w14:textId="77777777" w:rsidR="00D90118" w:rsidRPr="00673DC4" w:rsidRDefault="00D90118" w:rsidP="00D21C6A">
            <w:pPr>
              <w:jc w:val="center"/>
              <w:rPr>
                <w:szCs w:val="18"/>
              </w:rPr>
            </w:pPr>
            <w:r>
              <w:rPr>
                <w:szCs w:val="18"/>
              </w:rPr>
              <w:t>11</w:t>
            </w:r>
          </w:p>
        </w:tc>
      </w:tr>
      <w:tr w:rsidR="00D90118" w14:paraId="4A95362A" w14:textId="77777777" w:rsidTr="0003032C">
        <w:tc>
          <w:tcPr>
            <w:tcW w:w="2268" w:type="dxa"/>
            <w:vAlign w:val="center"/>
          </w:tcPr>
          <w:p w14:paraId="3797BAED" w14:textId="77777777" w:rsidR="00D90118" w:rsidRPr="00C045BE" w:rsidRDefault="00D90118" w:rsidP="00D21C6A">
            <w:pPr>
              <w:jc w:val="left"/>
              <w:rPr>
                <w:b/>
                <w:i/>
                <w:szCs w:val="18"/>
              </w:rPr>
            </w:pPr>
            <w:r w:rsidRPr="00C045BE">
              <w:rPr>
                <w:b/>
                <w:i/>
                <w:szCs w:val="18"/>
              </w:rPr>
              <w:t>Ενίσχυση Υποδομών Ε&amp;Κ-A Κύκλος</w:t>
            </w:r>
          </w:p>
        </w:tc>
        <w:tc>
          <w:tcPr>
            <w:tcW w:w="1560" w:type="dxa"/>
            <w:vAlign w:val="center"/>
          </w:tcPr>
          <w:p w14:paraId="52EAF0C3" w14:textId="77777777" w:rsidR="00D90118" w:rsidRPr="00C045BE" w:rsidRDefault="00D90118" w:rsidP="00D21C6A">
            <w:pPr>
              <w:jc w:val="center"/>
              <w:rPr>
                <w:b/>
                <w:szCs w:val="18"/>
              </w:rPr>
            </w:pPr>
            <w:r w:rsidRPr="00C045BE">
              <w:rPr>
                <w:b/>
                <w:szCs w:val="18"/>
              </w:rPr>
              <w:t>Σύνολο</w:t>
            </w:r>
          </w:p>
        </w:tc>
        <w:tc>
          <w:tcPr>
            <w:tcW w:w="1559" w:type="dxa"/>
          </w:tcPr>
          <w:p w14:paraId="1A233A70" w14:textId="77777777" w:rsidR="00D90118" w:rsidRPr="00C045BE" w:rsidRDefault="00D90118" w:rsidP="00D21C6A">
            <w:pPr>
              <w:jc w:val="center"/>
              <w:rPr>
                <w:b/>
              </w:rPr>
            </w:pPr>
            <w:r w:rsidRPr="00C045BE">
              <w:rPr>
                <w:b/>
              </w:rPr>
              <w:t>175</w:t>
            </w:r>
          </w:p>
        </w:tc>
        <w:tc>
          <w:tcPr>
            <w:tcW w:w="992" w:type="dxa"/>
          </w:tcPr>
          <w:p w14:paraId="5485AD1C" w14:textId="77777777" w:rsidR="00D90118" w:rsidRPr="00C045BE" w:rsidRDefault="00D90118" w:rsidP="00D21C6A">
            <w:pPr>
              <w:jc w:val="center"/>
              <w:rPr>
                <w:b/>
              </w:rPr>
            </w:pPr>
            <w:r w:rsidRPr="00C045BE">
              <w:rPr>
                <w:b/>
              </w:rPr>
              <w:t>138</w:t>
            </w:r>
          </w:p>
        </w:tc>
        <w:tc>
          <w:tcPr>
            <w:tcW w:w="851" w:type="dxa"/>
          </w:tcPr>
          <w:p w14:paraId="274EDD85" w14:textId="77777777" w:rsidR="00D90118" w:rsidRPr="00C045BE" w:rsidRDefault="00D90118" w:rsidP="00D21C6A">
            <w:pPr>
              <w:jc w:val="center"/>
              <w:rPr>
                <w:b/>
              </w:rPr>
            </w:pPr>
            <w:r w:rsidRPr="00C045BE">
              <w:rPr>
                <w:b/>
              </w:rPr>
              <w:t>157</w:t>
            </w:r>
          </w:p>
        </w:tc>
        <w:tc>
          <w:tcPr>
            <w:tcW w:w="1984" w:type="dxa"/>
          </w:tcPr>
          <w:p w14:paraId="179502B2" w14:textId="77777777" w:rsidR="00D90118" w:rsidRPr="00C045BE" w:rsidRDefault="00D90118" w:rsidP="00D21C6A">
            <w:pPr>
              <w:jc w:val="center"/>
              <w:rPr>
                <w:b/>
              </w:rPr>
            </w:pPr>
            <w:r w:rsidRPr="00C045BE">
              <w:rPr>
                <w:b/>
              </w:rPr>
              <w:t>22</w:t>
            </w:r>
          </w:p>
        </w:tc>
      </w:tr>
      <w:tr w:rsidR="00D90118" w14:paraId="7A230F99" w14:textId="77777777" w:rsidTr="0003032C">
        <w:tc>
          <w:tcPr>
            <w:tcW w:w="2268" w:type="dxa"/>
          </w:tcPr>
          <w:p w14:paraId="594BB862" w14:textId="77777777" w:rsidR="00D90118" w:rsidRDefault="00D90118" w:rsidP="00D21C6A">
            <w:r w:rsidRPr="00884ECB">
              <w:rPr>
                <w:i/>
                <w:szCs w:val="18"/>
              </w:rPr>
              <w:t>Ενίσχυση Υποδομών Ε&amp;Κ-Β Κύκλος</w:t>
            </w:r>
          </w:p>
        </w:tc>
        <w:tc>
          <w:tcPr>
            <w:tcW w:w="1560" w:type="dxa"/>
            <w:vAlign w:val="center"/>
          </w:tcPr>
          <w:p w14:paraId="48ED5A3F" w14:textId="77777777" w:rsidR="00D90118" w:rsidRPr="00673DC4" w:rsidRDefault="00D90118" w:rsidP="00D21C6A">
            <w:pPr>
              <w:jc w:val="center"/>
              <w:rPr>
                <w:szCs w:val="18"/>
              </w:rPr>
            </w:pPr>
            <w:r w:rsidRPr="00673DC4">
              <w:rPr>
                <w:szCs w:val="18"/>
              </w:rPr>
              <w:t>Λ</w:t>
            </w:r>
            <w:r>
              <w:rPr>
                <w:szCs w:val="18"/>
              </w:rPr>
              <w:t>.</w:t>
            </w:r>
            <w:r w:rsidRPr="00673DC4">
              <w:rPr>
                <w:szCs w:val="18"/>
              </w:rPr>
              <w:t>Α</w:t>
            </w:r>
            <w:r>
              <w:rPr>
                <w:szCs w:val="18"/>
              </w:rPr>
              <w:t>.</w:t>
            </w:r>
            <w:r w:rsidRPr="00673DC4">
              <w:rPr>
                <w:szCs w:val="18"/>
              </w:rPr>
              <w:t>Π</w:t>
            </w:r>
          </w:p>
        </w:tc>
        <w:tc>
          <w:tcPr>
            <w:tcW w:w="1559" w:type="dxa"/>
            <w:vAlign w:val="center"/>
          </w:tcPr>
          <w:p w14:paraId="54AC0A23" w14:textId="77777777" w:rsidR="00D90118" w:rsidRPr="00673DC4" w:rsidRDefault="00D90118" w:rsidP="00D21C6A">
            <w:pPr>
              <w:jc w:val="center"/>
              <w:rPr>
                <w:szCs w:val="18"/>
              </w:rPr>
            </w:pPr>
            <w:r>
              <w:rPr>
                <w:szCs w:val="18"/>
              </w:rPr>
              <w:t>20</w:t>
            </w:r>
          </w:p>
        </w:tc>
        <w:tc>
          <w:tcPr>
            <w:tcW w:w="992" w:type="dxa"/>
            <w:vAlign w:val="center"/>
          </w:tcPr>
          <w:p w14:paraId="670DC617" w14:textId="77777777" w:rsidR="00D90118" w:rsidRPr="00673DC4" w:rsidRDefault="00D90118" w:rsidP="00D21C6A">
            <w:pPr>
              <w:jc w:val="center"/>
              <w:rPr>
                <w:szCs w:val="18"/>
              </w:rPr>
            </w:pPr>
            <w:r>
              <w:rPr>
                <w:szCs w:val="18"/>
              </w:rPr>
              <w:t>20</w:t>
            </w:r>
          </w:p>
        </w:tc>
        <w:tc>
          <w:tcPr>
            <w:tcW w:w="851" w:type="dxa"/>
            <w:vAlign w:val="center"/>
          </w:tcPr>
          <w:p w14:paraId="16755758" w14:textId="77777777" w:rsidR="00D90118" w:rsidRPr="00673DC4" w:rsidRDefault="00D90118" w:rsidP="00D21C6A">
            <w:pPr>
              <w:jc w:val="center"/>
              <w:rPr>
                <w:szCs w:val="18"/>
              </w:rPr>
            </w:pPr>
            <w:r>
              <w:rPr>
                <w:szCs w:val="18"/>
              </w:rPr>
              <w:t>20</w:t>
            </w:r>
          </w:p>
        </w:tc>
        <w:tc>
          <w:tcPr>
            <w:tcW w:w="1984" w:type="dxa"/>
            <w:vAlign w:val="center"/>
          </w:tcPr>
          <w:p w14:paraId="2EA48F88" w14:textId="77777777" w:rsidR="00D90118" w:rsidRPr="00673DC4" w:rsidRDefault="00D90118" w:rsidP="00D21C6A">
            <w:pPr>
              <w:jc w:val="center"/>
              <w:rPr>
                <w:szCs w:val="18"/>
              </w:rPr>
            </w:pPr>
            <w:r>
              <w:rPr>
                <w:szCs w:val="18"/>
              </w:rPr>
              <w:t>8</w:t>
            </w:r>
          </w:p>
        </w:tc>
      </w:tr>
      <w:tr w:rsidR="00D90118" w14:paraId="5065DF3A" w14:textId="77777777" w:rsidTr="0003032C">
        <w:tc>
          <w:tcPr>
            <w:tcW w:w="2268" w:type="dxa"/>
          </w:tcPr>
          <w:p w14:paraId="2E1A4D74" w14:textId="77777777" w:rsidR="00D90118" w:rsidRDefault="00D90118" w:rsidP="00D21C6A">
            <w:r w:rsidRPr="00884ECB">
              <w:rPr>
                <w:i/>
                <w:szCs w:val="18"/>
              </w:rPr>
              <w:t>Ενίσχυση Υποδομών Ε&amp;Κ-Β Κύκλος</w:t>
            </w:r>
          </w:p>
        </w:tc>
        <w:tc>
          <w:tcPr>
            <w:tcW w:w="1560" w:type="dxa"/>
            <w:vAlign w:val="center"/>
          </w:tcPr>
          <w:p w14:paraId="421A3222" w14:textId="77777777" w:rsidR="00D90118" w:rsidRPr="00673DC4" w:rsidRDefault="00D90118" w:rsidP="00D21C6A">
            <w:pPr>
              <w:jc w:val="center"/>
              <w:rPr>
                <w:szCs w:val="18"/>
              </w:rPr>
            </w:pPr>
            <w:r w:rsidRPr="00673DC4">
              <w:rPr>
                <w:szCs w:val="18"/>
              </w:rPr>
              <w:t>Π</w:t>
            </w:r>
            <w:r>
              <w:rPr>
                <w:szCs w:val="18"/>
              </w:rPr>
              <w:t>.</w:t>
            </w:r>
            <w:r w:rsidRPr="00673DC4">
              <w:rPr>
                <w:szCs w:val="18"/>
              </w:rPr>
              <w:t>Μ</w:t>
            </w:r>
          </w:p>
        </w:tc>
        <w:tc>
          <w:tcPr>
            <w:tcW w:w="1559" w:type="dxa"/>
            <w:vAlign w:val="center"/>
          </w:tcPr>
          <w:p w14:paraId="020217C6" w14:textId="77777777" w:rsidR="00D90118" w:rsidRPr="00673DC4" w:rsidRDefault="00D90118" w:rsidP="00D21C6A">
            <w:pPr>
              <w:jc w:val="center"/>
              <w:rPr>
                <w:szCs w:val="18"/>
              </w:rPr>
            </w:pPr>
            <w:r>
              <w:rPr>
                <w:szCs w:val="18"/>
              </w:rPr>
              <w:t>30</w:t>
            </w:r>
          </w:p>
        </w:tc>
        <w:tc>
          <w:tcPr>
            <w:tcW w:w="992" w:type="dxa"/>
            <w:vAlign w:val="center"/>
          </w:tcPr>
          <w:p w14:paraId="2556BD1B" w14:textId="77777777" w:rsidR="00D90118" w:rsidRPr="00673DC4" w:rsidRDefault="00D90118" w:rsidP="00D21C6A">
            <w:pPr>
              <w:jc w:val="center"/>
              <w:rPr>
                <w:szCs w:val="18"/>
              </w:rPr>
            </w:pPr>
            <w:r>
              <w:rPr>
                <w:szCs w:val="18"/>
              </w:rPr>
              <w:t>30</w:t>
            </w:r>
          </w:p>
        </w:tc>
        <w:tc>
          <w:tcPr>
            <w:tcW w:w="851" w:type="dxa"/>
            <w:vAlign w:val="center"/>
          </w:tcPr>
          <w:p w14:paraId="0BA174CE" w14:textId="77777777" w:rsidR="00D90118" w:rsidRPr="00673DC4" w:rsidRDefault="00D90118" w:rsidP="00D21C6A">
            <w:pPr>
              <w:jc w:val="center"/>
              <w:rPr>
                <w:szCs w:val="18"/>
              </w:rPr>
            </w:pPr>
            <w:r>
              <w:rPr>
                <w:szCs w:val="18"/>
              </w:rPr>
              <w:t>30</w:t>
            </w:r>
          </w:p>
        </w:tc>
        <w:tc>
          <w:tcPr>
            <w:tcW w:w="1984" w:type="dxa"/>
            <w:vAlign w:val="center"/>
          </w:tcPr>
          <w:p w14:paraId="4C0AAB99" w14:textId="77777777" w:rsidR="00D90118" w:rsidRPr="00673DC4" w:rsidRDefault="00D90118" w:rsidP="00D21C6A">
            <w:pPr>
              <w:jc w:val="center"/>
              <w:rPr>
                <w:szCs w:val="18"/>
              </w:rPr>
            </w:pPr>
            <w:r>
              <w:rPr>
                <w:szCs w:val="18"/>
              </w:rPr>
              <w:t>3</w:t>
            </w:r>
          </w:p>
        </w:tc>
      </w:tr>
      <w:tr w:rsidR="00D90118" w14:paraId="4727672B" w14:textId="77777777" w:rsidTr="0003032C">
        <w:tc>
          <w:tcPr>
            <w:tcW w:w="2268" w:type="dxa"/>
          </w:tcPr>
          <w:p w14:paraId="6F319B52" w14:textId="77777777" w:rsidR="00D90118" w:rsidRDefault="00D90118" w:rsidP="00D21C6A">
            <w:r w:rsidRPr="00884ECB">
              <w:rPr>
                <w:i/>
                <w:szCs w:val="18"/>
              </w:rPr>
              <w:t>Ενίσχυση Υποδομών Ε&amp;Κ-Β Κύκλος</w:t>
            </w:r>
          </w:p>
        </w:tc>
        <w:tc>
          <w:tcPr>
            <w:tcW w:w="1560" w:type="dxa"/>
            <w:vAlign w:val="center"/>
          </w:tcPr>
          <w:p w14:paraId="5D207E2A" w14:textId="77777777" w:rsidR="00D90118" w:rsidRPr="00673DC4" w:rsidRDefault="00D90118" w:rsidP="00D21C6A">
            <w:pPr>
              <w:jc w:val="center"/>
              <w:rPr>
                <w:szCs w:val="18"/>
              </w:rPr>
            </w:pPr>
            <w:r w:rsidRPr="00673DC4">
              <w:rPr>
                <w:szCs w:val="18"/>
              </w:rPr>
              <w:t>Π</w:t>
            </w:r>
            <w:r>
              <w:rPr>
                <w:szCs w:val="18"/>
              </w:rPr>
              <w:t>.</w:t>
            </w:r>
            <w:r w:rsidRPr="00673DC4">
              <w:rPr>
                <w:szCs w:val="18"/>
              </w:rPr>
              <w:t>Α</w:t>
            </w:r>
            <w:r>
              <w:rPr>
                <w:szCs w:val="18"/>
              </w:rPr>
              <w:t>.</w:t>
            </w:r>
            <w:r w:rsidRPr="00673DC4">
              <w:rPr>
                <w:szCs w:val="18"/>
              </w:rPr>
              <w:t>Π</w:t>
            </w:r>
          </w:p>
        </w:tc>
        <w:tc>
          <w:tcPr>
            <w:tcW w:w="1559" w:type="dxa"/>
            <w:vAlign w:val="center"/>
          </w:tcPr>
          <w:p w14:paraId="42950852" w14:textId="77777777" w:rsidR="00D90118" w:rsidRPr="00673DC4" w:rsidRDefault="00D90118" w:rsidP="00D21C6A">
            <w:pPr>
              <w:jc w:val="center"/>
              <w:rPr>
                <w:szCs w:val="18"/>
              </w:rPr>
            </w:pPr>
            <w:r>
              <w:rPr>
                <w:szCs w:val="18"/>
              </w:rPr>
              <w:t>30</w:t>
            </w:r>
          </w:p>
        </w:tc>
        <w:tc>
          <w:tcPr>
            <w:tcW w:w="992" w:type="dxa"/>
            <w:vAlign w:val="center"/>
          </w:tcPr>
          <w:p w14:paraId="6A6CFD51" w14:textId="77777777" w:rsidR="00D90118" w:rsidRPr="00673DC4" w:rsidRDefault="00D90118" w:rsidP="00D21C6A">
            <w:pPr>
              <w:jc w:val="center"/>
              <w:rPr>
                <w:szCs w:val="18"/>
              </w:rPr>
            </w:pPr>
            <w:r>
              <w:rPr>
                <w:szCs w:val="18"/>
              </w:rPr>
              <w:t>40</w:t>
            </w:r>
          </w:p>
        </w:tc>
        <w:tc>
          <w:tcPr>
            <w:tcW w:w="851" w:type="dxa"/>
            <w:vAlign w:val="center"/>
          </w:tcPr>
          <w:p w14:paraId="723EE9DC" w14:textId="77777777" w:rsidR="00D90118" w:rsidRPr="00673DC4" w:rsidRDefault="00D90118" w:rsidP="00D21C6A">
            <w:pPr>
              <w:jc w:val="center"/>
              <w:rPr>
                <w:szCs w:val="18"/>
              </w:rPr>
            </w:pPr>
            <w:r>
              <w:rPr>
                <w:szCs w:val="18"/>
              </w:rPr>
              <w:t>40</w:t>
            </w:r>
          </w:p>
        </w:tc>
        <w:tc>
          <w:tcPr>
            <w:tcW w:w="1984" w:type="dxa"/>
            <w:vAlign w:val="center"/>
          </w:tcPr>
          <w:p w14:paraId="729E8A2A" w14:textId="77777777" w:rsidR="00D90118" w:rsidRPr="00673DC4" w:rsidRDefault="00D90118" w:rsidP="00D21C6A">
            <w:pPr>
              <w:jc w:val="center"/>
              <w:rPr>
                <w:szCs w:val="18"/>
              </w:rPr>
            </w:pPr>
            <w:r>
              <w:rPr>
                <w:szCs w:val="18"/>
              </w:rPr>
              <w:t>11</w:t>
            </w:r>
          </w:p>
        </w:tc>
      </w:tr>
      <w:tr w:rsidR="00D90118" w14:paraId="55E394B3" w14:textId="77777777" w:rsidTr="0003032C">
        <w:tc>
          <w:tcPr>
            <w:tcW w:w="2268" w:type="dxa"/>
            <w:vAlign w:val="center"/>
          </w:tcPr>
          <w:p w14:paraId="4DADA47A" w14:textId="77777777" w:rsidR="00D90118" w:rsidRPr="00C045BE" w:rsidRDefault="00D90118" w:rsidP="00D21C6A">
            <w:pPr>
              <w:jc w:val="left"/>
              <w:rPr>
                <w:b/>
                <w:i/>
                <w:szCs w:val="18"/>
              </w:rPr>
            </w:pPr>
            <w:r w:rsidRPr="00C045BE">
              <w:rPr>
                <w:b/>
                <w:i/>
                <w:szCs w:val="18"/>
              </w:rPr>
              <w:t>Ενίσχυση Υποδομών Ε&amp;Κ-Β Κύκλος</w:t>
            </w:r>
          </w:p>
        </w:tc>
        <w:tc>
          <w:tcPr>
            <w:tcW w:w="1560" w:type="dxa"/>
            <w:vAlign w:val="center"/>
          </w:tcPr>
          <w:p w14:paraId="198BBD94" w14:textId="77777777" w:rsidR="00D90118" w:rsidRPr="00C045BE" w:rsidRDefault="00D90118" w:rsidP="00D21C6A">
            <w:pPr>
              <w:jc w:val="center"/>
              <w:rPr>
                <w:b/>
                <w:szCs w:val="18"/>
              </w:rPr>
            </w:pPr>
            <w:r>
              <w:rPr>
                <w:b/>
                <w:szCs w:val="18"/>
              </w:rPr>
              <w:t>Σύνολο</w:t>
            </w:r>
          </w:p>
        </w:tc>
        <w:tc>
          <w:tcPr>
            <w:tcW w:w="1559" w:type="dxa"/>
          </w:tcPr>
          <w:p w14:paraId="20F4A7C4" w14:textId="77777777" w:rsidR="00D90118" w:rsidRPr="00C045BE" w:rsidRDefault="00D90118" w:rsidP="00D21C6A">
            <w:pPr>
              <w:jc w:val="center"/>
              <w:rPr>
                <w:b/>
              </w:rPr>
            </w:pPr>
            <w:r w:rsidRPr="00C045BE">
              <w:rPr>
                <w:b/>
              </w:rPr>
              <w:t>80</w:t>
            </w:r>
          </w:p>
        </w:tc>
        <w:tc>
          <w:tcPr>
            <w:tcW w:w="992" w:type="dxa"/>
          </w:tcPr>
          <w:p w14:paraId="64D4CB3D" w14:textId="77777777" w:rsidR="00D90118" w:rsidRPr="00C045BE" w:rsidRDefault="00D90118" w:rsidP="00D21C6A">
            <w:pPr>
              <w:jc w:val="center"/>
              <w:rPr>
                <w:b/>
              </w:rPr>
            </w:pPr>
            <w:r w:rsidRPr="00C045BE">
              <w:rPr>
                <w:b/>
              </w:rPr>
              <w:t>90</w:t>
            </w:r>
          </w:p>
        </w:tc>
        <w:tc>
          <w:tcPr>
            <w:tcW w:w="851" w:type="dxa"/>
          </w:tcPr>
          <w:p w14:paraId="5285D679" w14:textId="77777777" w:rsidR="00D90118" w:rsidRPr="00C045BE" w:rsidRDefault="00D90118" w:rsidP="00D21C6A">
            <w:pPr>
              <w:jc w:val="center"/>
              <w:rPr>
                <w:b/>
              </w:rPr>
            </w:pPr>
            <w:r w:rsidRPr="00C045BE">
              <w:rPr>
                <w:b/>
              </w:rPr>
              <w:t>90</w:t>
            </w:r>
          </w:p>
        </w:tc>
        <w:tc>
          <w:tcPr>
            <w:tcW w:w="1984" w:type="dxa"/>
          </w:tcPr>
          <w:p w14:paraId="7381CEB3" w14:textId="77777777" w:rsidR="00D90118" w:rsidRPr="00C045BE" w:rsidRDefault="00D90118" w:rsidP="00D21C6A">
            <w:pPr>
              <w:jc w:val="center"/>
              <w:rPr>
                <w:b/>
              </w:rPr>
            </w:pPr>
            <w:r w:rsidRPr="00C045BE">
              <w:rPr>
                <w:b/>
              </w:rPr>
              <w:t>22</w:t>
            </w:r>
          </w:p>
        </w:tc>
      </w:tr>
      <w:tr w:rsidR="00D90118" w14:paraId="5BA3EF78" w14:textId="77777777" w:rsidTr="0003032C">
        <w:tc>
          <w:tcPr>
            <w:tcW w:w="2268" w:type="dxa"/>
          </w:tcPr>
          <w:p w14:paraId="16CC719E" w14:textId="77777777" w:rsidR="00D90118" w:rsidRDefault="00D90118" w:rsidP="00D21C6A">
            <w:r w:rsidRPr="000403C7">
              <w:rPr>
                <w:i/>
                <w:szCs w:val="18"/>
              </w:rPr>
              <w:t>Υποδομές ΚΡΗΠΙΣ</w:t>
            </w:r>
          </w:p>
        </w:tc>
        <w:tc>
          <w:tcPr>
            <w:tcW w:w="1560" w:type="dxa"/>
            <w:vAlign w:val="center"/>
          </w:tcPr>
          <w:p w14:paraId="3C2F8507" w14:textId="77777777" w:rsidR="00D90118" w:rsidRPr="00673DC4" w:rsidRDefault="00D90118" w:rsidP="00D21C6A">
            <w:pPr>
              <w:jc w:val="center"/>
              <w:rPr>
                <w:szCs w:val="18"/>
              </w:rPr>
            </w:pPr>
            <w:r w:rsidRPr="00673DC4">
              <w:rPr>
                <w:szCs w:val="18"/>
              </w:rPr>
              <w:t>Λ</w:t>
            </w:r>
            <w:r>
              <w:rPr>
                <w:szCs w:val="18"/>
              </w:rPr>
              <w:t>.</w:t>
            </w:r>
            <w:r w:rsidRPr="00673DC4">
              <w:rPr>
                <w:szCs w:val="18"/>
              </w:rPr>
              <w:t>Α</w:t>
            </w:r>
            <w:r>
              <w:rPr>
                <w:szCs w:val="18"/>
              </w:rPr>
              <w:t>.</w:t>
            </w:r>
            <w:r w:rsidRPr="00673DC4">
              <w:rPr>
                <w:szCs w:val="18"/>
              </w:rPr>
              <w:t>Π</w:t>
            </w:r>
          </w:p>
        </w:tc>
        <w:tc>
          <w:tcPr>
            <w:tcW w:w="1559" w:type="dxa"/>
            <w:vAlign w:val="center"/>
          </w:tcPr>
          <w:p w14:paraId="060F3417" w14:textId="77777777" w:rsidR="00D90118" w:rsidRPr="00673DC4" w:rsidRDefault="00D90118" w:rsidP="00D21C6A">
            <w:pPr>
              <w:jc w:val="center"/>
              <w:rPr>
                <w:szCs w:val="18"/>
              </w:rPr>
            </w:pPr>
            <w:r>
              <w:rPr>
                <w:szCs w:val="18"/>
              </w:rPr>
              <w:t>40</w:t>
            </w:r>
          </w:p>
        </w:tc>
        <w:tc>
          <w:tcPr>
            <w:tcW w:w="992" w:type="dxa"/>
            <w:vAlign w:val="center"/>
          </w:tcPr>
          <w:p w14:paraId="104E01F8" w14:textId="77777777" w:rsidR="00D90118" w:rsidRPr="00673DC4" w:rsidRDefault="00D90118" w:rsidP="00D21C6A">
            <w:pPr>
              <w:jc w:val="center"/>
              <w:rPr>
                <w:szCs w:val="18"/>
              </w:rPr>
            </w:pPr>
            <w:r>
              <w:rPr>
                <w:szCs w:val="18"/>
              </w:rPr>
              <w:t>97</w:t>
            </w:r>
          </w:p>
        </w:tc>
        <w:tc>
          <w:tcPr>
            <w:tcW w:w="851" w:type="dxa"/>
            <w:vAlign w:val="center"/>
          </w:tcPr>
          <w:p w14:paraId="1BAE2FA2" w14:textId="77777777" w:rsidR="00D90118" w:rsidRPr="00673DC4" w:rsidRDefault="00D90118" w:rsidP="00D21C6A">
            <w:pPr>
              <w:jc w:val="center"/>
              <w:rPr>
                <w:szCs w:val="18"/>
              </w:rPr>
            </w:pPr>
            <w:r>
              <w:rPr>
                <w:szCs w:val="18"/>
              </w:rPr>
              <w:t>114</w:t>
            </w:r>
          </w:p>
        </w:tc>
        <w:tc>
          <w:tcPr>
            <w:tcW w:w="1984" w:type="dxa"/>
            <w:shd w:val="clear" w:color="auto" w:fill="D9D9D9" w:themeFill="background1" w:themeFillShade="D9"/>
            <w:vAlign w:val="center"/>
          </w:tcPr>
          <w:p w14:paraId="04661799" w14:textId="77777777" w:rsidR="00D90118" w:rsidRPr="00673DC4" w:rsidRDefault="00D90118" w:rsidP="00D21C6A">
            <w:pPr>
              <w:jc w:val="center"/>
              <w:rPr>
                <w:szCs w:val="18"/>
              </w:rPr>
            </w:pPr>
          </w:p>
        </w:tc>
      </w:tr>
      <w:tr w:rsidR="00D90118" w14:paraId="2563008F" w14:textId="77777777" w:rsidTr="0003032C">
        <w:tc>
          <w:tcPr>
            <w:tcW w:w="2268" w:type="dxa"/>
          </w:tcPr>
          <w:p w14:paraId="3B26B2D9" w14:textId="77777777" w:rsidR="00D90118" w:rsidRDefault="00D90118" w:rsidP="00D21C6A">
            <w:r w:rsidRPr="000403C7">
              <w:rPr>
                <w:i/>
                <w:szCs w:val="18"/>
              </w:rPr>
              <w:t>Υποδομές ΚΡΗΠΙΣ</w:t>
            </w:r>
          </w:p>
        </w:tc>
        <w:tc>
          <w:tcPr>
            <w:tcW w:w="1560" w:type="dxa"/>
            <w:vAlign w:val="center"/>
          </w:tcPr>
          <w:p w14:paraId="56A80A05" w14:textId="77777777" w:rsidR="00D90118" w:rsidRPr="00673DC4" w:rsidRDefault="00D90118" w:rsidP="00D21C6A">
            <w:pPr>
              <w:jc w:val="center"/>
              <w:rPr>
                <w:szCs w:val="18"/>
              </w:rPr>
            </w:pPr>
            <w:r w:rsidRPr="00673DC4">
              <w:rPr>
                <w:szCs w:val="18"/>
              </w:rPr>
              <w:t>Π</w:t>
            </w:r>
            <w:r>
              <w:rPr>
                <w:szCs w:val="18"/>
              </w:rPr>
              <w:t>.</w:t>
            </w:r>
            <w:r w:rsidRPr="00673DC4">
              <w:rPr>
                <w:szCs w:val="18"/>
              </w:rPr>
              <w:t>Μ</w:t>
            </w:r>
          </w:p>
        </w:tc>
        <w:tc>
          <w:tcPr>
            <w:tcW w:w="1559" w:type="dxa"/>
            <w:vAlign w:val="center"/>
          </w:tcPr>
          <w:p w14:paraId="07953DD5" w14:textId="77777777" w:rsidR="00D90118" w:rsidRPr="00673DC4" w:rsidRDefault="00D90118" w:rsidP="00D21C6A">
            <w:pPr>
              <w:jc w:val="center"/>
              <w:rPr>
                <w:szCs w:val="18"/>
              </w:rPr>
            </w:pPr>
            <w:r>
              <w:rPr>
                <w:szCs w:val="18"/>
              </w:rPr>
              <w:t>25</w:t>
            </w:r>
          </w:p>
        </w:tc>
        <w:tc>
          <w:tcPr>
            <w:tcW w:w="992" w:type="dxa"/>
            <w:vAlign w:val="center"/>
          </w:tcPr>
          <w:p w14:paraId="0371C9F5" w14:textId="77777777" w:rsidR="00D90118" w:rsidRPr="00673DC4" w:rsidRDefault="00D90118" w:rsidP="00D21C6A">
            <w:pPr>
              <w:jc w:val="center"/>
              <w:rPr>
                <w:szCs w:val="18"/>
              </w:rPr>
            </w:pPr>
            <w:r>
              <w:rPr>
                <w:szCs w:val="18"/>
              </w:rPr>
              <w:t>60</w:t>
            </w:r>
          </w:p>
        </w:tc>
        <w:tc>
          <w:tcPr>
            <w:tcW w:w="851" w:type="dxa"/>
            <w:vAlign w:val="center"/>
          </w:tcPr>
          <w:p w14:paraId="3F5D6A9C" w14:textId="77777777" w:rsidR="00D90118" w:rsidRPr="00673DC4" w:rsidRDefault="00D90118" w:rsidP="00D21C6A">
            <w:pPr>
              <w:jc w:val="center"/>
              <w:rPr>
                <w:szCs w:val="18"/>
              </w:rPr>
            </w:pPr>
            <w:r>
              <w:rPr>
                <w:szCs w:val="18"/>
              </w:rPr>
              <w:t>72</w:t>
            </w:r>
          </w:p>
        </w:tc>
        <w:tc>
          <w:tcPr>
            <w:tcW w:w="1984" w:type="dxa"/>
            <w:shd w:val="clear" w:color="auto" w:fill="D9D9D9" w:themeFill="background1" w:themeFillShade="D9"/>
            <w:vAlign w:val="center"/>
          </w:tcPr>
          <w:p w14:paraId="7DCFBBC2" w14:textId="77777777" w:rsidR="00D90118" w:rsidRPr="00673DC4" w:rsidRDefault="00D90118" w:rsidP="00D21C6A">
            <w:pPr>
              <w:jc w:val="center"/>
              <w:rPr>
                <w:szCs w:val="18"/>
              </w:rPr>
            </w:pPr>
          </w:p>
        </w:tc>
      </w:tr>
      <w:tr w:rsidR="00D90118" w14:paraId="4AF53109" w14:textId="77777777" w:rsidTr="0003032C">
        <w:tc>
          <w:tcPr>
            <w:tcW w:w="2268" w:type="dxa"/>
          </w:tcPr>
          <w:p w14:paraId="621923D2" w14:textId="77777777" w:rsidR="00D90118" w:rsidRDefault="00D90118" w:rsidP="00D21C6A">
            <w:r w:rsidRPr="000403C7">
              <w:rPr>
                <w:i/>
                <w:szCs w:val="18"/>
              </w:rPr>
              <w:t>Υποδομές ΚΡΗΠΙΣ</w:t>
            </w:r>
          </w:p>
        </w:tc>
        <w:tc>
          <w:tcPr>
            <w:tcW w:w="1560" w:type="dxa"/>
            <w:vAlign w:val="center"/>
          </w:tcPr>
          <w:p w14:paraId="79802021" w14:textId="77777777" w:rsidR="00D90118" w:rsidRPr="00673DC4" w:rsidRDefault="00D90118" w:rsidP="00D21C6A">
            <w:pPr>
              <w:jc w:val="center"/>
              <w:rPr>
                <w:szCs w:val="18"/>
              </w:rPr>
            </w:pPr>
            <w:r w:rsidRPr="00673DC4">
              <w:rPr>
                <w:szCs w:val="18"/>
              </w:rPr>
              <w:t>Π</w:t>
            </w:r>
            <w:r>
              <w:rPr>
                <w:szCs w:val="18"/>
              </w:rPr>
              <w:t>.</w:t>
            </w:r>
            <w:r w:rsidRPr="00673DC4">
              <w:rPr>
                <w:szCs w:val="18"/>
              </w:rPr>
              <w:t>Α</w:t>
            </w:r>
            <w:r>
              <w:rPr>
                <w:szCs w:val="18"/>
              </w:rPr>
              <w:t>.</w:t>
            </w:r>
            <w:r w:rsidRPr="00673DC4">
              <w:rPr>
                <w:szCs w:val="18"/>
              </w:rPr>
              <w:t>Π</w:t>
            </w:r>
          </w:p>
        </w:tc>
        <w:tc>
          <w:tcPr>
            <w:tcW w:w="1559" w:type="dxa"/>
            <w:vAlign w:val="center"/>
          </w:tcPr>
          <w:p w14:paraId="435D80F5" w14:textId="77777777" w:rsidR="00D90118" w:rsidRPr="00673DC4" w:rsidRDefault="00D90118" w:rsidP="00D21C6A">
            <w:pPr>
              <w:jc w:val="center"/>
              <w:rPr>
                <w:szCs w:val="18"/>
              </w:rPr>
            </w:pPr>
            <w:r>
              <w:rPr>
                <w:szCs w:val="18"/>
              </w:rPr>
              <w:t>72</w:t>
            </w:r>
          </w:p>
        </w:tc>
        <w:tc>
          <w:tcPr>
            <w:tcW w:w="992" w:type="dxa"/>
            <w:vAlign w:val="center"/>
          </w:tcPr>
          <w:p w14:paraId="7529114A" w14:textId="77777777" w:rsidR="00D90118" w:rsidRPr="00673DC4" w:rsidRDefault="00D90118" w:rsidP="00D21C6A">
            <w:pPr>
              <w:jc w:val="center"/>
              <w:rPr>
                <w:szCs w:val="18"/>
              </w:rPr>
            </w:pPr>
            <w:r>
              <w:rPr>
                <w:szCs w:val="18"/>
              </w:rPr>
              <w:t>173</w:t>
            </w:r>
          </w:p>
        </w:tc>
        <w:tc>
          <w:tcPr>
            <w:tcW w:w="851" w:type="dxa"/>
            <w:vAlign w:val="center"/>
          </w:tcPr>
          <w:p w14:paraId="43893F5D" w14:textId="77777777" w:rsidR="00D90118" w:rsidRPr="00673DC4" w:rsidRDefault="00D90118" w:rsidP="00D21C6A">
            <w:pPr>
              <w:jc w:val="center"/>
              <w:rPr>
                <w:szCs w:val="18"/>
              </w:rPr>
            </w:pPr>
            <w:r>
              <w:rPr>
                <w:szCs w:val="18"/>
              </w:rPr>
              <w:t>207</w:t>
            </w:r>
          </w:p>
        </w:tc>
        <w:tc>
          <w:tcPr>
            <w:tcW w:w="1984" w:type="dxa"/>
            <w:shd w:val="clear" w:color="auto" w:fill="D9D9D9" w:themeFill="background1" w:themeFillShade="D9"/>
            <w:vAlign w:val="center"/>
          </w:tcPr>
          <w:p w14:paraId="0350B9D1" w14:textId="77777777" w:rsidR="00D90118" w:rsidRPr="00673DC4" w:rsidRDefault="00D90118" w:rsidP="00D21C6A">
            <w:pPr>
              <w:jc w:val="center"/>
              <w:rPr>
                <w:szCs w:val="18"/>
              </w:rPr>
            </w:pPr>
          </w:p>
        </w:tc>
      </w:tr>
      <w:tr w:rsidR="00D90118" w14:paraId="12272E27" w14:textId="77777777" w:rsidTr="0003032C">
        <w:tc>
          <w:tcPr>
            <w:tcW w:w="2268" w:type="dxa"/>
            <w:vAlign w:val="center"/>
          </w:tcPr>
          <w:p w14:paraId="3B670342" w14:textId="77777777" w:rsidR="00D90118" w:rsidRPr="001D061F" w:rsidRDefault="00D90118" w:rsidP="00D21C6A">
            <w:pPr>
              <w:jc w:val="left"/>
              <w:rPr>
                <w:b/>
                <w:i/>
                <w:szCs w:val="18"/>
              </w:rPr>
            </w:pPr>
            <w:r w:rsidRPr="001D061F">
              <w:rPr>
                <w:b/>
                <w:i/>
                <w:szCs w:val="18"/>
              </w:rPr>
              <w:t>Υποδομές ΚΡΗΠΙΣ</w:t>
            </w:r>
          </w:p>
        </w:tc>
        <w:tc>
          <w:tcPr>
            <w:tcW w:w="1560" w:type="dxa"/>
            <w:vAlign w:val="center"/>
          </w:tcPr>
          <w:p w14:paraId="79F4D569" w14:textId="77777777" w:rsidR="00D90118" w:rsidRPr="00673DC4" w:rsidRDefault="00D90118" w:rsidP="00D21C6A">
            <w:pPr>
              <w:jc w:val="center"/>
              <w:rPr>
                <w:b/>
                <w:szCs w:val="18"/>
              </w:rPr>
            </w:pPr>
            <w:r>
              <w:rPr>
                <w:b/>
                <w:szCs w:val="18"/>
              </w:rPr>
              <w:t>Σύνολο</w:t>
            </w:r>
          </w:p>
        </w:tc>
        <w:tc>
          <w:tcPr>
            <w:tcW w:w="1559" w:type="dxa"/>
          </w:tcPr>
          <w:p w14:paraId="40AC2690" w14:textId="77777777" w:rsidR="00D90118" w:rsidRPr="001D061F" w:rsidRDefault="00D90118" w:rsidP="00D21C6A">
            <w:pPr>
              <w:jc w:val="center"/>
              <w:rPr>
                <w:b/>
              </w:rPr>
            </w:pPr>
            <w:r w:rsidRPr="001D061F">
              <w:rPr>
                <w:b/>
              </w:rPr>
              <w:t>137</w:t>
            </w:r>
          </w:p>
        </w:tc>
        <w:tc>
          <w:tcPr>
            <w:tcW w:w="992" w:type="dxa"/>
          </w:tcPr>
          <w:p w14:paraId="27504140" w14:textId="77777777" w:rsidR="00D90118" w:rsidRPr="001D061F" w:rsidRDefault="00D90118" w:rsidP="00D21C6A">
            <w:pPr>
              <w:jc w:val="center"/>
              <w:rPr>
                <w:b/>
              </w:rPr>
            </w:pPr>
            <w:r w:rsidRPr="001D061F">
              <w:rPr>
                <w:b/>
              </w:rPr>
              <w:t>330</w:t>
            </w:r>
          </w:p>
        </w:tc>
        <w:tc>
          <w:tcPr>
            <w:tcW w:w="851" w:type="dxa"/>
          </w:tcPr>
          <w:p w14:paraId="4CE3ED0C" w14:textId="77777777" w:rsidR="00D90118" w:rsidRPr="001D061F" w:rsidRDefault="00D90118" w:rsidP="00D21C6A">
            <w:pPr>
              <w:jc w:val="center"/>
              <w:rPr>
                <w:b/>
              </w:rPr>
            </w:pPr>
            <w:r w:rsidRPr="001D061F">
              <w:rPr>
                <w:b/>
              </w:rPr>
              <w:t>393</w:t>
            </w:r>
          </w:p>
        </w:tc>
        <w:tc>
          <w:tcPr>
            <w:tcW w:w="1984" w:type="dxa"/>
            <w:shd w:val="clear" w:color="auto" w:fill="D9D9D9" w:themeFill="background1" w:themeFillShade="D9"/>
            <w:vAlign w:val="center"/>
          </w:tcPr>
          <w:p w14:paraId="5F09B30F" w14:textId="77777777" w:rsidR="00D90118" w:rsidRPr="00673DC4" w:rsidRDefault="00D90118" w:rsidP="00D21C6A">
            <w:pPr>
              <w:jc w:val="center"/>
              <w:rPr>
                <w:szCs w:val="18"/>
              </w:rPr>
            </w:pPr>
          </w:p>
        </w:tc>
      </w:tr>
    </w:tbl>
    <w:p w14:paraId="042250A2" w14:textId="77777777" w:rsidR="00D90118" w:rsidRPr="00F513A2" w:rsidRDefault="00D90118" w:rsidP="00D90118">
      <w:pPr>
        <w:rPr>
          <w:b/>
        </w:rPr>
      </w:pPr>
      <w:r w:rsidRPr="00F513A2">
        <w:rPr>
          <w:b/>
        </w:rPr>
        <w:t xml:space="preserve">Σημειώνεται ότι </w:t>
      </w:r>
      <w:r w:rsidR="00F513A2">
        <w:rPr>
          <w:b/>
        </w:rPr>
        <w:t xml:space="preserve"> για τις</w:t>
      </w:r>
      <w:r w:rsidRPr="00F513A2">
        <w:rPr>
          <w:b/>
        </w:rPr>
        <w:t xml:space="preserve"> λοιπές Προσκλήσεις του Θ.Σ 1 που </w:t>
      </w:r>
      <w:r w:rsidR="00F513A2">
        <w:rPr>
          <w:b/>
        </w:rPr>
        <w:t>είχαν</w:t>
      </w:r>
      <w:r w:rsidRPr="00F513A2">
        <w:rPr>
          <w:b/>
        </w:rPr>
        <w:t xml:space="preserve"> εκδοθεί έως το τέλος του 2018 δεν </w:t>
      </w:r>
      <w:r w:rsidR="00F513A2">
        <w:rPr>
          <w:b/>
        </w:rPr>
        <w:t>είχαν</w:t>
      </w:r>
      <w:r w:rsidRPr="00F513A2">
        <w:rPr>
          <w:b/>
        </w:rPr>
        <w:t xml:space="preserve"> τεθεί τιμές στόχοι</w:t>
      </w:r>
      <w:r w:rsidR="005C12E2">
        <w:rPr>
          <w:b/>
        </w:rPr>
        <w:t xml:space="preserve"> στους δείκτες</w:t>
      </w:r>
      <w:r w:rsidRPr="00F513A2">
        <w:rPr>
          <w:b/>
        </w:rPr>
        <w:t>.</w:t>
      </w:r>
    </w:p>
    <w:p w14:paraId="337C0EC0" w14:textId="77777777" w:rsidR="00F513A2" w:rsidRDefault="00F513A2" w:rsidP="00D90118">
      <w:pPr>
        <w:rPr>
          <w:b/>
        </w:rPr>
      </w:pPr>
    </w:p>
    <w:p w14:paraId="394EA28F" w14:textId="77777777" w:rsidR="00D90118" w:rsidRDefault="00D90118" w:rsidP="00D90118">
      <w:pPr>
        <w:rPr>
          <w:b/>
        </w:rPr>
      </w:pPr>
      <w:r>
        <w:rPr>
          <w:b/>
        </w:rPr>
        <w:t>Σε επίπεδο ενταγμένων έργων</w:t>
      </w:r>
    </w:p>
    <w:p w14:paraId="18BF1461" w14:textId="77777777" w:rsidR="00D90118" w:rsidRPr="001D061F" w:rsidRDefault="00D90118" w:rsidP="00D90118">
      <w:r w:rsidRPr="001D061F">
        <w:t>Στον πίνακα</w:t>
      </w:r>
      <w:r>
        <w:t xml:space="preserve"> που ακολουθεί εμφανίζονται οι τιμές στόχοι των δεικτών των αθροισμένων ενταγμένων έργων, ανά Πρόσκληση και ομάδα Περιφέρειας</w:t>
      </w:r>
    </w:p>
    <w:p w14:paraId="757D8B33" w14:textId="77777777" w:rsidR="00D90118" w:rsidRPr="001D061F" w:rsidRDefault="00D90118" w:rsidP="00D90118"/>
    <w:p w14:paraId="6C522C0B" w14:textId="77777777" w:rsidR="00D90118" w:rsidRDefault="00D90118" w:rsidP="00D90118">
      <w:pPr>
        <w:sectPr w:rsidR="00D90118" w:rsidSect="003632D5">
          <w:footerReference w:type="default" r:id="rId48"/>
          <w:pgSz w:w="11906" w:h="16838" w:code="9"/>
          <w:pgMar w:top="1440" w:right="1247" w:bottom="1440" w:left="1247" w:header="720" w:footer="720" w:gutter="0"/>
          <w:cols w:space="708"/>
          <w:docGrid w:linePitch="360"/>
        </w:sectPr>
      </w:pPr>
    </w:p>
    <w:p w14:paraId="2770A067" w14:textId="77777777" w:rsidR="00D90118" w:rsidRDefault="00D70C40" w:rsidP="00D70C40">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6</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4</w:t>
      </w:r>
      <w:r w:rsidR="00833098">
        <w:rPr>
          <w:noProof/>
        </w:rPr>
        <w:fldChar w:fldCharType="end"/>
      </w:r>
      <w:r w:rsidR="00A332A9">
        <w:t>: Τιμ</w:t>
      </w:r>
      <w:r w:rsidR="00303C13">
        <w:t>ές</w:t>
      </w:r>
      <w:r w:rsidR="00A332A9">
        <w:t xml:space="preserve"> Δεικτών Εκροών Ενταγμένων Έργων ΕΠΑνΕΚ</w:t>
      </w:r>
    </w:p>
    <w:p w14:paraId="26C65361" w14:textId="77777777" w:rsidR="00610A4C" w:rsidRDefault="00610A4C" w:rsidP="00D90118">
      <w:r w:rsidRPr="00610A4C">
        <w:rPr>
          <w:noProof/>
          <w:lang w:eastAsia="el-GR"/>
        </w:rPr>
        <w:drawing>
          <wp:inline distT="0" distB="0" distL="0" distR="0" wp14:anchorId="2EEC42F3" wp14:editId="0B6A531C">
            <wp:extent cx="13380085" cy="7623954"/>
            <wp:effectExtent l="19050" t="19050" r="12065" b="152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380085" cy="7623954"/>
                    </a:xfrm>
                    <a:prstGeom prst="rect">
                      <a:avLst/>
                    </a:prstGeom>
                    <a:noFill/>
                    <a:ln>
                      <a:solidFill>
                        <a:schemeClr val="tx1">
                          <a:lumMod val="50000"/>
                          <a:lumOff val="50000"/>
                        </a:schemeClr>
                      </a:solidFill>
                    </a:ln>
                  </pic:spPr>
                </pic:pic>
              </a:graphicData>
            </a:graphic>
          </wp:inline>
        </w:drawing>
      </w:r>
    </w:p>
    <w:p w14:paraId="2179806A" w14:textId="77777777" w:rsidR="00610A4C" w:rsidRDefault="00610A4C" w:rsidP="00D90118"/>
    <w:p w14:paraId="2E1FAF15" w14:textId="77777777" w:rsidR="00610A4C" w:rsidRDefault="00610A4C" w:rsidP="00D90118"/>
    <w:p w14:paraId="108C971E" w14:textId="77777777" w:rsidR="00610A4C" w:rsidRDefault="00610A4C" w:rsidP="00D90118">
      <w:r w:rsidRPr="00610A4C">
        <w:rPr>
          <w:noProof/>
          <w:lang w:eastAsia="el-GR"/>
        </w:rPr>
        <w:drawing>
          <wp:inline distT="0" distB="0" distL="0" distR="0" wp14:anchorId="49804DAA" wp14:editId="5A304301">
            <wp:extent cx="13380471" cy="6457950"/>
            <wp:effectExtent l="19050" t="19050" r="12065" b="190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385446" cy="6460351"/>
                    </a:xfrm>
                    <a:prstGeom prst="rect">
                      <a:avLst/>
                    </a:prstGeom>
                    <a:noFill/>
                    <a:ln>
                      <a:solidFill>
                        <a:schemeClr val="tx1">
                          <a:lumMod val="50000"/>
                          <a:lumOff val="50000"/>
                        </a:schemeClr>
                      </a:solidFill>
                    </a:ln>
                  </pic:spPr>
                </pic:pic>
              </a:graphicData>
            </a:graphic>
          </wp:inline>
        </w:drawing>
      </w:r>
    </w:p>
    <w:p w14:paraId="17FD337E" w14:textId="77777777" w:rsidR="00D90118" w:rsidRPr="001066D7" w:rsidRDefault="00D90118" w:rsidP="00D90118">
      <w:pPr>
        <w:rPr>
          <w:sz w:val="16"/>
          <w:szCs w:val="16"/>
        </w:rPr>
      </w:pPr>
      <w:r w:rsidRPr="001066D7">
        <w:rPr>
          <w:sz w:val="16"/>
          <w:szCs w:val="16"/>
        </w:rPr>
        <w:t xml:space="preserve">(Σημ: Έχουν συμπεριληφθεί οι εντάξεις έργων της δράσης </w:t>
      </w:r>
      <w:r w:rsidRPr="001066D7">
        <w:rPr>
          <w:sz w:val="16"/>
          <w:szCs w:val="16"/>
          <w:lang w:val="en-US"/>
        </w:rPr>
        <w:t>ERANETS</w:t>
      </w:r>
      <w:r w:rsidRPr="001066D7">
        <w:rPr>
          <w:sz w:val="16"/>
          <w:szCs w:val="16"/>
        </w:rPr>
        <w:t xml:space="preserve"> </w:t>
      </w:r>
      <w:r w:rsidRPr="001066D7">
        <w:rPr>
          <w:sz w:val="16"/>
          <w:szCs w:val="16"/>
          <w:lang w:val="en-US"/>
        </w:rPr>
        <w:t>II</w:t>
      </w:r>
      <w:r w:rsidRPr="001066D7">
        <w:rPr>
          <w:sz w:val="16"/>
          <w:szCs w:val="16"/>
        </w:rPr>
        <w:t xml:space="preserve"> που διενεργήθηκαν τον Ιανουάριο 2019, δεδομένου ότι η Πρόσκληση εκδόθηκε πριν το τέλος του 2018)</w:t>
      </w:r>
    </w:p>
    <w:p w14:paraId="67AD2C0F" w14:textId="77777777" w:rsidR="00D90118" w:rsidRDefault="00D90118" w:rsidP="00D90118"/>
    <w:p w14:paraId="798019A2" w14:textId="77777777" w:rsidR="00D90118" w:rsidRDefault="00D90118" w:rsidP="00D90118">
      <w:pPr>
        <w:sectPr w:rsidR="00D90118" w:rsidSect="00610A4C">
          <w:footerReference w:type="default" r:id="rId51"/>
          <w:pgSz w:w="23814" w:h="16839" w:orient="landscape" w:code="8"/>
          <w:pgMar w:top="1800" w:right="1440" w:bottom="1800" w:left="1440" w:header="708" w:footer="708" w:gutter="0"/>
          <w:cols w:space="708"/>
          <w:docGrid w:linePitch="360"/>
        </w:sectPr>
      </w:pPr>
    </w:p>
    <w:p w14:paraId="4264420E" w14:textId="77777777" w:rsidR="00D90118" w:rsidRDefault="00D90118" w:rsidP="00D90118">
      <w:pPr>
        <w:pStyle w:val="Heading2"/>
      </w:pPr>
      <w:bookmarkStart w:id="35" w:name="_Toc6503381"/>
      <w:bookmarkStart w:id="36" w:name="_Toc22645417"/>
      <w:r>
        <w:lastRenderedPageBreak/>
        <w:t>Βαθμός κάλυψης δεικτών</w:t>
      </w:r>
      <w:bookmarkEnd w:id="35"/>
      <w:bookmarkEnd w:id="36"/>
    </w:p>
    <w:p w14:paraId="1B46E3A3" w14:textId="77777777" w:rsidR="00D90118" w:rsidRDefault="00D90118" w:rsidP="00D90118">
      <w:r>
        <w:t>Δεδομένου ότι</w:t>
      </w:r>
      <w:r w:rsidR="005B3D3A">
        <w:t>:</w:t>
      </w:r>
    </w:p>
    <w:p w14:paraId="0997A1CF" w14:textId="77777777" w:rsidR="00D90118" w:rsidRDefault="00D90118" w:rsidP="00D90118">
      <w:r>
        <w:t>(α) Για καμία από τις παραπάνω Δράσεις δεν έχουν εισαχθεί ακόμα στο ΟΠΣ ΕΣΠΑ στοιχεία προόδου των τιμών των δεικτών, εφόσον τα αντίστοιχα έργα βρίσκονται ακόμα σε πρώιμη φάση,</w:t>
      </w:r>
    </w:p>
    <w:p w14:paraId="19274184" w14:textId="77777777" w:rsidR="00D90118" w:rsidRDefault="00D90118" w:rsidP="00D90118">
      <w:r>
        <w:t>(β) Μόνο στις τρεις Προσκλήσεις Υποδομών με φορέα πρόσκλησης την ΕΥΔ ΕΠΑνΕΚ έχουν τεθεί ποσοτικοί στόχοι σε επίπεδο δεικτών, και έτσι δεν είναι δυνατό να προκύψουν συγκρίσιμα δεδομένα σε σχέση με τις τιμές στόχων των αντίστοιχων δεικτών του Προγράμματος (ΘΣ1),</w:t>
      </w:r>
    </w:p>
    <w:p w14:paraId="12092B17" w14:textId="77777777" w:rsidR="00D90118" w:rsidRDefault="005B3D3A" w:rsidP="00D90118">
      <w:r>
        <w:t>σ</w:t>
      </w:r>
      <w:r w:rsidR="00D90118">
        <w:t>υμπεράσματα για το βαθμό κάλυψης των τιμών στόχων μπορούν προς το παρόν να εξαχθούν μόνο μέσα από τη σύγκριση των τιμών στόχων δεικτών των ενταγμένων έργων, για το σύνολο των Προσκλήσεων ΕΤΑΚ που έχουν εκδοθεί  μέχρι σήμερα και των τιμών στόχων δεικτών σε επίπεδο Προγράμματος/ Ε.Σ 1.</w:t>
      </w:r>
    </w:p>
    <w:p w14:paraId="04C6C56F" w14:textId="77777777" w:rsidR="00D90118" w:rsidRDefault="00D90118" w:rsidP="00D90118">
      <w:r>
        <w:t>Οι τιμές αυτές (προγραμματισμός δεικτών σε επίπεδο Προγράμματος και προγραμματισμός δεικτών σε επίπεδο ενταγμένων έργων</w:t>
      </w:r>
      <w:r w:rsidR="00F513A2">
        <w:t>)</w:t>
      </w:r>
      <w:r>
        <w:t xml:space="preserve"> παρουσιάζονται στον πίνακα που ακολουθεί:</w:t>
      </w:r>
    </w:p>
    <w:p w14:paraId="5890F004" w14:textId="77777777" w:rsidR="00D90118" w:rsidRDefault="00D90118" w:rsidP="00D90118"/>
    <w:p w14:paraId="4B54A83D" w14:textId="77777777" w:rsidR="00D90118" w:rsidRDefault="00D90118" w:rsidP="00D90118"/>
    <w:p w14:paraId="09C6FD63" w14:textId="77777777" w:rsidR="00D90118" w:rsidRPr="000A3801" w:rsidRDefault="00D90118" w:rsidP="00D90118"/>
    <w:p w14:paraId="31F36E8C" w14:textId="77777777" w:rsidR="00D90118" w:rsidRPr="000A3801" w:rsidRDefault="00D90118" w:rsidP="00D90118"/>
    <w:p w14:paraId="62E4B172" w14:textId="77777777" w:rsidR="00D90118" w:rsidRPr="000A3801" w:rsidRDefault="00D90118" w:rsidP="00D90118">
      <w:pPr>
        <w:sectPr w:rsidR="00D90118" w:rsidRPr="000A3801" w:rsidSect="005476F0">
          <w:footerReference w:type="default" r:id="rId52"/>
          <w:pgSz w:w="11906" w:h="16838"/>
          <w:pgMar w:top="1440" w:right="1247" w:bottom="1440" w:left="1247" w:header="709" w:footer="709" w:gutter="0"/>
          <w:cols w:space="708"/>
          <w:docGrid w:linePitch="360"/>
        </w:sectPr>
      </w:pPr>
    </w:p>
    <w:p w14:paraId="7A785247" w14:textId="77777777" w:rsidR="00D90118" w:rsidRPr="005B3D3A" w:rsidRDefault="00804D5C" w:rsidP="00804D5C">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6</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5</w:t>
      </w:r>
      <w:r w:rsidR="00833098">
        <w:rPr>
          <w:noProof/>
        </w:rPr>
        <w:fldChar w:fldCharType="end"/>
      </w:r>
      <w:r w:rsidR="005B3D3A" w:rsidRPr="005B3D3A">
        <w:t>:</w:t>
      </w:r>
      <w:r>
        <w:t xml:space="preserve"> </w:t>
      </w:r>
      <w:r w:rsidR="00D90118" w:rsidRPr="005B3D3A">
        <w:t xml:space="preserve">Τιμές δεικτών εκροών σε επίπεδο Ε.Π. και σε επίπεδο εντάξεων </w:t>
      </w:r>
    </w:p>
    <w:tbl>
      <w:tblPr>
        <w:tblW w:w="5081" w:type="pct"/>
        <w:tblLayout w:type="fixed"/>
        <w:tblLook w:val="04A0" w:firstRow="1" w:lastRow="0" w:firstColumn="1" w:lastColumn="0" w:noHBand="0" w:noVBand="1"/>
      </w:tblPr>
      <w:tblGrid>
        <w:gridCol w:w="1123"/>
        <w:gridCol w:w="2959"/>
        <w:gridCol w:w="1255"/>
        <w:gridCol w:w="901"/>
        <w:gridCol w:w="956"/>
        <w:gridCol w:w="1237"/>
        <w:gridCol w:w="1169"/>
        <w:gridCol w:w="1135"/>
        <w:gridCol w:w="1203"/>
        <w:gridCol w:w="935"/>
        <w:gridCol w:w="961"/>
        <w:gridCol w:w="961"/>
        <w:gridCol w:w="961"/>
        <w:gridCol w:w="1301"/>
        <w:gridCol w:w="1288"/>
        <w:gridCol w:w="1488"/>
        <w:gridCol w:w="1420"/>
      </w:tblGrid>
      <w:tr w:rsidR="00C723C0" w:rsidRPr="00646DDA" w14:paraId="13D0B991" w14:textId="77777777" w:rsidTr="00E75022">
        <w:trPr>
          <w:trHeight w:val="705"/>
        </w:trPr>
        <w:tc>
          <w:tcPr>
            <w:tcW w:w="1692" w:type="pct"/>
            <w:gridSpan w:val="5"/>
            <w:tcBorders>
              <w:top w:val="single" w:sz="8" w:space="0" w:color="808080"/>
              <w:left w:val="single" w:sz="8" w:space="0" w:color="808080"/>
              <w:bottom w:val="single" w:sz="4" w:space="0" w:color="808080"/>
              <w:right w:val="single" w:sz="4" w:space="0" w:color="808080"/>
            </w:tcBorders>
            <w:shd w:val="clear" w:color="000000" w:fill="800000"/>
            <w:noWrap/>
            <w:vAlign w:val="center"/>
            <w:hideMark/>
          </w:tcPr>
          <w:p w14:paraId="74F97543" w14:textId="77777777" w:rsidR="00C723C0" w:rsidRPr="00646DDA" w:rsidRDefault="00C723C0" w:rsidP="00C723C0">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ΔΕΙΚΤΕΣ ΕΚΡΟΩΝ</w:t>
            </w:r>
          </w:p>
        </w:tc>
        <w:tc>
          <w:tcPr>
            <w:tcW w:w="1116" w:type="pct"/>
            <w:gridSpan w:val="4"/>
            <w:tcBorders>
              <w:top w:val="single" w:sz="8" w:space="0" w:color="808080"/>
              <w:left w:val="nil"/>
              <w:bottom w:val="single" w:sz="4" w:space="0" w:color="808080"/>
              <w:right w:val="single" w:sz="4" w:space="0" w:color="808080"/>
            </w:tcBorders>
            <w:shd w:val="clear" w:color="000000" w:fill="800000"/>
            <w:noWrap/>
            <w:vAlign w:val="center"/>
            <w:hideMark/>
          </w:tcPr>
          <w:p w14:paraId="211474C4" w14:textId="77777777" w:rsidR="00C723C0" w:rsidRPr="00646DDA" w:rsidRDefault="00C723C0" w:rsidP="00C723C0">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Προγραμματισμός ΕΠΑΝΕΚ (Επεν. Προτ. 1a &amp; 1b)</w:t>
            </w:r>
          </w:p>
        </w:tc>
        <w:tc>
          <w:tcPr>
            <w:tcW w:w="898" w:type="pct"/>
            <w:gridSpan w:val="4"/>
            <w:tcBorders>
              <w:top w:val="single" w:sz="8" w:space="0" w:color="808080"/>
              <w:left w:val="nil"/>
              <w:bottom w:val="single" w:sz="4" w:space="0" w:color="808080"/>
              <w:right w:val="single" w:sz="4" w:space="0" w:color="808080"/>
            </w:tcBorders>
            <w:shd w:val="clear" w:color="000000" w:fill="800000"/>
            <w:noWrap/>
            <w:vAlign w:val="center"/>
            <w:hideMark/>
          </w:tcPr>
          <w:p w14:paraId="28D04C8F" w14:textId="77777777" w:rsidR="00C723C0" w:rsidRPr="00646DDA" w:rsidRDefault="00C723C0" w:rsidP="00C723C0">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Προγραμματισμός ΕΝΤΑΞΕΙΣ</w:t>
            </w:r>
          </w:p>
        </w:tc>
        <w:tc>
          <w:tcPr>
            <w:tcW w:w="1293" w:type="pct"/>
            <w:gridSpan w:val="4"/>
            <w:tcBorders>
              <w:top w:val="single" w:sz="8" w:space="0" w:color="808080"/>
              <w:left w:val="nil"/>
              <w:bottom w:val="single" w:sz="4" w:space="0" w:color="808080"/>
              <w:right w:val="single" w:sz="8" w:space="0" w:color="808080"/>
            </w:tcBorders>
            <w:shd w:val="clear" w:color="000000" w:fill="800000"/>
            <w:noWrap/>
            <w:vAlign w:val="center"/>
            <w:hideMark/>
          </w:tcPr>
          <w:p w14:paraId="5A15DD1E" w14:textId="77777777" w:rsidR="00C723C0" w:rsidRPr="00646DDA" w:rsidRDefault="00C723C0" w:rsidP="00C723C0">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Συσχετισμός</w:t>
            </w:r>
          </w:p>
        </w:tc>
      </w:tr>
      <w:tr w:rsidR="00E75022" w:rsidRPr="00646DDA" w14:paraId="5F5ACF8E" w14:textId="77777777" w:rsidTr="00E75022">
        <w:trPr>
          <w:trHeight w:val="915"/>
        </w:trPr>
        <w:tc>
          <w:tcPr>
            <w:tcW w:w="264" w:type="pct"/>
            <w:tcBorders>
              <w:top w:val="nil"/>
              <w:left w:val="single" w:sz="8" w:space="0" w:color="808080"/>
              <w:bottom w:val="single" w:sz="4" w:space="0" w:color="808080"/>
              <w:right w:val="single" w:sz="4" w:space="0" w:color="808080"/>
            </w:tcBorders>
            <w:shd w:val="clear" w:color="000000" w:fill="EDEDED"/>
            <w:vAlign w:val="center"/>
            <w:hideMark/>
          </w:tcPr>
          <w:p w14:paraId="496BB835"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Κωδικός</w:t>
            </w:r>
          </w:p>
        </w:tc>
        <w:tc>
          <w:tcPr>
            <w:tcW w:w="696" w:type="pct"/>
            <w:tcBorders>
              <w:top w:val="nil"/>
              <w:left w:val="nil"/>
              <w:bottom w:val="single" w:sz="4" w:space="0" w:color="808080"/>
              <w:right w:val="single" w:sz="4" w:space="0" w:color="808080"/>
            </w:tcBorders>
            <w:shd w:val="clear" w:color="000000" w:fill="EDEDED"/>
            <w:vAlign w:val="center"/>
            <w:hideMark/>
          </w:tcPr>
          <w:p w14:paraId="44869C80"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Δείκτης </w:t>
            </w:r>
          </w:p>
        </w:tc>
        <w:tc>
          <w:tcPr>
            <w:tcW w:w="295" w:type="pct"/>
            <w:tcBorders>
              <w:top w:val="nil"/>
              <w:left w:val="nil"/>
              <w:bottom w:val="single" w:sz="4" w:space="0" w:color="808080"/>
              <w:right w:val="single" w:sz="4" w:space="0" w:color="808080"/>
            </w:tcBorders>
            <w:shd w:val="clear" w:color="000000" w:fill="EDEDED"/>
            <w:vAlign w:val="center"/>
            <w:hideMark/>
          </w:tcPr>
          <w:p w14:paraId="7B2EACC5"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Μονάδα Μέτρησης</w:t>
            </w:r>
          </w:p>
        </w:tc>
        <w:tc>
          <w:tcPr>
            <w:tcW w:w="212" w:type="pct"/>
            <w:tcBorders>
              <w:top w:val="nil"/>
              <w:left w:val="nil"/>
              <w:bottom w:val="single" w:sz="4" w:space="0" w:color="808080"/>
              <w:right w:val="single" w:sz="4" w:space="0" w:color="808080"/>
            </w:tcBorders>
            <w:shd w:val="clear" w:color="000000" w:fill="EDEDED"/>
            <w:vAlign w:val="center"/>
            <w:hideMark/>
          </w:tcPr>
          <w:p w14:paraId="48A6EC57"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ΑΠ ΕΠΑΝΕΚ</w:t>
            </w:r>
          </w:p>
        </w:tc>
        <w:tc>
          <w:tcPr>
            <w:tcW w:w="225" w:type="pct"/>
            <w:tcBorders>
              <w:top w:val="nil"/>
              <w:left w:val="nil"/>
              <w:bottom w:val="single" w:sz="4" w:space="0" w:color="808080"/>
              <w:right w:val="single" w:sz="4" w:space="0" w:color="808080"/>
            </w:tcBorders>
            <w:shd w:val="clear" w:color="000000" w:fill="EDEDED"/>
            <w:vAlign w:val="center"/>
            <w:hideMark/>
          </w:tcPr>
          <w:p w14:paraId="46C5994D"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Επ.Προτ.</w:t>
            </w:r>
          </w:p>
        </w:tc>
        <w:tc>
          <w:tcPr>
            <w:tcW w:w="291" w:type="pct"/>
            <w:tcBorders>
              <w:top w:val="nil"/>
              <w:left w:val="nil"/>
              <w:bottom w:val="single" w:sz="4" w:space="0" w:color="808080"/>
              <w:right w:val="single" w:sz="4" w:space="0" w:color="808080"/>
            </w:tcBorders>
            <w:shd w:val="clear" w:color="000000" w:fill="EDEDED"/>
            <w:vAlign w:val="center"/>
            <w:hideMark/>
          </w:tcPr>
          <w:p w14:paraId="2596F4B1"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ΣΥΝΟΛΟ</w:t>
            </w:r>
          </w:p>
        </w:tc>
        <w:tc>
          <w:tcPr>
            <w:tcW w:w="275" w:type="pct"/>
            <w:tcBorders>
              <w:top w:val="nil"/>
              <w:left w:val="nil"/>
              <w:bottom w:val="single" w:sz="4" w:space="0" w:color="808080"/>
              <w:right w:val="single" w:sz="4" w:space="0" w:color="808080"/>
            </w:tcBorders>
            <w:shd w:val="clear" w:color="000000" w:fill="EDEDED"/>
            <w:vAlign w:val="center"/>
            <w:hideMark/>
          </w:tcPr>
          <w:p w14:paraId="2B35FC59"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ΕΠΑΝΕΚ-ΛΑΠ </w:t>
            </w:r>
          </w:p>
        </w:tc>
        <w:tc>
          <w:tcPr>
            <w:tcW w:w="267" w:type="pct"/>
            <w:tcBorders>
              <w:top w:val="nil"/>
              <w:left w:val="nil"/>
              <w:bottom w:val="single" w:sz="4" w:space="0" w:color="808080"/>
              <w:right w:val="single" w:sz="4" w:space="0" w:color="808080"/>
            </w:tcBorders>
            <w:shd w:val="clear" w:color="000000" w:fill="EDEDED"/>
            <w:vAlign w:val="center"/>
            <w:hideMark/>
          </w:tcPr>
          <w:p w14:paraId="511EB833"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ΕΠΑΝΕΚ-ΠΜ </w:t>
            </w:r>
          </w:p>
        </w:tc>
        <w:tc>
          <w:tcPr>
            <w:tcW w:w="283" w:type="pct"/>
            <w:tcBorders>
              <w:top w:val="nil"/>
              <w:left w:val="nil"/>
              <w:bottom w:val="single" w:sz="4" w:space="0" w:color="808080"/>
              <w:right w:val="single" w:sz="4" w:space="0" w:color="808080"/>
            </w:tcBorders>
            <w:shd w:val="clear" w:color="000000" w:fill="EDEDED"/>
            <w:vAlign w:val="center"/>
            <w:hideMark/>
          </w:tcPr>
          <w:p w14:paraId="228D5C83"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ΕΠΑΝΕΚ-ΠΑΠ</w:t>
            </w:r>
          </w:p>
        </w:tc>
        <w:tc>
          <w:tcPr>
            <w:tcW w:w="220" w:type="pct"/>
            <w:tcBorders>
              <w:top w:val="nil"/>
              <w:left w:val="nil"/>
              <w:bottom w:val="single" w:sz="4" w:space="0" w:color="808080"/>
              <w:right w:val="single" w:sz="4" w:space="0" w:color="808080"/>
            </w:tcBorders>
            <w:shd w:val="clear" w:color="000000" w:fill="EDEDED"/>
            <w:vAlign w:val="center"/>
            <w:hideMark/>
          </w:tcPr>
          <w:p w14:paraId="2422DB38"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ΣΥΝΟΛΟ</w:t>
            </w:r>
          </w:p>
        </w:tc>
        <w:tc>
          <w:tcPr>
            <w:tcW w:w="226" w:type="pct"/>
            <w:tcBorders>
              <w:top w:val="nil"/>
              <w:left w:val="nil"/>
              <w:bottom w:val="single" w:sz="4" w:space="0" w:color="808080"/>
              <w:right w:val="single" w:sz="4" w:space="0" w:color="808080"/>
            </w:tcBorders>
            <w:shd w:val="clear" w:color="000000" w:fill="EDEDED"/>
            <w:vAlign w:val="center"/>
            <w:hideMark/>
          </w:tcPr>
          <w:p w14:paraId="6840ADB6"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ΕΠΑΝΕΚ-ΛΑΠ </w:t>
            </w:r>
          </w:p>
        </w:tc>
        <w:tc>
          <w:tcPr>
            <w:tcW w:w="226" w:type="pct"/>
            <w:tcBorders>
              <w:top w:val="nil"/>
              <w:left w:val="nil"/>
              <w:bottom w:val="single" w:sz="4" w:space="0" w:color="808080"/>
              <w:right w:val="single" w:sz="4" w:space="0" w:color="808080"/>
            </w:tcBorders>
            <w:shd w:val="clear" w:color="000000" w:fill="EDEDED"/>
            <w:vAlign w:val="center"/>
            <w:hideMark/>
          </w:tcPr>
          <w:p w14:paraId="14550C11"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ΕΠΑΝΕΚ-ΠΜ </w:t>
            </w:r>
          </w:p>
        </w:tc>
        <w:tc>
          <w:tcPr>
            <w:tcW w:w="226" w:type="pct"/>
            <w:tcBorders>
              <w:top w:val="nil"/>
              <w:left w:val="nil"/>
              <w:bottom w:val="single" w:sz="4" w:space="0" w:color="808080"/>
              <w:right w:val="single" w:sz="4" w:space="0" w:color="808080"/>
            </w:tcBorders>
            <w:shd w:val="clear" w:color="000000" w:fill="EDEDED"/>
            <w:vAlign w:val="center"/>
            <w:hideMark/>
          </w:tcPr>
          <w:p w14:paraId="1DBC9FB3"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ΕΠΑΝΕΚ-ΠΑΠ</w:t>
            </w:r>
          </w:p>
        </w:tc>
        <w:tc>
          <w:tcPr>
            <w:tcW w:w="306" w:type="pct"/>
            <w:tcBorders>
              <w:top w:val="nil"/>
              <w:left w:val="nil"/>
              <w:bottom w:val="single" w:sz="4" w:space="0" w:color="808080"/>
              <w:right w:val="single" w:sz="4" w:space="0" w:color="808080"/>
            </w:tcBorders>
            <w:shd w:val="clear" w:color="000000" w:fill="EDEDED"/>
            <w:vAlign w:val="center"/>
            <w:hideMark/>
          </w:tcPr>
          <w:p w14:paraId="6847605B"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ΣΥΝΟΛΟ</w:t>
            </w:r>
          </w:p>
        </w:tc>
        <w:tc>
          <w:tcPr>
            <w:tcW w:w="303" w:type="pct"/>
            <w:tcBorders>
              <w:top w:val="nil"/>
              <w:left w:val="nil"/>
              <w:bottom w:val="single" w:sz="4" w:space="0" w:color="808080"/>
              <w:right w:val="single" w:sz="4" w:space="0" w:color="808080"/>
            </w:tcBorders>
            <w:shd w:val="clear" w:color="000000" w:fill="EDEDED"/>
            <w:vAlign w:val="center"/>
            <w:hideMark/>
          </w:tcPr>
          <w:p w14:paraId="15486418"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ΕΠΑΝΕΚ-ΛΑΠ </w:t>
            </w:r>
          </w:p>
        </w:tc>
        <w:tc>
          <w:tcPr>
            <w:tcW w:w="350" w:type="pct"/>
            <w:tcBorders>
              <w:top w:val="nil"/>
              <w:left w:val="nil"/>
              <w:bottom w:val="single" w:sz="4" w:space="0" w:color="808080"/>
              <w:right w:val="single" w:sz="4" w:space="0" w:color="808080"/>
            </w:tcBorders>
            <w:shd w:val="clear" w:color="000000" w:fill="EDEDED"/>
            <w:vAlign w:val="center"/>
            <w:hideMark/>
          </w:tcPr>
          <w:p w14:paraId="1534A8D0"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xml:space="preserve">ΕΠΑΝΕΚ-ΠΜ </w:t>
            </w:r>
          </w:p>
        </w:tc>
        <w:tc>
          <w:tcPr>
            <w:tcW w:w="334" w:type="pct"/>
            <w:tcBorders>
              <w:top w:val="nil"/>
              <w:left w:val="nil"/>
              <w:bottom w:val="single" w:sz="4" w:space="0" w:color="808080"/>
              <w:right w:val="single" w:sz="8" w:space="0" w:color="808080"/>
            </w:tcBorders>
            <w:shd w:val="clear" w:color="000000" w:fill="EDEDED"/>
            <w:vAlign w:val="center"/>
            <w:hideMark/>
          </w:tcPr>
          <w:p w14:paraId="203D00F7"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ΕΠΑΝΕΚ-ΠΑΠ</w:t>
            </w:r>
          </w:p>
        </w:tc>
      </w:tr>
      <w:tr w:rsidR="00E75022" w:rsidRPr="00646DDA" w14:paraId="4450FC47"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39D973E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CO01</w:t>
            </w:r>
          </w:p>
        </w:tc>
        <w:tc>
          <w:tcPr>
            <w:tcW w:w="696" w:type="pct"/>
            <w:tcBorders>
              <w:top w:val="nil"/>
              <w:left w:val="nil"/>
              <w:bottom w:val="single" w:sz="4" w:space="0" w:color="808080"/>
              <w:right w:val="single" w:sz="4" w:space="0" w:color="808080"/>
            </w:tcBorders>
            <w:shd w:val="clear" w:color="auto" w:fill="auto"/>
            <w:vAlign w:val="bottom"/>
            <w:hideMark/>
          </w:tcPr>
          <w:p w14:paraId="663FF4F3"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Παραγωγικές Επενδύσεις: αριθμός επιχειρήσεων που λαμβάνουν στήριξη</w:t>
            </w:r>
          </w:p>
        </w:tc>
        <w:tc>
          <w:tcPr>
            <w:tcW w:w="295" w:type="pct"/>
            <w:tcBorders>
              <w:top w:val="nil"/>
              <w:left w:val="nil"/>
              <w:bottom w:val="single" w:sz="4" w:space="0" w:color="808080"/>
              <w:right w:val="single" w:sz="4" w:space="0" w:color="808080"/>
            </w:tcBorders>
            <w:shd w:val="clear" w:color="auto" w:fill="auto"/>
            <w:noWrap/>
            <w:vAlign w:val="center"/>
            <w:hideMark/>
          </w:tcPr>
          <w:p w14:paraId="3EA5098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Επιχειρήσεις</w:t>
            </w:r>
          </w:p>
        </w:tc>
        <w:tc>
          <w:tcPr>
            <w:tcW w:w="212" w:type="pct"/>
            <w:tcBorders>
              <w:top w:val="nil"/>
              <w:left w:val="nil"/>
              <w:bottom w:val="single" w:sz="4" w:space="0" w:color="808080"/>
              <w:right w:val="single" w:sz="4" w:space="0" w:color="808080"/>
            </w:tcBorders>
            <w:shd w:val="clear" w:color="auto" w:fill="auto"/>
            <w:noWrap/>
            <w:vAlign w:val="center"/>
            <w:hideMark/>
          </w:tcPr>
          <w:p w14:paraId="5C6B9EE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27BB6DA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5C6AEE9E"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708</w:t>
            </w:r>
          </w:p>
        </w:tc>
        <w:tc>
          <w:tcPr>
            <w:tcW w:w="275" w:type="pct"/>
            <w:tcBorders>
              <w:top w:val="nil"/>
              <w:left w:val="nil"/>
              <w:bottom w:val="single" w:sz="4" w:space="0" w:color="808080"/>
              <w:right w:val="single" w:sz="4" w:space="0" w:color="808080"/>
            </w:tcBorders>
            <w:shd w:val="clear" w:color="auto" w:fill="auto"/>
            <w:noWrap/>
            <w:vAlign w:val="center"/>
            <w:hideMark/>
          </w:tcPr>
          <w:p w14:paraId="0D5117C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325</w:t>
            </w:r>
          </w:p>
        </w:tc>
        <w:tc>
          <w:tcPr>
            <w:tcW w:w="267" w:type="pct"/>
            <w:tcBorders>
              <w:top w:val="nil"/>
              <w:left w:val="nil"/>
              <w:bottom w:val="single" w:sz="4" w:space="0" w:color="808080"/>
              <w:right w:val="single" w:sz="4" w:space="0" w:color="808080"/>
            </w:tcBorders>
            <w:shd w:val="clear" w:color="auto" w:fill="auto"/>
            <w:noWrap/>
            <w:vAlign w:val="center"/>
            <w:hideMark/>
          </w:tcPr>
          <w:p w14:paraId="7B09710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122</w:t>
            </w:r>
          </w:p>
        </w:tc>
        <w:tc>
          <w:tcPr>
            <w:tcW w:w="283" w:type="pct"/>
            <w:tcBorders>
              <w:top w:val="nil"/>
              <w:left w:val="nil"/>
              <w:bottom w:val="single" w:sz="4" w:space="0" w:color="808080"/>
              <w:right w:val="single" w:sz="4" w:space="0" w:color="808080"/>
            </w:tcBorders>
            <w:shd w:val="clear" w:color="auto" w:fill="auto"/>
            <w:noWrap/>
            <w:vAlign w:val="center"/>
            <w:hideMark/>
          </w:tcPr>
          <w:p w14:paraId="3442D81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261</w:t>
            </w:r>
          </w:p>
        </w:tc>
        <w:tc>
          <w:tcPr>
            <w:tcW w:w="220" w:type="pct"/>
            <w:tcBorders>
              <w:top w:val="nil"/>
              <w:left w:val="nil"/>
              <w:bottom w:val="single" w:sz="4" w:space="0" w:color="808080"/>
              <w:right w:val="single" w:sz="4" w:space="0" w:color="808080"/>
            </w:tcBorders>
            <w:shd w:val="clear" w:color="auto" w:fill="auto"/>
            <w:noWrap/>
            <w:vAlign w:val="center"/>
            <w:hideMark/>
          </w:tcPr>
          <w:p w14:paraId="0367BDA6"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1032</w:t>
            </w:r>
          </w:p>
        </w:tc>
        <w:tc>
          <w:tcPr>
            <w:tcW w:w="226" w:type="pct"/>
            <w:tcBorders>
              <w:top w:val="nil"/>
              <w:left w:val="nil"/>
              <w:bottom w:val="single" w:sz="4" w:space="0" w:color="808080"/>
              <w:right w:val="single" w:sz="4" w:space="0" w:color="808080"/>
            </w:tcBorders>
            <w:shd w:val="clear" w:color="auto" w:fill="auto"/>
            <w:noWrap/>
            <w:vAlign w:val="center"/>
            <w:hideMark/>
          </w:tcPr>
          <w:p w14:paraId="3DE348F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520</w:t>
            </w:r>
          </w:p>
        </w:tc>
        <w:tc>
          <w:tcPr>
            <w:tcW w:w="226" w:type="pct"/>
            <w:tcBorders>
              <w:top w:val="nil"/>
              <w:left w:val="nil"/>
              <w:bottom w:val="single" w:sz="4" w:space="0" w:color="808080"/>
              <w:right w:val="single" w:sz="4" w:space="0" w:color="808080"/>
            </w:tcBorders>
            <w:shd w:val="clear" w:color="auto" w:fill="auto"/>
            <w:noWrap/>
            <w:vAlign w:val="center"/>
            <w:hideMark/>
          </w:tcPr>
          <w:p w14:paraId="5374213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173</w:t>
            </w:r>
          </w:p>
        </w:tc>
        <w:tc>
          <w:tcPr>
            <w:tcW w:w="226" w:type="pct"/>
            <w:tcBorders>
              <w:top w:val="nil"/>
              <w:left w:val="nil"/>
              <w:bottom w:val="single" w:sz="4" w:space="0" w:color="808080"/>
              <w:right w:val="single" w:sz="4" w:space="0" w:color="808080"/>
            </w:tcBorders>
            <w:shd w:val="clear" w:color="auto" w:fill="auto"/>
            <w:noWrap/>
            <w:vAlign w:val="center"/>
            <w:hideMark/>
          </w:tcPr>
          <w:p w14:paraId="292C5A1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339</w:t>
            </w:r>
          </w:p>
        </w:tc>
        <w:tc>
          <w:tcPr>
            <w:tcW w:w="306" w:type="pct"/>
            <w:tcBorders>
              <w:top w:val="nil"/>
              <w:left w:val="nil"/>
              <w:bottom w:val="single" w:sz="4" w:space="0" w:color="808080"/>
              <w:right w:val="single" w:sz="4" w:space="0" w:color="808080"/>
            </w:tcBorders>
            <w:shd w:val="clear" w:color="auto" w:fill="auto"/>
            <w:noWrap/>
            <w:vAlign w:val="center"/>
            <w:hideMark/>
          </w:tcPr>
          <w:p w14:paraId="2588BC8F"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146%</w:t>
            </w:r>
          </w:p>
        </w:tc>
        <w:tc>
          <w:tcPr>
            <w:tcW w:w="303" w:type="pct"/>
            <w:tcBorders>
              <w:top w:val="nil"/>
              <w:left w:val="nil"/>
              <w:bottom w:val="single" w:sz="4" w:space="0" w:color="808080"/>
              <w:right w:val="single" w:sz="4" w:space="0" w:color="808080"/>
            </w:tcBorders>
            <w:shd w:val="clear" w:color="auto" w:fill="auto"/>
            <w:noWrap/>
            <w:vAlign w:val="center"/>
            <w:hideMark/>
          </w:tcPr>
          <w:p w14:paraId="09B6872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160%</w:t>
            </w:r>
          </w:p>
        </w:tc>
        <w:tc>
          <w:tcPr>
            <w:tcW w:w="350" w:type="pct"/>
            <w:tcBorders>
              <w:top w:val="nil"/>
              <w:left w:val="nil"/>
              <w:bottom w:val="single" w:sz="4" w:space="0" w:color="808080"/>
              <w:right w:val="single" w:sz="4" w:space="0" w:color="808080"/>
            </w:tcBorders>
            <w:shd w:val="clear" w:color="auto" w:fill="auto"/>
            <w:noWrap/>
            <w:vAlign w:val="center"/>
            <w:hideMark/>
          </w:tcPr>
          <w:p w14:paraId="3A6AB3E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142%</w:t>
            </w:r>
          </w:p>
        </w:tc>
        <w:tc>
          <w:tcPr>
            <w:tcW w:w="334" w:type="pct"/>
            <w:tcBorders>
              <w:top w:val="nil"/>
              <w:left w:val="nil"/>
              <w:bottom w:val="single" w:sz="4" w:space="0" w:color="808080"/>
              <w:right w:val="single" w:sz="8" w:space="0" w:color="808080"/>
            </w:tcBorders>
            <w:shd w:val="clear" w:color="auto" w:fill="auto"/>
            <w:noWrap/>
            <w:vAlign w:val="center"/>
            <w:hideMark/>
          </w:tcPr>
          <w:p w14:paraId="2A84D0F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130%</w:t>
            </w:r>
          </w:p>
        </w:tc>
      </w:tr>
      <w:tr w:rsidR="00E75022" w:rsidRPr="00646DDA" w14:paraId="29829347"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71EB0F4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CO02</w:t>
            </w:r>
          </w:p>
        </w:tc>
        <w:tc>
          <w:tcPr>
            <w:tcW w:w="696" w:type="pct"/>
            <w:tcBorders>
              <w:top w:val="nil"/>
              <w:left w:val="nil"/>
              <w:bottom w:val="single" w:sz="4" w:space="0" w:color="808080"/>
              <w:right w:val="single" w:sz="4" w:space="0" w:color="808080"/>
            </w:tcBorders>
            <w:shd w:val="clear" w:color="auto" w:fill="auto"/>
            <w:vAlign w:val="bottom"/>
            <w:hideMark/>
          </w:tcPr>
          <w:p w14:paraId="61B4F3D2"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Παραγωγικές Επενδύσεις: αριθμός επιχειρήσεων που λαμβάνουν επιχορηγήσεις</w:t>
            </w:r>
          </w:p>
        </w:tc>
        <w:tc>
          <w:tcPr>
            <w:tcW w:w="295" w:type="pct"/>
            <w:tcBorders>
              <w:top w:val="nil"/>
              <w:left w:val="nil"/>
              <w:bottom w:val="single" w:sz="4" w:space="0" w:color="808080"/>
              <w:right w:val="single" w:sz="4" w:space="0" w:color="808080"/>
            </w:tcBorders>
            <w:shd w:val="clear" w:color="auto" w:fill="auto"/>
            <w:noWrap/>
            <w:vAlign w:val="center"/>
            <w:hideMark/>
          </w:tcPr>
          <w:p w14:paraId="75FABCF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Επιχειρήσεις</w:t>
            </w:r>
          </w:p>
        </w:tc>
        <w:tc>
          <w:tcPr>
            <w:tcW w:w="212" w:type="pct"/>
            <w:tcBorders>
              <w:top w:val="nil"/>
              <w:left w:val="nil"/>
              <w:bottom w:val="single" w:sz="4" w:space="0" w:color="808080"/>
              <w:right w:val="single" w:sz="4" w:space="0" w:color="808080"/>
            </w:tcBorders>
            <w:shd w:val="clear" w:color="auto" w:fill="auto"/>
            <w:noWrap/>
            <w:vAlign w:val="center"/>
            <w:hideMark/>
          </w:tcPr>
          <w:p w14:paraId="2F2F5AD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46BCDC8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5664C22A"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650</w:t>
            </w:r>
          </w:p>
        </w:tc>
        <w:tc>
          <w:tcPr>
            <w:tcW w:w="275" w:type="pct"/>
            <w:tcBorders>
              <w:top w:val="nil"/>
              <w:left w:val="nil"/>
              <w:bottom w:val="single" w:sz="4" w:space="0" w:color="808080"/>
              <w:right w:val="single" w:sz="4" w:space="0" w:color="808080"/>
            </w:tcBorders>
            <w:shd w:val="clear" w:color="auto" w:fill="auto"/>
            <w:noWrap/>
            <w:vAlign w:val="center"/>
            <w:hideMark/>
          </w:tcPr>
          <w:p w14:paraId="7279BC0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306</w:t>
            </w:r>
          </w:p>
        </w:tc>
        <w:tc>
          <w:tcPr>
            <w:tcW w:w="267" w:type="pct"/>
            <w:tcBorders>
              <w:top w:val="nil"/>
              <w:left w:val="nil"/>
              <w:bottom w:val="single" w:sz="4" w:space="0" w:color="808080"/>
              <w:right w:val="single" w:sz="4" w:space="0" w:color="808080"/>
            </w:tcBorders>
            <w:shd w:val="clear" w:color="auto" w:fill="auto"/>
            <w:noWrap/>
            <w:vAlign w:val="center"/>
            <w:hideMark/>
          </w:tcPr>
          <w:p w14:paraId="432EE1D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115</w:t>
            </w:r>
          </w:p>
        </w:tc>
        <w:tc>
          <w:tcPr>
            <w:tcW w:w="283" w:type="pct"/>
            <w:tcBorders>
              <w:top w:val="nil"/>
              <w:left w:val="nil"/>
              <w:bottom w:val="single" w:sz="4" w:space="0" w:color="808080"/>
              <w:right w:val="single" w:sz="4" w:space="0" w:color="808080"/>
            </w:tcBorders>
            <w:shd w:val="clear" w:color="auto" w:fill="auto"/>
            <w:noWrap/>
            <w:vAlign w:val="center"/>
            <w:hideMark/>
          </w:tcPr>
          <w:p w14:paraId="789A964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229</w:t>
            </w:r>
          </w:p>
        </w:tc>
        <w:tc>
          <w:tcPr>
            <w:tcW w:w="220" w:type="pct"/>
            <w:tcBorders>
              <w:top w:val="nil"/>
              <w:left w:val="nil"/>
              <w:bottom w:val="single" w:sz="4" w:space="0" w:color="808080"/>
              <w:right w:val="single" w:sz="4" w:space="0" w:color="808080"/>
            </w:tcBorders>
            <w:shd w:val="clear" w:color="auto" w:fill="auto"/>
            <w:noWrap/>
            <w:vAlign w:val="center"/>
            <w:hideMark/>
          </w:tcPr>
          <w:p w14:paraId="5D84CD5B"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1032</w:t>
            </w:r>
          </w:p>
        </w:tc>
        <w:tc>
          <w:tcPr>
            <w:tcW w:w="226" w:type="pct"/>
            <w:tcBorders>
              <w:top w:val="nil"/>
              <w:left w:val="nil"/>
              <w:bottom w:val="single" w:sz="4" w:space="0" w:color="808080"/>
              <w:right w:val="single" w:sz="4" w:space="0" w:color="808080"/>
            </w:tcBorders>
            <w:shd w:val="clear" w:color="auto" w:fill="auto"/>
            <w:noWrap/>
            <w:vAlign w:val="center"/>
            <w:hideMark/>
          </w:tcPr>
          <w:p w14:paraId="4AC6FDB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520</w:t>
            </w:r>
          </w:p>
        </w:tc>
        <w:tc>
          <w:tcPr>
            <w:tcW w:w="226" w:type="pct"/>
            <w:tcBorders>
              <w:top w:val="nil"/>
              <w:left w:val="nil"/>
              <w:bottom w:val="single" w:sz="4" w:space="0" w:color="808080"/>
              <w:right w:val="single" w:sz="4" w:space="0" w:color="808080"/>
            </w:tcBorders>
            <w:shd w:val="clear" w:color="auto" w:fill="auto"/>
            <w:noWrap/>
            <w:vAlign w:val="center"/>
            <w:hideMark/>
          </w:tcPr>
          <w:p w14:paraId="4EFF3CC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173</w:t>
            </w:r>
          </w:p>
        </w:tc>
        <w:tc>
          <w:tcPr>
            <w:tcW w:w="226" w:type="pct"/>
            <w:tcBorders>
              <w:top w:val="nil"/>
              <w:left w:val="nil"/>
              <w:bottom w:val="single" w:sz="4" w:space="0" w:color="808080"/>
              <w:right w:val="single" w:sz="4" w:space="0" w:color="808080"/>
            </w:tcBorders>
            <w:shd w:val="clear" w:color="auto" w:fill="auto"/>
            <w:noWrap/>
            <w:vAlign w:val="center"/>
            <w:hideMark/>
          </w:tcPr>
          <w:p w14:paraId="30CB711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339</w:t>
            </w:r>
          </w:p>
        </w:tc>
        <w:tc>
          <w:tcPr>
            <w:tcW w:w="306" w:type="pct"/>
            <w:tcBorders>
              <w:top w:val="nil"/>
              <w:left w:val="nil"/>
              <w:bottom w:val="single" w:sz="4" w:space="0" w:color="808080"/>
              <w:right w:val="single" w:sz="4" w:space="0" w:color="808080"/>
            </w:tcBorders>
            <w:shd w:val="clear" w:color="auto" w:fill="auto"/>
            <w:noWrap/>
            <w:vAlign w:val="center"/>
            <w:hideMark/>
          </w:tcPr>
          <w:p w14:paraId="07BE4E2F"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159%</w:t>
            </w:r>
          </w:p>
        </w:tc>
        <w:tc>
          <w:tcPr>
            <w:tcW w:w="303" w:type="pct"/>
            <w:tcBorders>
              <w:top w:val="nil"/>
              <w:left w:val="nil"/>
              <w:bottom w:val="single" w:sz="4" w:space="0" w:color="808080"/>
              <w:right w:val="single" w:sz="4" w:space="0" w:color="808080"/>
            </w:tcBorders>
            <w:shd w:val="clear" w:color="auto" w:fill="auto"/>
            <w:noWrap/>
            <w:vAlign w:val="center"/>
            <w:hideMark/>
          </w:tcPr>
          <w:p w14:paraId="2ACA17D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170%</w:t>
            </w:r>
          </w:p>
        </w:tc>
        <w:tc>
          <w:tcPr>
            <w:tcW w:w="350" w:type="pct"/>
            <w:tcBorders>
              <w:top w:val="nil"/>
              <w:left w:val="nil"/>
              <w:bottom w:val="single" w:sz="4" w:space="0" w:color="808080"/>
              <w:right w:val="single" w:sz="4" w:space="0" w:color="808080"/>
            </w:tcBorders>
            <w:shd w:val="clear" w:color="auto" w:fill="auto"/>
            <w:noWrap/>
            <w:vAlign w:val="center"/>
            <w:hideMark/>
          </w:tcPr>
          <w:p w14:paraId="2601B13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150%</w:t>
            </w:r>
          </w:p>
        </w:tc>
        <w:tc>
          <w:tcPr>
            <w:tcW w:w="334" w:type="pct"/>
            <w:tcBorders>
              <w:top w:val="nil"/>
              <w:left w:val="nil"/>
              <w:bottom w:val="single" w:sz="4" w:space="0" w:color="808080"/>
              <w:right w:val="single" w:sz="8" w:space="0" w:color="808080"/>
            </w:tcBorders>
            <w:shd w:val="clear" w:color="auto" w:fill="auto"/>
            <w:noWrap/>
            <w:vAlign w:val="center"/>
            <w:hideMark/>
          </w:tcPr>
          <w:p w14:paraId="29F7FBC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148%</w:t>
            </w:r>
          </w:p>
        </w:tc>
      </w:tr>
      <w:tr w:rsidR="00E75022" w:rsidRPr="00646DDA" w14:paraId="3DD6BA1D"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1158D50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CO03</w:t>
            </w:r>
          </w:p>
        </w:tc>
        <w:tc>
          <w:tcPr>
            <w:tcW w:w="696" w:type="pct"/>
            <w:tcBorders>
              <w:top w:val="nil"/>
              <w:left w:val="nil"/>
              <w:bottom w:val="single" w:sz="4" w:space="0" w:color="808080"/>
              <w:right w:val="single" w:sz="4" w:space="0" w:color="808080"/>
            </w:tcBorders>
            <w:shd w:val="clear" w:color="auto" w:fill="auto"/>
            <w:vAlign w:val="bottom"/>
            <w:hideMark/>
          </w:tcPr>
          <w:p w14:paraId="17F2076D"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Παραγωγικές Επενδύσεις: αριθμός επιχειρήσεων που λαμβάνουν επιχορηγήσεις πλην επιχορηγήσεων</w:t>
            </w:r>
          </w:p>
        </w:tc>
        <w:tc>
          <w:tcPr>
            <w:tcW w:w="295" w:type="pct"/>
            <w:tcBorders>
              <w:top w:val="nil"/>
              <w:left w:val="nil"/>
              <w:bottom w:val="single" w:sz="4" w:space="0" w:color="808080"/>
              <w:right w:val="single" w:sz="4" w:space="0" w:color="808080"/>
            </w:tcBorders>
            <w:shd w:val="clear" w:color="auto" w:fill="auto"/>
            <w:noWrap/>
            <w:vAlign w:val="center"/>
            <w:hideMark/>
          </w:tcPr>
          <w:p w14:paraId="3B13A0D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Επιχειρήσεις</w:t>
            </w:r>
          </w:p>
        </w:tc>
        <w:tc>
          <w:tcPr>
            <w:tcW w:w="212" w:type="pct"/>
            <w:tcBorders>
              <w:top w:val="nil"/>
              <w:left w:val="nil"/>
              <w:bottom w:val="single" w:sz="4" w:space="0" w:color="808080"/>
              <w:right w:val="single" w:sz="4" w:space="0" w:color="808080"/>
            </w:tcBorders>
            <w:shd w:val="clear" w:color="auto" w:fill="auto"/>
            <w:noWrap/>
            <w:vAlign w:val="center"/>
            <w:hideMark/>
          </w:tcPr>
          <w:p w14:paraId="7B0D189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4075283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69943A84"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115</w:t>
            </w:r>
          </w:p>
        </w:tc>
        <w:tc>
          <w:tcPr>
            <w:tcW w:w="275" w:type="pct"/>
            <w:tcBorders>
              <w:top w:val="nil"/>
              <w:left w:val="nil"/>
              <w:bottom w:val="single" w:sz="4" w:space="0" w:color="808080"/>
              <w:right w:val="single" w:sz="4" w:space="0" w:color="808080"/>
            </w:tcBorders>
            <w:shd w:val="clear" w:color="auto" w:fill="auto"/>
            <w:noWrap/>
            <w:vAlign w:val="center"/>
            <w:hideMark/>
          </w:tcPr>
          <w:p w14:paraId="7695BBC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46</w:t>
            </w:r>
          </w:p>
        </w:tc>
        <w:tc>
          <w:tcPr>
            <w:tcW w:w="267" w:type="pct"/>
            <w:tcBorders>
              <w:top w:val="nil"/>
              <w:left w:val="nil"/>
              <w:bottom w:val="single" w:sz="4" w:space="0" w:color="808080"/>
              <w:right w:val="single" w:sz="4" w:space="0" w:color="808080"/>
            </w:tcBorders>
            <w:shd w:val="clear" w:color="auto" w:fill="auto"/>
            <w:noWrap/>
            <w:vAlign w:val="center"/>
            <w:hideMark/>
          </w:tcPr>
          <w:p w14:paraId="6952D69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w:t>
            </w:r>
          </w:p>
        </w:tc>
        <w:tc>
          <w:tcPr>
            <w:tcW w:w="283" w:type="pct"/>
            <w:tcBorders>
              <w:top w:val="nil"/>
              <w:left w:val="nil"/>
              <w:bottom w:val="single" w:sz="4" w:space="0" w:color="808080"/>
              <w:right w:val="single" w:sz="4" w:space="0" w:color="808080"/>
            </w:tcBorders>
            <w:shd w:val="clear" w:color="auto" w:fill="auto"/>
            <w:noWrap/>
            <w:vAlign w:val="center"/>
            <w:hideMark/>
          </w:tcPr>
          <w:p w14:paraId="29FED8A3"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52</w:t>
            </w:r>
          </w:p>
        </w:tc>
        <w:tc>
          <w:tcPr>
            <w:tcW w:w="220" w:type="pct"/>
            <w:tcBorders>
              <w:top w:val="nil"/>
              <w:left w:val="nil"/>
              <w:bottom w:val="single" w:sz="4" w:space="0" w:color="808080"/>
              <w:right w:val="single" w:sz="4" w:space="0" w:color="808080"/>
            </w:tcBorders>
            <w:shd w:val="clear" w:color="auto" w:fill="auto"/>
            <w:noWrap/>
            <w:vAlign w:val="center"/>
            <w:hideMark/>
          </w:tcPr>
          <w:p w14:paraId="30C9BC22"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0</w:t>
            </w:r>
          </w:p>
        </w:tc>
        <w:tc>
          <w:tcPr>
            <w:tcW w:w="226" w:type="pct"/>
            <w:tcBorders>
              <w:top w:val="nil"/>
              <w:left w:val="nil"/>
              <w:bottom w:val="single" w:sz="4" w:space="0" w:color="808080"/>
              <w:right w:val="single" w:sz="4" w:space="0" w:color="808080"/>
            </w:tcBorders>
            <w:shd w:val="clear" w:color="000000" w:fill="D9D9D9"/>
            <w:noWrap/>
            <w:vAlign w:val="center"/>
            <w:hideMark/>
          </w:tcPr>
          <w:p w14:paraId="464332C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1B00C322"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074AAEF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06" w:type="pct"/>
            <w:tcBorders>
              <w:top w:val="nil"/>
              <w:left w:val="nil"/>
              <w:bottom w:val="single" w:sz="4" w:space="0" w:color="808080"/>
              <w:right w:val="single" w:sz="4" w:space="0" w:color="808080"/>
            </w:tcBorders>
            <w:shd w:val="clear" w:color="000000" w:fill="D9D9D9"/>
            <w:noWrap/>
            <w:vAlign w:val="center"/>
            <w:hideMark/>
          </w:tcPr>
          <w:p w14:paraId="57271BBC"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03" w:type="pct"/>
            <w:tcBorders>
              <w:top w:val="nil"/>
              <w:left w:val="nil"/>
              <w:bottom w:val="single" w:sz="4" w:space="0" w:color="808080"/>
              <w:right w:val="single" w:sz="4" w:space="0" w:color="808080"/>
            </w:tcBorders>
            <w:shd w:val="clear" w:color="000000" w:fill="D9D9D9"/>
            <w:noWrap/>
            <w:vAlign w:val="center"/>
            <w:hideMark/>
          </w:tcPr>
          <w:p w14:paraId="125FEB9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50" w:type="pct"/>
            <w:tcBorders>
              <w:top w:val="nil"/>
              <w:left w:val="nil"/>
              <w:bottom w:val="single" w:sz="4" w:space="0" w:color="808080"/>
              <w:right w:val="single" w:sz="4" w:space="0" w:color="808080"/>
            </w:tcBorders>
            <w:shd w:val="clear" w:color="000000" w:fill="D9D9D9"/>
            <w:noWrap/>
            <w:vAlign w:val="center"/>
            <w:hideMark/>
          </w:tcPr>
          <w:p w14:paraId="04DECA9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34" w:type="pct"/>
            <w:tcBorders>
              <w:top w:val="nil"/>
              <w:left w:val="nil"/>
              <w:bottom w:val="single" w:sz="4" w:space="0" w:color="808080"/>
              <w:right w:val="single" w:sz="8" w:space="0" w:color="808080"/>
            </w:tcBorders>
            <w:shd w:val="clear" w:color="000000" w:fill="D9D9D9"/>
            <w:noWrap/>
            <w:vAlign w:val="center"/>
            <w:hideMark/>
          </w:tcPr>
          <w:p w14:paraId="720ED38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r>
      <w:tr w:rsidR="00E75022" w:rsidRPr="00646DDA" w14:paraId="436FF838" w14:textId="77777777" w:rsidTr="00E75022">
        <w:trPr>
          <w:trHeight w:val="525"/>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71AEC7F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CO05</w:t>
            </w:r>
          </w:p>
        </w:tc>
        <w:tc>
          <w:tcPr>
            <w:tcW w:w="696" w:type="pct"/>
            <w:tcBorders>
              <w:top w:val="nil"/>
              <w:left w:val="nil"/>
              <w:bottom w:val="single" w:sz="4" w:space="0" w:color="808080"/>
              <w:right w:val="single" w:sz="4" w:space="0" w:color="808080"/>
            </w:tcBorders>
            <w:shd w:val="clear" w:color="auto" w:fill="auto"/>
            <w:vAlign w:val="bottom"/>
            <w:hideMark/>
          </w:tcPr>
          <w:p w14:paraId="593A6257"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 xml:space="preserve">Παραγωγικές Επενδύσεις: Αριθμός νέων επιχειρήσεων που ενισχύονται </w:t>
            </w:r>
          </w:p>
        </w:tc>
        <w:tc>
          <w:tcPr>
            <w:tcW w:w="295" w:type="pct"/>
            <w:tcBorders>
              <w:top w:val="nil"/>
              <w:left w:val="nil"/>
              <w:bottom w:val="single" w:sz="4" w:space="0" w:color="808080"/>
              <w:right w:val="single" w:sz="4" w:space="0" w:color="808080"/>
            </w:tcBorders>
            <w:shd w:val="clear" w:color="auto" w:fill="auto"/>
            <w:noWrap/>
            <w:vAlign w:val="center"/>
            <w:hideMark/>
          </w:tcPr>
          <w:p w14:paraId="2FDB772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Επιχειρήσεις</w:t>
            </w:r>
          </w:p>
        </w:tc>
        <w:tc>
          <w:tcPr>
            <w:tcW w:w="212" w:type="pct"/>
            <w:tcBorders>
              <w:top w:val="nil"/>
              <w:left w:val="nil"/>
              <w:bottom w:val="single" w:sz="4" w:space="0" w:color="808080"/>
              <w:right w:val="single" w:sz="4" w:space="0" w:color="808080"/>
            </w:tcBorders>
            <w:shd w:val="clear" w:color="auto" w:fill="auto"/>
            <w:noWrap/>
            <w:vAlign w:val="center"/>
            <w:hideMark/>
          </w:tcPr>
          <w:p w14:paraId="1176DAF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17BA7692"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67636DCB"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100</w:t>
            </w:r>
          </w:p>
        </w:tc>
        <w:tc>
          <w:tcPr>
            <w:tcW w:w="275" w:type="pct"/>
            <w:tcBorders>
              <w:top w:val="nil"/>
              <w:left w:val="nil"/>
              <w:bottom w:val="single" w:sz="4" w:space="0" w:color="808080"/>
              <w:right w:val="single" w:sz="4" w:space="0" w:color="808080"/>
            </w:tcBorders>
            <w:shd w:val="clear" w:color="auto" w:fill="auto"/>
            <w:noWrap/>
            <w:vAlign w:val="center"/>
            <w:hideMark/>
          </w:tcPr>
          <w:p w14:paraId="6C77EBC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46</w:t>
            </w:r>
          </w:p>
        </w:tc>
        <w:tc>
          <w:tcPr>
            <w:tcW w:w="267" w:type="pct"/>
            <w:tcBorders>
              <w:top w:val="nil"/>
              <w:left w:val="nil"/>
              <w:bottom w:val="single" w:sz="4" w:space="0" w:color="808080"/>
              <w:right w:val="single" w:sz="4" w:space="0" w:color="808080"/>
            </w:tcBorders>
            <w:shd w:val="clear" w:color="auto" w:fill="auto"/>
            <w:noWrap/>
            <w:vAlign w:val="center"/>
            <w:hideMark/>
          </w:tcPr>
          <w:p w14:paraId="4F9CDB6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15</w:t>
            </w:r>
          </w:p>
        </w:tc>
        <w:tc>
          <w:tcPr>
            <w:tcW w:w="283" w:type="pct"/>
            <w:tcBorders>
              <w:top w:val="nil"/>
              <w:left w:val="nil"/>
              <w:bottom w:val="single" w:sz="4" w:space="0" w:color="808080"/>
              <w:right w:val="single" w:sz="4" w:space="0" w:color="808080"/>
            </w:tcBorders>
            <w:shd w:val="clear" w:color="auto" w:fill="auto"/>
            <w:noWrap/>
            <w:vAlign w:val="center"/>
            <w:hideMark/>
          </w:tcPr>
          <w:p w14:paraId="4F99DB8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39</w:t>
            </w:r>
          </w:p>
        </w:tc>
        <w:tc>
          <w:tcPr>
            <w:tcW w:w="220" w:type="pct"/>
            <w:tcBorders>
              <w:top w:val="nil"/>
              <w:left w:val="nil"/>
              <w:bottom w:val="single" w:sz="4" w:space="0" w:color="808080"/>
              <w:right w:val="single" w:sz="4" w:space="0" w:color="808080"/>
            </w:tcBorders>
            <w:shd w:val="clear" w:color="auto" w:fill="auto"/>
            <w:noWrap/>
            <w:vAlign w:val="center"/>
            <w:hideMark/>
          </w:tcPr>
          <w:p w14:paraId="5C88A7F5"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161</w:t>
            </w:r>
          </w:p>
        </w:tc>
        <w:tc>
          <w:tcPr>
            <w:tcW w:w="226" w:type="pct"/>
            <w:tcBorders>
              <w:top w:val="nil"/>
              <w:left w:val="nil"/>
              <w:bottom w:val="single" w:sz="4" w:space="0" w:color="808080"/>
              <w:right w:val="single" w:sz="4" w:space="0" w:color="808080"/>
            </w:tcBorders>
            <w:shd w:val="clear" w:color="auto" w:fill="auto"/>
            <w:noWrap/>
            <w:vAlign w:val="center"/>
            <w:hideMark/>
          </w:tcPr>
          <w:p w14:paraId="01A045E3"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65</w:t>
            </w:r>
          </w:p>
        </w:tc>
        <w:tc>
          <w:tcPr>
            <w:tcW w:w="226" w:type="pct"/>
            <w:tcBorders>
              <w:top w:val="nil"/>
              <w:left w:val="nil"/>
              <w:bottom w:val="single" w:sz="4" w:space="0" w:color="808080"/>
              <w:right w:val="single" w:sz="4" w:space="0" w:color="808080"/>
            </w:tcBorders>
            <w:shd w:val="clear" w:color="auto" w:fill="auto"/>
            <w:noWrap/>
            <w:vAlign w:val="center"/>
            <w:hideMark/>
          </w:tcPr>
          <w:p w14:paraId="7CA5CDC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26</w:t>
            </w:r>
          </w:p>
        </w:tc>
        <w:tc>
          <w:tcPr>
            <w:tcW w:w="226" w:type="pct"/>
            <w:tcBorders>
              <w:top w:val="nil"/>
              <w:left w:val="nil"/>
              <w:bottom w:val="single" w:sz="4" w:space="0" w:color="808080"/>
              <w:right w:val="single" w:sz="4" w:space="0" w:color="808080"/>
            </w:tcBorders>
            <w:shd w:val="clear" w:color="auto" w:fill="auto"/>
            <w:noWrap/>
            <w:vAlign w:val="center"/>
            <w:hideMark/>
          </w:tcPr>
          <w:p w14:paraId="7FD56ED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70</w:t>
            </w:r>
          </w:p>
        </w:tc>
        <w:tc>
          <w:tcPr>
            <w:tcW w:w="306" w:type="pct"/>
            <w:tcBorders>
              <w:top w:val="nil"/>
              <w:left w:val="nil"/>
              <w:bottom w:val="single" w:sz="4" w:space="0" w:color="808080"/>
              <w:right w:val="single" w:sz="4" w:space="0" w:color="808080"/>
            </w:tcBorders>
            <w:shd w:val="clear" w:color="auto" w:fill="auto"/>
            <w:noWrap/>
            <w:vAlign w:val="center"/>
            <w:hideMark/>
          </w:tcPr>
          <w:p w14:paraId="3A092D9B"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161%</w:t>
            </w:r>
          </w:p>
        </w:tc>
        <w:tc>
          <w:tcPr>
            <w:tcW w:w="303" w:type="pct"/>
            <w:tcBorders>
              <w:top w:val="nil"/>
              <w:left w:val="nil"/>
              <w:bottom w:val="single" w:sz="4" w:space="0" w:color="808080"/>
              <w:right w:val="single" w:sz="4" w:space="0" w:color="808080"/>
            </w:tcBorders>
            <w:shd w:val="clear" w:color="auto" w:fill="auto"/>
            <w:noWrap/>
            <w:vAlign w:val="center"/>
            <w:hideMark/>
          </w:tcPr>
          <w:p w14:paraId="0D27598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141%</w:t>
            </w:r>
          </w:p>
        </w:tc>
        <w:tc>
          <w:tcPr>
            <w:tcW w:w="350" w:type="pct"/>
            <w:tcBorders>
              <w:top w:val="nil"/>
              <w:left w:val="nil"/>
              <w:bottom w:val="single" w:sz="4" w:space="0" w:color="808080"/>
              <w:right w:val="single" w:sz="4" w:space="0" w:color="808080"/>
            </w:tcBorders>
            <w:shd w:val="clear" w:color="auto" w:fill="auto"/>
            <w:noWrap/>
            <w:vAlign w:val="center"/>
            <w:hideMark/>
          </w:tcPr>
          <w:p w14:paraId="39A1FE5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173%</w:t>
            </w:r>
          </w:p>
        </w:tc>
        <w:tc>
          <w:tcPr>
            <w:tcW w:w="334" w:type="pct"/>
            <w:tcBorders>
              <w:top w:val="nil"/>
              <w:left w:val="nil"/>
              <w:bottom w:val="single" w:sz="4" w:space="0" w:color="808080"/>
              <w:right w:val="single" w:sz="8" w:space="0" w:color="808080"/>
            </w:tcBorders>
            <w:shd w:val="clear" w:color="auto" w:fill="auto"/>
            <w:noWrap/>
            <w:vAlign w:val="center"/>
            <w:hideMark/>
          </w:tcPr>
          <w:p w14:paraId="16A7EE5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179%</w:t>
            </w:r>
          </w:p>
        </w:tc>
      </w:tr>
      <w:tr w:rsidR="00E75022" w:rsidRPr="00646DDA" w14:paraId="541C45D1" w14:textId="77777777" w:rsidTr="00E75022">
        <w:trPr>
          <w:trHeight w:val="1035"/>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39924A0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CO07</w:t>
            </w:r>
          </w:p>
        </w:tc>
        <w:tc>
          <w:tcPr>
            <w:tcW w:w="696" w:type="pct"/>
            <w:tcBorders>
              <w:top w:val="nil"/>
              <w:left w:val="nil"/>
              <w:bottom w:val="single" w:sz="4" w:space="0" w:color="808080"/>
              <w:right w:val="single" w:sz="4" w:space="0" w:color="808080"/>
            </w:tcBorders>
            <w:shd w:val="clear" w:color="auto" w:fill="auto"/>
            <w:vAlign w:val="bottom"/>
            <w:hideMark/>
          </w:tcPr>
          <w:p w14:paraId="3C2F6FB3"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Παραγωγικές Επενδύσεις: Ιδιωτικές Επενδύσεις που συνδυάζονται με δημόσια στήριξη των επιχειρήσεων (όχι επιχορηγήσεις)</w:t>
            </w:r>
          </w:p>
        </w:tc>
        <w:tc>
          <w:tcPr>
            <w:tcW w:w="295" w:type="pct"/>
            <w:tcBorders>
              <w:top w:val="nil"/>
              <w:left w:val="nil"/>
              <w:bottom w:val="single" w:sz="4" w:space="0" w:color="808080"/>
              <w:right w:val="single" w:sz="4" w:space="0" w:color="808080"/>
            </w:tcBorders>
            <w:shd w:val="clear" w:color="auto" w:fill="auto"/>
            <w:noWrap/>
            <w:vAlign w:val="center"/>
            <w:hideMark/>
          </w:tcPr>
          <w:p w14:paraId="02DCE87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Ευρώ</w:t>
            </w:r>
          </w:p>
        </w:tc>
        <w:tc>
          <w:tcPr>
            <w:tcW w:w="212" w:type="pct"/>
            <w:tcBorders>
              <w:top w:val="nil"/>
              <w:left w:val="nil"/>
              <w:bottom w:val="single" w:sz="4" w:space="0" w:color="808080"/>
              <w:right w:val="single" w:sz="4" w:space="0" w:color="808080"/>
            </w:tcBorders>
            <w:shd w:val="clear" w:color="auto" w:fill="auto"/>
            <w:noWrap/>
            <w:vAlign w:val="center"/>
            <w:hideMark/>
          </w:tcPr>
          <w:p w14:paraId="6FCFE1A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15114A4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535C02AD"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21.980.000</w:t>
            </w:r>
          </w:p>
        </w:tc>
        <w:tc>
          <w:tcPr>
            <w:tcW w:w="275" w:type="pct"/>
            <w:tcBorders>
              <w:top w:val="nil"/>
              <w:left w:val="nil"/>
              <w:bottom w:val="single" w:sz="4" w:space="0" w:color="808080"/>
              <w:right w:val="single" w:sz="4" w:space="0" w:color="808080"/>
            </w:tcBorders>
            <w:shd w:val="clear" w:color="auto" w:fill="auto"/>
            <w:noWrap/>
            <w:vAlign w:val="center"/>
            <w:hideMark/>
          </w:tcPr>
          <w:p w14:paraId="0BDF821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8.790.000</w:t>
            </w:r>
          </w:p>
        </w:tc>
        <w:tc>
          <w:tcPr>
            <w:tcW w:w="267" w:type="pct"/>
            <w:tcBorders>
              <w:top w:val="nil"/>
              <w:left w:val="nil"/>
              <w:bottom w:val="single" w:sz="4" w:space="0" w:color="808080"/>
              <w:right w:val="single" w:sz="4" w:space="0" w:color="808080"/>
            </w:tcBorders>
            <w:shd w:val="clear" w:color="auto" w:fill="auto"/>
            <w:noWrap/>
            <w:vAlign w:val="center"/>
            <w:hideMark/>
          </w:tcPr>
          <w:p w14:paraId="188F4F2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3.297.000</w:t>
            </w:r>
          </w:p>
        </w:tc>
        <w:tc>
          <w:tcPr>
            <w:tcW w:w="283" w:type="pct"/>
            <w:tcBorders>
              <w:top w:val="nil"/>
              <w:left w:val="nil"/>
              <w:bottom w:val="single" w:sz="4" w:space="0" w:color="808080"/>
              <w:right w:val="single" w:sz="4" w:space="0" w:color="808080"/>
            </w:tcBorders>
            <w:shd w:val="clear" w:color="auto" w:fill="auto"/>
            <w:noWrap/>
            <w:vAlign w:val="center"/>
            <w:hideMark/>
          </w:tcPr>
          <w:p w14:paraId="4CDC62F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9.893.000</w:t>
            </w:r>
          </w:p>
        </w:tc>
        <w:tc>
          <w:tcPr>
            <w:tcW w:w="220" w:type="pct"/>
            <w:tcBorders>
              <w:top w:val="nil"/>
              <w:left w:val="nil"/>
              <w:bottom w:val="single" w:sz="4" w:space="0" w:color="808080"/>
              <w:right w:val="single" w:sz="4" w:space="0" w:color="808080"/>
            </w:tcBorders>
            <w:shd w:val="clear" w:color="auto" w:fill="auto"/>
            <w:noWrap/>
            <w:vAlign w:val="center"/>
            <w:hideMark/>
          </w:tcPr>
          <w:p w14:paraId="3DCE32E4"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0</w:t>
            </w:r>
          </w:p>
        </w:tc>
        <w:tc>
          <w:tcPr>
            <w:tcW w:w="226" w:type="pct"/>
            <w:tcBorders>
              <w:top w:val="nil"/>
              <w:left w:val="nil"/>
              <w:bottom w:val="single" w:sz="4" w:space="0" w:color="808080"/>
              <w:right w:val="single" w:sz="4" w:space="0" w:color="808080"/>
            </w:tcBorders>
            <w:shd w:val="clear" w:color="000000" w:fill="D9D9D9"/>
            <w:noWrap/>
            <w:vAlign w:val="center"/>
            <w:hideMark/>
          </w:tcPr>
          <w:p w14:paraId="2A832A6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04FE4F2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2B2FDC5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06" w:type="pct"/>
            <w:tcBorders>
              <w:top w:val="nil"/>
              <w:left w:val="nil"/>
              <w:bottom w:val="single" w:sz="4" w:space="0" w:color="808080"/>
              <w:right w:val="single" w:sz="4" w:space="0" w:color="808080"/>
            </w:tcBorders>
            <w:shd w:val="clear" w:color="000000" w:fill="D9D9D9"/>
            <w:noWrap/>
            <w:vAlign w:val="center"/>
            <w:hideMark/>
          </w:tcPr>
          <w:p w14:paraId="6625E161"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03" w:type="pct"/>
            <w:tcBorders>
              <w:top w:val="nil"/>
              <w:left w:val="nil"/>
              <w:bottom w:val="single" w:sz="4" w:space="0" w:color="808080"/>
              <w:right w:val="single" w:sz="4" w:space="0" w:color="808080"/>
            </w:tcBorders>
            <w:shd w:val="clear" w:color="000000" w:fill="D9D9D9"/>
            <w:noWrap/>
            <w:vAlign w:val="center"/>
            <w:hideMark/>
          </w:tcPr>
          <w:p w14:paraId="5644414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50" w:type="pct"/>
            <w:tcBorders>
              <w:top w:val="nil"/>
              <w:left w:val="nil"/>
              <w:bottom w:val="single" w:sz="4" w:space="0" w:color="808080"/>
              <w:right w:val="single" w:sz="4" w:space="0" w:color="808080"/>
            </w:tcBorders>
            <w:shd w:val="clear" w:color="000000" w:fill="D9D9D9"/>
            <w:noWrap/>
            <w:vAlign w:val="center"/>
            <w:hideMark/>
          </w:tcPr>
          <w:p w14:paraId="1388D7A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34" w:type="pct"/>
            <w:tcBorders>
              <w:top w:val="nil"/>
              <w:left w:val="nil"/>
              <w:bottom w:val="single" w:sz="4" w:space="0" w:color="808080"/>
              <w:right w:val="single" w:sz="8" w:space="0" w:color="808080"/>
            </w:tcBorders>
            <w:shd w:val="clear" w:color="000000" w:fill="D9D9D9"/>
            <w:noWrap/>
            <w:vAlign w:val="center"/>
            <w:hideMark/>
          </w:tcPr>
          <w:p w14:paraId="03C5BE2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r>
      <w:tr w:rsidR="00E75022" w:rsidRPr="00646DDA" w14:paraId="5A28C3E2"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5BAF3B7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CO24</w:t>
            </w:r>
          </w:p>
        </w:tc>
        <w:tc>
          <w:tcPr>
            <w:tcW w:w="696" w:type="pct"/>
            <w:tcBorders>
              <w:top w:val="nil"/>
              <w:left w:val="nil"/>
              <w:bottom w:val="single" w:sz="4" w:space="0" w:color="808080"/>
              <w:right w:val="single" w:sz="4" w:space="0" w:color="808080"/>
            </w:tcBorders>
            <w:shd w:val="clear" w:color="auto" w:fill="auto"/>
            <w:vAlign w:val="bottom"/>
            <w:hideMark/>
          </w:tcPr>
          <w:p w14:paraId="6C8A1F12"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Έρευνα, Καινοτομία: Αριθμός νέων ερευνητών σε οντότητες που ενισχύονται</w:t>
            </w:r>
          </w:p>
        </w:tc>
        <w:tc>
          <w:tcPr>
            <w:tcW w:w="295" w:type="pct"/>
            <w:tcBorders>
              <w:top w:val="nil"/>
              <w:left w:val="nil"/>
              <w:bottom w:val="single" w:sz="4" w:space="0" w:color="808080"/>
              <w:right w:val="single" w:sz="4" w:space="0" w:color="808080"/>
            </w:tcBorders>
            <w:shd w:val="clear" w:color="auto" w:fill="auto"/>
            <w:noWrap/>
            <w:vAlign w:val="center"/>
            <w:hideMark/>
          </w:tcPr>
          <w:p w14:paraId="09D6EEA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ΙΠΑ</w:t>
            </w:r>
          </w:p>
        </w:tc>
        <w:tc>
          <w:tcPr>
            <w:tcW w:w="212" w:type="pct"/>
            <w:tcBorders>
              <w:top w:val="nil"/>
              <w:left w:val="nil"/>
              <w:bottom w:val="single" w:sz="4" w:space="0" w:color="808080"/>
              <w:right w:val="single" w:sz="4" w:space="0" w:color="808080"/>
            </w:tcBorders>
            <w:shd w:val="clear" w:color="auto" w:fill="auto"/>
            <w:noWrap/>
            <w:vAlign w:val="center"/>
            <w:hideMark/>
          </w:tcPr>
          <w:p w14:paraId="158D37F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65A9797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31A4B50D"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7.762</w:t>
            </w:r>
          </w:p>
        </w:tc>
        <w:tc>
          <w:tcPr>
            <w:tcW w:w="275" w:type="pct"/>
            <w:tcBorders>
              <w:top w:val="nil"/>
              <w:left w:val="nil"/>
              <w:bottom w:val="single" w:sz="4" w:space="0" w:color="808080"/>
              <w:right w:val="single" w:sz="4" w:space="0" w:color="808080"/>
            </w:tcBorders>
            <w:shd w:val="clear" w:color="auto" w:fill="auto"/>
            <w:noWrap/>
            <w:vAlign w:val="center"/>
            <w:hideMark/>
          </w:tcPr>
          <w:p w14:paraId="16C274C3"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3.772</w:t>
            </w:r>
          </w:p>
        </w:tc>
        <w:tc>
          <w:tcPr>
            <w:tcW w:w="267" w:type="pct"/>
            <w:tcBorders>
              <w:top w:val="nil"/>
              <w:left w:val="nil"/>
              <w:bottom w:val="single" w:sz="4" w:space="0" w:color="808080"/>
              <w:right w:val="single" w:sz="4" w:space="0" w:color="808080"/>
            </w:tcBorders>
            <w:shd w:val="clear" w:color="auto" w:fill="auto"/>
            <w:noWrap/>
            <w:vAlign w:val="center"/>
            <w:hideMark/>
          </w:tcPr>
          <w:p w14:paraId="3D0629C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1.265</w:t>
            </w:r>
          </w:p>
        </w:tc>
        <w:tc>
          <w:tcPr>
            <w:tcW w:w="283" w:type="pct"/>
            <w:tcBorders>
              <w:top w:val="nil"/>
              <w:left w:val="nil"/>
              <w:bottom w:val="single" w:sz="4" w:space="0" w:color="808080"/>
              <w:right w:val="single" w:sz="4" w:space="0" w:color="808080"/>
            </w:tcBorders>
            <w:shd w:val="clear" w:color="auto" w:fill="auto"/>
            <w:noWrap/>
            <w:vAlign w:val="center"/>
            <w:hideMark/>
          </w:tcPr>
          <w:p w14:paraId="307E192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2.725</w:t>
            </w:r>
          </w:p>
        </w:tc>
        <w:tc>
          <w:tcPr>
            <w:tcW w:w="220" w:type="pct"/>
            <w:tcBorders>
              <w:top w:val="nil"/>
              <w:left w:val="nil"/>
              <w:bottom w:val="single" w:sz="4" w:space="0" w:color="808080"/>
              <w:right w:val="single" w:sz="4" w:space="0" w:color="808080"/>
            </w:tcBorders>
            <w:shd w:val="clear" w:color="auto" w:fill="auto"/>
            <w:noWrap/>
            <w:vAlign w:val="center"/>
            <w:hideMark/>
          </w:tcPr>
          <w:p w14:paraId="7096CC4B"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6527,71</w:t>
            </w:r>
          </w:p>
        </w:tc>
        <w:tc>
          <w:tcPr>
            <w:tcW w:w="226" w:type="pct"/>
            <w:tcBorders>
              <w:top w:val="nil"/>
              <w:left w:val="nil"/>
              <w:bottom w:val="single" w:sz="4" w:space="0" w:color="808080"/>
              <w:right w:val="single" w:sz="4" w:space="0" w:color="808080"/>
            </w:tcBorders>
            <w:shd w:val="clear" w:color="auto" w:fill="auto"/>
            <w:noWrap/>
            <w:vAlign w:val="center"/>
            <w:hideMark/>
          </w:tcPr>
          <w:p w14:paraId="64285A1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2748,57</w:t>
            </w:r>
          </w:p>
        </w:tc>
        <w:tc>
          <w:tcPr>
            <w:tcW w:w="226" w:type="pct"/>
            <w:tcBorders>
              <w:top w:val="nil"/>
              <w:left w:val="nil"/>
              <w:bottom w:val="single" w:sz="4" w:space="0" w:color="808080"/>
              <w:right w:val="single" w:sz="4" w:space="0" w:color="808080"/>
            </w:tcBorders>
            <w:shd w:val="clear" w:color="auto" w:fill="auto"/>
            <w:noWrap/>
            <w:vAlign w:val="center"/>
            <w:hideMark/>
          </w:tcPr>
          <w:p w14:paraId="7B16414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1091,25</w:t>
            </w:r>
          </w:p>
        </w:tc>
        <w:tc>
          <w:tcPr>
            <w:tcW w:w="226" w:type="pct"/>
            <w:tcBorders>
              <w:top w:val="nil"/>
              <w:left w:val="nil"/>
              <w:bottom w:val="single" w:sz="4" w:space="0" w:color="808080"/>
              <w:right w:val="single" w:sz="4" w:space="0" w:color="808080"/>
            </w:tcBorders>
            <w:shd w:val="clear" w:color="auto" w:fill="auto"/>
            <w:noWrap/>
            <w:vAlign w:val="center"/>
            <w:hideMark/>
          </w:tcPr>
          <w:p w14:paraId="1FD3682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2687,89</w:t>
            </w:r>
          </w:p>
        </w:tc>
        <w:tc>
          <w:tcPr>
            <w:tcW w:w="306" w:type="pct"/>
            <w:tcBorders>
              <w:top w:val="nil"/>
              <w:left w:val="nil"/>
              <w:bottom w:val="single" w:sz="4" w:space="0" w:color="808080"/>
              <w:right w:val="single" w:sz="4" w:space="0" w:color="808080"/>
            </w:tcBorders>
            <w:shd w:val="clear" w:color="auto" w:fill="auto"/>
            <w:noWrap/>
            <w:vAlign w:val="center"/>
            <w:hideMark/>
          </w:tcPr>
          <w:p w14:paraId="0C50A4D3"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84%</w:t>
            </w:r>
          </w:p>
        </w:tc>
        <w:tc>
          <w:tcPr>
            <w:tcW w:w="303" w:type="pct"/>
            <w:tcBorders>
              <w:top w:val="nil"/>
              <w:left w:val="nil"/>
              <w:bottom w:val="single" w:sz="4" w:space="0" w:color="808080"/>
              <w:right w:val="single" w:sz="4" w:space="0" w:color="808080"/>
            </w:tcBorders>
            <w:shd w:val="clear" w:color="auto" w:fill="auto"/>
            <w:noWrap/>
            <w:vAlign w:val="center"/>
            <w:hideMark/>
          </w:tcPr>
          <w:p w14:paraId="0CCFECA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73%</w:t>
            </w:r>
          </w:p>
        </w:tc>
        <w:tc>
          <w:tcPr>
            <w:tcW w:w="350" w:type="pct"/>
            <w:tcBorders>
              <w:top w:val="nil"/>
              <w:left w:val="nil"/>
              <w:bottom w:val="single" w:sz="4" w:space="0" w:color="808080"/>
              <w:right w:val="single" w:sz="4" w:space="0" w:color="808080"/>
            </w:tcBorders>
            <w:shd w:val="clear" w:color="auto" w:fill="auto"/>
            <w:noWrap/>
            <w:vAlign w:val="center"/>
            <w:hideMark/>
          </w:tcPr>
          <w:p w14:paraId="1FB6666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86%</w:t>
            </w:r>
          </w:p>
        </w:tc>
        <w:tc>
          <w:tcPr>
            <w:tcW w:w="334" w:type="pct"/>
            <w:tcBorders>
              <w:top w:val="nil"/>
              <w:left w:val="nil"/>
              <w:bottom w:val="single" w:sz="4" w:space="0" w:color="808080"/>
              <w:right w:val="single" w:sz="8" w:space="0" w:color="808080"/>
            </w:tcBorders>
            <w:shd w:val="clear" w:color="auto" w:fill="auto"/>
            <w:noWrap/>
            <w:vAlign w:val="center"/>
            <w:hideMark/>
          </w:tcPr>
          <w:p w14:paraId="3383964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99%</w:t>
            </w:r>
          </w:p>
        </w:tc>
      </w:tr>
      <w:tr w:rsidR="00E75022" w:rsidRPr="00646DDA" w14:paraId="714851EB" w14:textId="77777777" w:rsidTr="00E75022">
        <w:trPr>
          <w:trHeight w:val="1035"/>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68EFA7B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CO25</w:t>
            </w:r>
          </w:p>
        </w:tc>
        <w:tc>
          <w:tcPr>
            <w:tcW w:w="696" w:type="pct"/>
            <w:tcBorders>
              <w:top w:val="nil"/>
              <w:left w:val="nil"/>
              <w:bottom w:val="single" w:sz="4" w:space="0" w:color="808080"/>
              <w:right w:val="single" w:sz="4" w:space="0" w:color="808080"/>
            </w:tcBorders>
            <w:shd w:val="clear" w:color="auto" w:fill="auto"/>
            <w:vAlign w:val="bottom"/>
            <w:hideMark/>
          </w:tcPr>
          <w:p w14:paraId="4D02FA6A"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Έρευνα, Καινοτομία: Αριθμός ερευνητών που εργάζονται σε βελτιωμένες εγκαταστάσεις ερευνητικών υποδομών</w:t>
            </w:r>
          </w:p>
        </w:tc>
        <w:tc>
          <w:tcPr>
            <w:tcW w:w="295" w:type="pct"/>
            <w:tcBorders>
              <w:top w:val="nil"/>
              <w:left w:val="nil"/>
              <w:bottom w:val="single" w:sz="4" w:space="0" w:color="808080"/>
              <w:right w:val="single" w:sz="4" w:space="0" w:color="808080"/>
            </w:tcBorders>
            <w:shd w:val="clear" w:color="auto" w:fill="auto"/>
            <w:noWrap/>
            <w:vAlign w:val="center"/>
            <w:hideMark/>
          </w:tcPr>
          <w:p w14:paraId="064D9EE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ΙΠΑ</w:t>
            </w:r>
          </w:p>
        </w:tc>
        <w:tc>
          <w:tcPr>
            <w:tcW w:w="212" w:type="pct"/>
            <w:tcBorders>
              <w:top w:val="nil"/>
              <w:left w:val="nil"/>
              <w:bottom w:val="single" w:sz="4" w:space="0" w:color="808080"/>
              <w:right w:val="single" w:sz="4" w:space="0" w:color="808080"/>
            </w:tcBorders>
            <w:shd w:val="clear" w:color="auto" w:fill="auto"/>
            <w:noWrap/>
            <w:vAlign w:val="center"/>
            <w:hideMark/>
          </w:tcPr>
          <w:p w14:paraId="6AD6016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3/3Σ</w:t>
            </w:r>
          </w:p>
        </w:tc>
        <w:tc>
          <w:tcPr>
            <w:tcW w:w="225" w:type="pct"/>
            <w:tcBorders>
              <w:top w:val="nil"/>
              <w:left w:val="nil"/>
              <w:bottom w:val="single" w:sz="4" w:space="0" w:color="808080"/>
              <w:right w:val="single" w:sz="4" w:space="0" w:color="808080"/>
            </w:tcBorders>
            <w:shd w:val="clear" w:color="auto" w:fill="auto"/>
            <w:noWrap/>
            <w:vAlign w:val="center"/>
            <w:hideMark/>
          </w:tcPr>
          <w:p w14:paraId="2F016F9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1a</w:t>
            </w:r>
          </w:p>
        </w:tc>
        <w:tc>
          <w:tcPr>
            <w:tcW w:w="291" w:type="pct"/>
            <w:tcBorders>
              <w:top w:val="nil"/>
              <w:left w:val="nil"/>
              <w:bottom w:val="single" w:sz="4" w:space="0" w:color="808080"/>
              <w:right w:val="single" w:sz="4" w:space="0" w:color="808080"/>
            </w:tcBorders>
            <w:shd w:val="clear" w:color="auto" w:fill="auto"/>
            <w:noWrap/>
            <w:vAlign w:val="center"/>
            <w:hideMark/>
          </w:tcPr>
          <w:p w14:paraId="6522C84C"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2.165</w:t>
            </w:r>
          </w:p>
        </w:tc>
        <w:tc>
          <w:tcPr>
            <w:tcW w:w="275" w:type="pct"/>
            <w:tcBorders>
              <w:top w:val="nil"/>
              <w:left w:val="nil"/>
              <w:bottom w:val="single" w:sz="4" w:space="0" w:color="808080"/>
              <w:right w:val="single" w:sz="4" w:space="0" w:color="808080"/>
            </w:tcBorders>
            <w:shd w:val="clear" w:color="auto" w:fill="auto"/>
            <w:noWrap/>
            <w:vAlign w:val="center"/>
            <w:hideMark/>
          </w:tcPr>
          <w:p w14:paraId="026B00A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645</w:t>
            </w:r>
          </w:p>
        </w:tc>
        <w:tc>
          <w:tcPr>
            <w:tcW w:w="267" w:type="pct"/>
            <w:tcBorders>
              <w:top w:val="nil"/>
              <w:left w:val="nil"/>
              <w:bottom w:val="single" w:sz="4" w:space="0" w:color="808080"/>
              <w:right w:val="single" w:sz="4" w:space="0" w:color="808080"/>
            </w:tcBorders>
            <w:shd w:val="clear" w:color="auto" w:fill="auto"/>
            <w:noWrap/>
            <w:vAlign w:val="center"/>
            <w:hideMark/>
          </w:tcPr>
          <w:p w14:paraId="5E04AF8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517</w:t>
            </w:r>
          </w:p>
        </w:tc>
        <w:tc>
          <w:tcPr>
            <w:tcW w:w="283" w:type="pct"/>
            <w:tcBorders>
              <w:top w:val="nil"/>
              <w:left w:val="nil"/>
              <w:bottom w:val="single" w:sz="4" w:space="0" w:color="808080"/>
              <w:right w:val="single" w:sz="4" w:space="0" w:color="808080"/>
            </w:tcBorders>
            <w:shd w:val="clear" w:color="auto" w:fill="auto"/>
            <w:noWrap/>
            <w:vAlign w:val="center"/>
            <w:hideMark/>
          </w:tcPr>
          <w:p w14:paraId="74CDC17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1.003</w:t>
            </w:r>
          </w:p>
        </w:tc>
        <w:tc>
          <w:tcPr>
            <w:tcW w:w="220" w:type="pct"/>
            <w:tcBorders>
              <w:top w:val="nil"/>
              <w:left w:val="nil"/>
              <w:bottom w:val="single" w:sz="4" w:space="0" w:color="808080"/>
              <w:right w:val="single" w:sz="4" w:space="0" w:color="808080"/>
            </w:tcBorders>
            <w:shd w:val="clear" w:color="auto" w:fill="auto"/>
            <w:noWrap/>
            <w:vAlign w:val="center"/>
            <w:hideMark/>
          </w:tcPr>
          <w:p w14:paraId="14845F75"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3461,2</w:t>
            </w:r>
          </w:p>
        </w:tc>
        <w:tc>
          <w:tcPr>
            <w:tcW w:w="226" w:type="pct"/>
            <w:tcBorders>
              <w:top w:val="nil"/>
              <w:left w:val="nil"/>
              <w:bottom w:val="single" w:sz="4" w:space="0" w:color="808080"/>
              <w:right w:val="single" w:sz="4" w:space="0" w:color="808080"/>
            </w:tcBorders>
            <w:shd w:val="clear" w:color="auto" w:fill="auto"/>
            <w:noWrap/>
            <w:vAlign w:val="center"/>
            <w:hideMark/>
          </w:tcPr>
          <w:p w14:paraId="354EC1F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1099,02</w:t>
            </w:r>
          </w:p>
        </w:tc>
        <w:tc>
          <w:tcPr>
            <w:tcW w:w="226" w:type="pct"/>
            <w:tcBorders>
              <w:top w:val="nil"/>
              <w:left w:val="nil"/>
              <w:bottom w:val="single" w:sz="4" w:space="0" w:color="808080"/>
              <w:right w:val="single" w:sz="4" w:space="0" w:color="808080"/>
            </w:tcBorders>
            <w:shd w:val="clear" w:color="auto" w:fill="auto"/>
            <w:noWrap/>
            <w:vAlign w:val="center"/>
            <w:hideMark/>
          </w:tcPr>
          <w:p w14:paraId="29746FA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578,5</w:t>
            </w:r>
          </w:p>
        </w:tc>
        <w:tc>
          <w:tcPr>
            <w:tcW w:w="226" w:type="pct"/>
            <w:tcBorders>
              <w:top w:val="nil"/>
              <w:left w:val="nil"/>
              <w:bottom w:val="single" w:sz="4" w:space="0" w:color="808080"/>
              <w:right w:val="single" w:sz="4" w:space="0" w:color="808080"/>
            </w:tcBorders>
            <w:shd w:val="clear" w:color="auto" w:fill="auto"/>
            <w:noWrap/>
            <w:vAlign w:val="center"/>
            <w:hideMark/>
          </w:tcPr>
          <w:p w14:paraId="72ED5A92"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1783,68</w:t>
            </w:r>
          </w:p>
        </w:tc>
        <w:tc>
          <w:tcPr>
            <w:tcW w:w="306" w:type="pct"/>
            <w:tcBorders>
              <w:top w:val="nil"/>
              <w:left w:val="nil"/>
              <w:bottom w:val="single" w:sz="4" w:space="0" w:color="808080"/>
              <w:right w:val="single" w:sz="4" w:space="0" w:color="808080"/>
            </w:tcBorders>
            <w:shd w:val="clear" w:color="auto" w:fill="auto"/>
            <w:noWrap/>
            <w:vAlign w:val="center"/>
            <w:hideMark/>
          </w:tcPr>
          <w:p w14:paraId="16B8969E"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160%</w:t>
            </w:r>
          </w:p>
        </w:tc>
        <w:tc>
          <w:tcPr>
            <w:tcW w:w="303" w:type="pct"/>
            <w:tcBorders>
              <w:top w:val="nil"/>
              <w:left w:val="nil"/>
              <w:bottom w:val="single" w:sz="4" w:space="0" w:color="808080"/>
              <w:right w:val="single" w:sz="4" w:space="0" w:color="808080"/>
            </w:tcBorders>
            <w:shd w:val="clear" w:color="auto" w:fill="auto"/>
            <w:noWrap/>
            <w:vAlign w:val="center"/>
            <w:hideMark/>
          </w:tcPr>
          <w:p w14:paraId="4276DD6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170%</w:t>
            </w:r>
          </w:p>
        </w:tc>
        <w:tc>
          <w:tcPr>
            <w:tcW w:w="350" w:type="pct"/>
            <w:tcBorders>
              <w:top w:val="nil"/>
              <w:left w:val="nil"/>
              <w:bottom w:val="single" w:sz="4" w:space="0" w:color="808080"/>
              <w:right w:val="single" w:sz="4" w:space="0" w:color="808080"/>
            </w:tcBorders>
            <w:shd w:val="clear" w:color="auto" w:fill="auto"/>
            <w:noWrap/>
            <w:vAlign w:val="center"/>
            <w:hideMark/>
          </w:tcPr>
          <w:p w14:paraId="65178BA2"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112%</w:t>
            </w:r>
          </w:p>
        </w:tc>
        <w:tc>
          <w:tcPr>
            <w:tcW w:w="334" w:type="pct"/>
            <w:tcBorders>
              <w:top w:val="nil"/>
              <w:left w:val="nil"/>
              <w:bottom w:val="single" w:sz="4" w:space="0" w:color="808080"/>
              <w:right w:val="single" w:sz="8" w:space="0" w:color="808080"/>
            </w:tcBorders>
            <w:shd w:val="clear" w:color="auto" w:fill="auto"/>
            <w:noWrap/>
            <w:vAlign w:val="center"/>
            <w:hideMark/>
          </w:tcPr>
          <w:p w14:paraId="5354A4E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178%</w:t>
            </w:r>
          </w:p>
        </w:tc>
      </w:tr>
      <w:tr w:rsidR="00E75022" w:rsidRPr="00646DDA" w14:paraId="477DF20A"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7E7B903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CO26</w:t>
            </w:r>
          </w:p>
        </w:tc>
        <w:tc>
          <w:tcPr>
            <w:tcW w:w="696" w:type="pct"/>
            <w:tcBorders>
              <w:top w:val="nil"/>
              <w:left w:val="nil"/>
              <w:bottom w:val="single" w:sz="4" w:space="0" w:color="808080"/>
              <w:right w:val="single" w:sz="4" w:space="0" w:color="808080"/>
            </w:tcBorders>
            <w:shd w:val="clear" w:color="auto" w:fill="auto"/>
            <w:vAlign w:val="bottom"/>
            <w:hideMark/>
          </w:tcPr>
          <w:p w14:paraId="65579053"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Έρευνα, Καινοτομία: Αριθμός επιχειρήσεων που συνεργάζονται με ερευνητικά ινστιτούτα</w:t>
            </w:r>
          </w:p>
        </w:tc>
        <w:tc>
          <w:tcPr>
            <w:tcW w:w="295" w:type="pct"/>
            <w:tcBorders>
              <w:top w:val="nil"/>
              <w:left w:val="nil"/>
              <w:bottom w:val="single" w:sz="4" w:space="0" w:color="808080"/>
              <w:right w:val="single" w:sz="4" w:space="0" w:color="808080"/>
            </w:tcBorders>
            <w:shd w:val="clear" w:color="auto" w:fill="auto"/>
            <w:noWrap/>
            <w:vAlign w:val="center"/>
            <w:hideMark/>
          </w:tcPr>
          <w:p w14:paraId="6B48A8F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Επιχειρήσεις</w:t>
            </w:r>
          </w:p>
        </w:tc>
        <w:tc>
          <w:tcPr>
            <w:tcW w:w="212" w:type="pct"/>
            <w:tcBorders>
              <w:top w:val="nil"/>
              <w:left w:val="nil"/>
              <w:bottom w:val="single" w:sz="4" w:space="0" w:color="808080"/>
              <w:right w:val="single" w:sz="4" w:space="0" w:color="808080"/>
            </w:tcBorders>
            <w:shd w:val="clear" w:color="auto" w:fill="auto"/>
            <w:noWrap/>
            <w:vAlign w:val="center"/>
            <w:hideMark/>
          </w:tcPr>
          <w:p w14:paraId="5D875D1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2D0AB59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0EE515DC"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640</w:t>
            </w:r>
          </w:p>
        </w:tc>
        <w:tc>
          <w:tcPr>
            <w:tcW w:w="275" w:type="pct"/>
            <w:tcBorders>
              <w:top w:val="nil"/>
              <w:left w:val="nil"/>
              <w:bottom w:val="single" w:sz="4" w:space="0" w:color="808080"/>
              <w:right w:val="single" w:sz="4" w:space="0" w:color="808080"/>
            </w:tcBorders>
            <w:shd w:val="clear" w:color="auto" w:fill="auto"/>
            <w:noWrap/>
            <w:vAlign w:val="center"/>
            <w:hideMark/>
          </w:tcPr>
          <w:p w14:paraId="05844EA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321</w:t>
            </w:r>
          </w:p>
        </w:tc>
        <w:tc>
          <w:tcPr>
            <w:tcW w:w="267" w:type="pct"/>
            <w:tcBorders>
              <w:top w:val="nil"/>
              <w:left w:val="nil"/>
              <w:bottom w:val="single" w:sz="4" w:space="0" w:color="808080"/>
              <w:right w:val="single" w:sz="4" w:space="0" w:color="808080"/>
            </w:tcBorders>
            <w:shd w:val="clear" w:color="auto" w:fill="auto"/>
            <w:noWrap/>
            <w:vAlign w:val="center"/>
            <w:hideMark/>
          </w:tcPr>
          <w:p w14:paraId="3FC9F2D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121</w:t>
            </w:r>
          </w:p>
        </w:tc>
        <w:tc>
          <w:tcPr>
            <w:tcW w:w="283" w:type="pct"/>
            <w:tcBorders>
              <w:top w:val="nil"/>
              <w:left w:val="nil"/>
              <w:bottom w:val="single" w:sz="4" w:space="0" w:color="808080"/>
              <w:right w:val="single" w:sz="4" w:space="0" w:color="808080"/>
            </w:tcBorders>
            <w:shd w:val="clear" w:color="auto" w:fill="auto"/>
            <w:noWrap/>
            <w:vAlign w:val="center"/>
            <w:hideMark/>
          </w:tcPr>
          <w:p w14:paraId="41763FA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198</w:t>
            </w:r>
          </w:p>
        </w:tc>
        <w:tc>
          <w:tcPr>
            <w:tcW w:w="220" w:type="pct"/>
            <w:tcBorders>
              <w:top w:val="nil"/>
              <w:left w:val="nil"/>
              <w:bottom w:val="single" w:sz="4" w:space="0" w:color="808080"/>
              <w:right w:val="single" w:sz="4" w:space="0" w:color="808080"/>
            </w:tcBorders>
            <w:shd w:val="clear" w:color="auto" w:fill="auto"/>
            <w:noWrap/>
            <w:vAlign w:val="center"/>
            <w:hideMark/>
          </w:tcPr>
          <w:p w14:paraId="7075CFAC"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772</w:t>
            </w:r>
          </w:p>
        </w:tc>
        <w:tc>
          <w:tcPr>
            <w:tcW w:w="226" w:type="pct"/>
            <w:tcBorders>
              <w:top w:val="nil"/>
              <w:left w:val="nil"/>
              <w:bottom w:val="single" w:sz="4" w:space="0" w:color="808080"/>
              <w:right w:val="single" w:sz="4" w:space="0" w:color="808080"/>
            </w:tcBorders>
            <w:shd w:val="clear" w:color="auto" w:fill="auto"/>
            <w:noWrap/>
            <w:vAlign w:val="center"/>
            <w:hideMark/>
          </w:tcPr>
          <w:p w14:paraId="72ACF50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395</w:t>
            </w:r>
          </w:p>
        </w:tc>
        <w:tc>
          <w:tcPr>
            <w:tcW w:w="226" w:type="pct"/>
            <w:tcBorders>
              <w:top w:val="nil"/>
              <w:left w:val="nil"/>
              <w:bottom w:val="single" w:sz="4" w:space="0" w:color="808080"/>
              <w:right w:val="single" w:sz="4" w:space="0" w:color="808080"/>
            </w:tcBorders>
            <w:shd w:val="clear" w:color="auto" w:fill="auto"/>
            <w:noWrap/>
            <w:vAlign w:val="center"/>
            <w:hideMark/>
          </w:tcPr>
          <w:p w14:paraId="70416EB3"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132</w:t>
            </w:r>
          </w:p>
        </w:tc>
        <w:tc>
          <w:tcPr>
            <w:tcW w:w="226" w:type="pct"/>
            <w:tcBorders>
              <w:top w:val="nil"/>
              <w:left w:val="nil"/>
              <w:bottom w:val="single" w:sz="4" w:space="0" w:color="808080"/>
              <w:right w:val="single" w:sz="4" w:space="0" w:color="808080"/>
            </w:tcBorders>
            <w:shd w:val="clear" w:color="auto" w:fill="auto"/>
            <w:noWrap/>
            <w:vAlign w:val="center"/>
            <w:hideMark/>
          </w:tcPr>
          <w:p w14:paraId="1940C2C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245</w:t>
            </w:r>
          </w:p>
        </w:tc>
        <w:tc>
          <w:tcPr>
            <w:tcW w:w="306" w:type="pct"/>
            <w:tcBorders>
              <w:top w:val="nil"/>
              <w:left w:val="nil"/>
              <w:bottom w:val="single" w:sz="4" w:space="0" w:color="808080"/>
              <w:right w:val="single" w:sz="4" w:space="0" w:color="808080"/>
            </w:tcBorders>
            <w:shd w:val="clear" w:color="auto" w:fill="auto"/>
            <w:noWrap/>
            <w:vAlign w:val="center"/>
            <w:hideMark/>
          </w:tcPr>
          <w:p w14:paraId="647D794D"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121%</w:t>
            </w:r>
          </w:p>
        </w:tc>
        <w:tc>
          <w:tcPr>
            <w:tcW w:w="303" w:type="pct"/>
            <w:tcBorders>
              <w:top w:val="nil"/>
              <w:left w:val="nil"/>
              <w:bottom w:val="single" w:sz="4" w:space="0" w:color="808080"/>
              <w:right w:val="single" w:sz="4" w:space="0" w:color="808080"/>
            </w:tcBorders>
            <w:shd w:val="clear" w:color="auto" w:fill="auto"/>
            <w:noWrap/>
            <w:vAlign w:val="center"/>
            <w:hideMark/>
          </w:tcPr>
          <w:p w14:paraId="3CA3687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123%</w:t>
            </w:r>
          </w:p>
        </w:tc>
        <w:tc>
          <w:tcPr>
            <w:tcW w:w="350" w:type="pct"/>
            <w:tcBorders>
              <w:top w:val="nil"/>
              <w:left w:val="nil"/>
              <w:bottom w:val="single" w:sz="4" w:space="0" w:color="808080"/>
              <w:right w:val="single" w:sz="4" w:space="0" w:color="808080"/>
            </w:tcBorders>
            <w:shd w:val="clear" w:color="auto" w:fill="auto"/>
            <w:noWrap/>
            <w:vAlign w:val="center"/>
            <w:hideMark/>
          </w:tcPr>
          <w:p w14:paraId="63EBBA3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109%</w:t>
            </w:r>
          </w:p>
        </w:tc>
        <w:tc>
          <w:tcPr>
            <w:tcW w:w="334" w:type="pct"/>
            <w:tcBorders>
              <w:top w:val="nil"/>
              <w:left w:val="nil"/>
              <w:bottom w:val="single" w:sz="4" w:space="0" w:color="808080"/>
              <w:right w:val="single" w:sz="8" w:space="0" w:color="808080"/>
            </w:tcBorders>
            <w:shd w:val="clear" w:color="auto" w:fill="auto"/>
            <w:noWrap/>
            <w:vAlign w:val="center"/>
            <w:hideMark/>
          </w:tcPr>
          <w:p w14:paraId="65534B5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124%</w:t>
            </w:r>
          </w:p>
        </w:tc>
      </w:tr>
      <w:tr w:rsidR="00E75022" w:rsidRPr="00646DDA" w14:paraId="40B4208A" w14:textId="77777777" w:rsidTr="00E75022">
        <w:trPr>
          <w:trHeight w:val="129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45BB54A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CO27</w:t>
            </w:r>
          </w:p>
        </w:tc>
        <w:tc>
          <w:tcPr>
            <w:tcW w:w="696" w:type="pct"/>
            <w:tcBorders>
              <w:top w:val="nil"/>
              <w:left w:val="nil"/>
              <w:bottom w:val="single" w:sz="4" w:space="0" w:color="808080"/>
              <w:right w:val="single" w:sz="4" w:space="0" w:color="808080"/>
            </w:tcBorders>
            <w:shd w:val="clear" w:color="auto" w:fill="auto"/>
            <w:vAlign w:val="bottom"/>
            <w:hideMark/>
          </w:tcPr>
          <w:p w14:paraId="3EAA8D03"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Έρευνα, Καινοτομία: Ιδιωτικές επενδύσεις που συνδυάζονται με δημόσια στηριξη στον τομέα της καινοτομίας ή σε έργα έρευνας και ανάπτυξης</w:t>
            </w:r>
          </w:p>
        </w:tc>
        <w:tc>
          <w:tcPr>
            <w:tcW w:w="295" w:type="pct"/>
            <w:tcBorders>
              <w:top w:val="nil"/>
              <w:left w:val="nil"/>
              <w:bottom w:val="single" w:sz="4" w:space="0" w:color="808080"/>
              <w:right w:val="single" w:sz="4" w:space="0" w:color="808080"/>
            </w:tcBorders>
            <w:shd w:val="clear" w:color="auto" w:fill="auto"/>
            <w:noWrap/>
            <w:vAlign w:val="center"/>
            <w:hideMark/>
          </w:tcPr>
          <w:p w14:paraId="2FF094D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Ευρώ</w:t>
            </w:r>
          </w:p>
        </w:tc>
        <w:tc>
          <w:tcPr>
            <w:tcW w:w="212" w:type="pct"/>
            <w:tcBorders>
              <w:top w:val="nil"/>
              <w:left w:val="nil"/>
              <w:bottom w:val="single" w:sz="4" w:space="0" w:color="808080"/>
              <w:right w:val="single" w:sz="4" w:space="0" w:color="808080"/>
            </w:tcBorders>
            <w:shd w:val="clear" w:color="auto" w:fill="auto"/>
            <w:noWrap/>
            <w:vAlign w:val="center"/>
            <w:hideMark/>
          </w:tcPr>
          <w:p w14:paraId="3B8AD366"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57DCBAF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49FE2199"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135.000.000</w:t>
            </w:r>
          </w:p>
        </w:tc>
        <w:tc>
          <w:tcPr>
            <w:tcW w:w="275" w:type="pct"/>
            <w:tcBorders>
              <w:top w:val="nil"/>
              <w:left w:val="nil"/>
              <w:bottom w:val="single" w:sz="4" w:space="0" w:color="808080"/>
              <w:right w:val="single" w:sz="4" w:space="0" w:color="808080"/>
            </w:tcBorders>
            <w:shd w:val="clear" w:color="auto" w:fill="auto"/>
            <w:noWrap/>
            <w:vAlign w:val="center"/>
            <w:hideMark/>
          </w:tcPr>
          <w:p w14:paraId="355BD26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77.190.000</w:t>
            </w:r>
          </w:p>
        </w:tc>
        <w:tc>
          <w:tcPr>
            <w:tcW w:w="267" w:type="pct"/>
            <w:tcBorders>
              <w:top w:val="nil"/>
              <w:left w:val="nil"/>
              <w:bottom w:val="single" w:sz="4" w:space="0" w:color="808080"/>
              <w:right w:val="single" w:sz="4" w:space="0" w:color="808080"/>
            </w:tcBorders>
            <w:shd w:val="clear" w:color="auto" w:fill="auto"/>
            <w:noWrap/>
            <w:vAlign w:val="center"/>
            <w:hideMark/>
          </w:tcPr>
          <w:p w14:paraId="1EA4BCB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17.720.000</w:t>
            </w:r>
          </w:p>
        </w:tc>
        <w:tc>
          <w:tcPr>
            <w:tcW w:w="283" w:type="pct"/>
            <w:tcBorders>
              <w:top w:val="nil"/>
              <w:left w:val="nil"/>
              <w:bottom w:val="single" w:sz="4" w:space="0" w:color="808080"/>
              <w:right w:val="single" w:sz="4" w:space="0" w:color="808080"/>
            </w:tcBorders>
            <w:shd w:val="clear" w:color="auto" w:fill="auto"/>
            <w:noWrap/>
            <w:vAlign w:val="center"/>
            <w:hideMark/>
          </w:tcPr>
          <w:p w14:paraId="30E8DB3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40.090.000</w:t>
            </w:r>
          </w:p>
        </w:tc>
        <w:tc>
          <w:tcPr>
            <w:tcW w:w="220" w:type="pct"/>
            <w:tcBorders>
              <w:top w:val="nil"/>
              <w:left w:val="nil"/>
              <w:bottom w:val="single" w:sz="4" w:space="0" w:color="808080"/>
              <w:right w:val="single" w:sz="4" w:space="0" w:color="808080"/>
            </w:tcBorders>
            <w:shd w:val="clear" w:color="auto" w:fill="auto"/>
            <w:noWrap/>
            <w:vAlign w:val="center"/>
            <w:hideMark/>
          </w:tcPr>
          <w:p w14:paraId="702F07A0"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0</w:t>
            </w:r>
          </w:p>
        </w:tc>
        <w:tc>
          <w:tcPr>
            <w:tcW w:w="226" w:type="pct"/>
            <w:tcBorders>
              <w:top w:val="nil"/>
              <w:left w:val="nil"/>
              <w:bottom w:val="single" w:sz="4" w:space="0" w:color="808080"/>
              <w:right w:val="single" w:sz="4" w:space="0" w:color="808080"/>
            </w:tcBorders>
            <w:shd w:val="clear" w:color="000000" w:fill="D9D9D9"/>
            <w:noWrap/>
            <w:vAlign w:val="center"/>
            <w:hideMark/>
          </w:tcPr>
          <w:p w14:paraId="574470D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77AAFCA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226" w:type="pct"/>
            <w:tcBorders>
              <w:top w:val="nil"/>
              <w:left w:val="nil"/>
              <w:bottom w:val="single" w:sz="4" w:space="0" w:color="808080"/>
              <w:right w:val="single" w:sz="4" w:space="0" w:color="808080"/>
            </w:tcBorders>
            <w:shd w:val="clear" w:color="000000" w:fill="D9D9D9"/>
            <w:noWrap/>
            <w:vAlign w:val="center"/>
            <w:hideMark/>
          </w:tcPr>
          <w:p w14:paraId="75AB136A"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06" w:type="pct"/>
            <w:tcBorders>
              <w:top w:val="nil"/>
              <w:left w:val="nil"/>
              <w:bottom w:val="single" w:sz="4" w:space="0" w:color="808080"/>
              <w:right w:val="single" w:sz="4" w:space="0" w:color="808080"/>
            </w:tcBorders>
            <w:shd w:val="clear" w:color="000000" w:fill="D9D9D9"/>
            <w:noWrap/>
            <w:vAlign w:val="center"/>
            <w:hideMark/>
          </w:tcPr>
          <w:p w14:paraId="3F14C2D1"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03" w:type="pct"/>
            <w:tcBorders>
              <w:top w:val="nil"/>
              <w:left w:val="nil"/>
              <w:bottom w:val="single" w:sz="4" w:space="0" w:color="808080"/>
              <w:right w:val="single" w:sz="4" w:space="0" w:color="808080"/>
            </w:tcBorders>
            <w:shd w:val="clear" w:color="000000" w:fill="D9D9D9"/>
            <w:noWrap/>
            <w:vAlign w:val="center"/>
            <w:hideMark/>
          </w:tcPr>
          <w:p w14:paraId="1A82A8C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50" w:type="pct"/>
            <w:tcBorders>
              <w:top w:val="nil"/>
              <w:left w:val="nil"/>
              <w:bottom w:val="single" w:sz="4" w:space="0" w:color="808080"/>
              <w:right w:val="single" w:sz="4" w:space="0" w:color="808080"/>
            </w:tcBorders>
            <w:shd w:val="clear" w:color="000000" w:fill="D9D9D9"/>
            <w:noWrap/>
            <w:vAlign w:val="center"/>
            <w:hideMark/>
          </w:tcPr>
          <w:p w14:paraId="21911CB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c>
          <w:tcPr>
            <w:tcW w:w="334" w:type="pct"/>
            <w:tcBorders>
              <w:top w:val="nil"/>
              <w:left w:val="nil"/>
              <w:bottom w:val="single" w:sz="4" w:space="0" w:color="808080"/>
              <w:right w:val="single" w:sz="8" w:space="0" w:color="808080"/>
            </w:tcBorders>
            <w:shd w:val="clear" w:color="000000" w:fill="D9D9D9"/>
            <w:noWrap/>
            <w:vAlign w:val="center"/>
            <w:hideMark/>
          </w:tcPr>
          <w:p w14:paraId="5706F364"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 </w:t>
            </w:r>
          </w:p>
        </w:tc>
      </w:tr>
      <w:tr w:rsidR="00E75022" w:rsidRPr="00646DDA" w14:paraId="1F263BBA" w14:textId="77777777" w:rsidTr="00E75022">
        <w:trPr>
          <w:trHeight w:val="780"/>
        </w:trPr>
        <w:tc>
          <w:tcPr>
            <w:tcW w:w="264" w:type="pct"/>
            <w:tcBorders>
              <w:top w:val="nil"/>
              <w:left w:val="single" w:sz="8" w:space="0" w:color="808080"/>
              <w:bottom w:val="single" w:sz="4" w:space="0" w:color="808080"/>
              <w:right w:val="single" w:sz="4" w:space="0" w:color="808080"/>
            </w:tcBorders>
            <w:shd w:val="clear" w:color="auto" w:fill="auto"/>
            <w:noWrap/>
            <w:vAlign w:val="center"/>
            <w:hideMark/>
          </w:tcPr>
          <w:p w14:paraId="5951267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Τ4204</w:t>
            </w:r>
          </w:p>
        </w:tc>
        <w:tc>
          <w:tcPr>
            <w:tcW w:w="696" w:type="pct"/>
            <w:tcBorders>
              <w:top w:val="nil"/>
              <w:left w:val="nil"/>
              <w:bottom w:val="single" w:sz="4" w:space="0" w:color="808080"/>
              <w:right w:val="single" w:sz="4" w:space="0" w:color="808080"/>
            </w:tcBorders>
            <w:shd w:val="clear" w:color="auto" w:fill="auto"/>
            <w:vAlign w:val="bottom"/>
            <w:hideMark/>
          </w:tcPr>
          <w:p w14:paraId="193DCFB8"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Αριθμός κοινών έργων Ε&amp;Κ με φορείς άλλων χωρών (με ή χωρίς συντονισμό με την Ε.Ε)</w:t>
            </w:r>
          </w:p>
        </w:tc>
        <w:tc>
          <w:tcPr>
            <w:tcW w:w="295" w:type="pct"/>
            <w:tcBorders>
              <w:top w:val="nil"/>
              <w:left w:val="nil"/>
              <w:bottom w:val="single" w:sz="4" w:space="0" w:color="808080"/>
              <w:right w:val="single" w:sz="4" w:space="0" w:color="808080"/>
            </w:tcBorders>
            <w:shd w:val="clear" w:color="auto" w:fill="auto"/>
            <w:noWrap/>
            <w:vAlign w:val="center"/>
            <w:hideMark/>
          </w:tcPr>
          <w:p w14:paraId="73567E9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Αριθμός</w:t>
            </w:r>
          </w:p>
        </w:tc>
        <w:tc>
          <w:tcPr>
            <w:tcW w:w="212" w:type="pct"/>
            <w:tcBorders>
              <w:top w:val="nil"/>
              <w:left w:val="nil"/>
              <w:bottom w:val="single" w:sz="4" w:space="0" w:color="808080"/>
              <w:right w:val="single" w:sz="4" w:space="0" w:color="808080"/>
            </w:tcBorders>
            <w:shd w:val="clear" w:color="auto" w:fill="auto"/>
            <w:noWrap/>
            <w:vAlign w:val="center"/>
            <w:hideMark/>
          </w:tcPr>
          <w:p w14:paraId="5842476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1/1Σ</w:t>
            </w:r>
          </w:p>
        </w:tc>
        <w:tc>
          <w:tcPr>
            <w:tcW w:w="225" w:type="pct"/>
            <w:tcBorders>
              <w:top w:val="nil"/>
              <w:left w:val="nil"/>
              <w:bottom w:val="single" w:sz="4" w:space="0" w:color="808080"/>
              <w:right w:val="single" w:sz="4" w:space="0" w:color="808080"/>
            </w:tcBorders>
            <w:shd w:val="clear" w:color="auto" w:fill="auto"/>
            <w:noWrap/>
            <w:vAlign w:val="center"/>
            <w:hideMark/>
          </w:tcPr>
          <w:p w14:paraId="01BA4C9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1b</w:t>
            </w:r>
          </w:p>
        </w:tc>
        <w:tc>
          <w:tcPr>
            <w:tcW w:w="291" w:type="pct"/>
            <w:tcBorders>
              <w:top w:val="nil"/>
              <w:left w:val="nil"/>
              <w:bottom w:val="single" w:sz="4" w:space="0" w:color="808080"/>
              <w:right w:val="single" w:sz="4" w:space="0" w:color="808080"/>
            </w:tcBorders>
            <w:shd w:val="clear" w:color="auto" w:fill="auto"/>
            <w:noWrap/>
            <w:vAlign w:val="center"/>
            <w:hideMark/>
          </w:tcPr>
          <w:p w14:paraId="63199865"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292</w:t>
            </w:r>
          </w:p>
        </w:tc>
        <w:tc>
          <w:tcPr>
            <w:tcW w:w="275" w:type="pct"/>
            <w:tcBorders>
              <w:top w:val="nil"/>
              <w:left w:val="nil"/>
              <w:bottom w:val="single" w:sz="4" w:space="0" w:color="808080"/>
              <w:right w:val="single" w:sz="4" w:space="0" w:color="808080"/>
            </w:tcBorders>
            <w:shd w:val="clear" w:color="auto" w:fill="auto"/>
            <w:noWrap/>
            <w:vAlign w:val="center"/>
            <w:hideMark/>
          </w:tcPr>
          <w:p w14:paraId="67F83C7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121</w:t>
            </w:r>
          </w:p>
        </w:tc>
        <w:tc>
          <w:tcPr>
            <w:tcW w:w="267" w:type="pct"/>
            <w:tcBorders>
              <w:top w:val="nil"/>
              <w:left w:val="nil"/>
              <w:bottom w:val="single" w:sz="4" w:space="0" w:color="808080"/>
              <w:right w:val="single" w:sz="4" w:space="0" w:color="808080"/>
            </w:tcBorders>
            <w:shd w:val="clear" w:color="auto" w:fill="auto"/>
            <w:noWrap/>
            <w:vAlign w:val="center"/>
            <w:hideMark/>
          </w:tcPr>
          <w:p w14:paraId="3934E06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66</w:t>
            </w:r>
          </w:p>
        </w:tc>
        <w:tc>
          <w:tcPr>
            <w:tcW w:w="283" w:type="pct"/>
            <w:tcBorders>
              <w:top w:val="nil"/>
              <w:left w:val="nil"/>
              <w:bottom w:val="single" w:sz="4" w:space="0" w:color="808080"/>
              <w:right w:val="single" w:sz="4" w:space="0" w:color="808080"/>
            </w:tcBorders>
            <w:shd w:val="clear" w:color="auto" w:fill="auto"/>
            <w:noWrap/>
            <w:vAlign w:val="center"/>
            <w:hideMark/>
          </w:tcPr>
          <w:p w14:paraId="3C90845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105</w:t>
            </w:r>
          </w:p>
        </w:tc>
        <w:tc>
          <w:tcPr>
            <w:tcW w:w="220" w:type="pct"/>
            <w:tcBorders>
              <w:top w:val="nil"/>
              <w:left w:val="nil"/>
              <w:bottom w:val="single" w:sz="4" w:space="0" w:color="808080"/>
              <w:right w:val="single" w:sz="4" w:space="0" w:color="808080"/>
            </w:tcBorders>
            <w:shd w:val="clear" w:color="auto" w:fill="auto"/>
            <w:noWrap/>
            <w:vAlign w:val="center"/>
            <w:hideMark/>
          </w:tcPr>
          <w:p w14:paraId="0F32B430"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80</w:t>
            </w:r>
          </w:p>
        </w:tc>
        <w:tc>
          <w:tcPr>
            <w:tcW w:w="226" w:type="pct"/>
            <w:tcBorders>
              <w:top w:val="nil"/>
              <w:left w:val="nil"/>
              <w:bottom w:val="single" w:sz="4" w:space="0" w:color="808080"/>
              <w:right w:val="single" w:sz="4" w:space="0" w:color="808080"/>
            </w:tcBorders>
            <w:shd w:val="clear" w:color="auto" w:fill="auto"/>
            <w:noWrap/>
            <w:vAlign w:val="center"/>
            <w:hideMark/>
          </w:tcPr>
          <w:p w14:paraId="2737451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35,39</w:t>
            </w:r>
          </w:p>
        </w:tc>
        <w:tc>
          <w:tcPr>
            <w:tcW w:w="226" w:type="pct"/>
            <w:tcBorders>
              <w:top w:val="nil"/>
              <w:left w:val="nil"/>
              <w:bottom w:val="single" w:sz="4" w:space="0" w:color="808080"/>
              <w:right w:val="single" w:sz="4" w:space="0" w:color="808080"/>
            </w:tcBorders>
            <w:shd w:val="clear" w:color="auto" w:fill="auto"/>
            <w:noWrap/>
            <w:vAlign w:val="center"/>
            <w:hideMark/>
          </w:tcPr>
          <w:p w14:paraId="0E62714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18,11</w:t>
            </w:r>
          </w:p>
        </w:tc>
        <w:tc>
          <w:tcPr>
            <w:tcW w:w="226" w:type="pct"/>
            <w:tcBorders>
              <w:top w:val="nil"/>
              <w:left w:val="nil"/>
              <w:bottom w:val="single" w:sz="4" w:space="0" w:color="808080"/>
              <w:right w:val="single" w:sz="4" w:space="0" w:color="808080"/>
            </w:tcBorders>
            <w:shd w:val="clear" w:color="auto" w:fill="auto"/>
            <w:noWrap/>
            <w:vAlign w:val="center"/>
            <w:hideMark/>
          </w:tcPr>
          <w:p w14:paraId="71A0762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26,5</w:t>
            </w:r>
          </w:p>
        </w:tc>
        <w:tc>
          <w:tcPr>
            <w:tcW w:w="306" w:type="pct"/>
            <w:tcBorders>
              <w:top w:val="nil"/>
              <w:left w:val="nil"/>
              <w:bottom w:val="single" w:sz="4" w:space="0" w:color="808080"/>
              <w:right w:val="single" w:sz="4" w:space="0" w:color="808080"/>
            </w:tcBorders>
            <w:shd w:val="clear" w:color="auto" w:fill="auto"/>
            <w:noWrap/>
            <w:vAlign w:val="center"/>
            <w:hideMark/>
          </w:tcPr>
          <w:p w14:paraId="33E27DD5"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27%</w:t>
            </w:r>
          </w:p>
        </w:tc>
        <w:tc>
          <w:tcPr>
            <w:tcW w:w="303" w:type="pct"/>
            <w:tcBorders>
              <w:top w:val="nil"/>
              <w:left w:val="nil"/>
              <w:bottom w:val="single" w:sz="4" w:space="0" w:color="808080"/>
              <w:right w:val="single" w:sz="4" w:space="0" w:color="808080"/>
            </w:tcBorders>
            <w:shd w:val="clear" w:color="auto" w:fill="auto"/>
            <w:noWrap/>
            <w:vAlign w:val="center"/>
            <w:hideMark/>
          </w:tcPr>
          <w:p w14:paraId="130213FF"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29%</w:t>
            </w:r>
          </w:p>
        </w:tc>
        <w:tc>
          <w:tcPr>
            <w:tcW w:w="350" w:type="pct"/>
            <w:tcBorders>
              <w:top w:val="nil"/>
              <w:left w:val="nil"/>
              <w:bottom w:val="single" w:sz="4" w:space="0" w:color="808080"/>
              <w:right w:val="single" w:sz="4" w:space="0" w:color="808080"/>
            </w:tcBorders>
            <w:shd w:val="clear" w:color="auto" w:fill="auto"/>
            <w:noWrap/>
            <w:vAlign w:val="center"/>
            <w:hideMark/>
          </w:tcPr>
          <w:p w14:paraId="51C5D94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27%</w:t>
            </w:r>
          </w:p>
        </w:tc>
        <w:tc>
          <w:tcPr>
            <w:tcW w:w="334" w:type="pct"/>
            <w:tcBorders>
              <w:top w:val="nil"/>
              <w:left w:val="nil"/>
              <w:bottom w:val="single" w:sz="4" w:space="0" w:color="808080"/>
              <w:right w:val="single" w:sz="8" w:space="0" w:color="808080"/>
            </w:tcBorders>
            <w:shd w:val="clear" w:color="auto" w:fill="auto"/>
            <w:noWrap/>
            <w:vAlign w:val="center"/>
            <w:hideMark/>
          </w:tcPr>
          <w:p w14:paraId="2E2D691D"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25%</w:t>
            </w:r>
          </w:p>
        </w:tc>
      </w:tr>
      <w:tr w:rsidR="00E75022" w:rsidRPr="00646DDA" w14:paraId="7863DADA" w14:textId="77777777" w:rsidTr="00E75022">
        <w:trPr>
          <w:trHeight w:val="540"/>
        </w:trPr>
        <w:tc>
          <w:tcPr>
            <w:tcW w:w="264" w:type="pct"/>
            <w:tcBorders>
              <w:top w:val="nil"/>
              <w:left w:val="single" w:sz="8" w:space="0" w:color="808080"/>
              <w:bottom w:val="single" w:sz="8" w:space="0" w:color="808080"/>
              <w:right w:val="single" w:sz="4" w:space="0" w:color="808080"/>
            </w:tcBorders>
            <w:shd w:val="clear" w:color="auto" w:fill="auto"/>
            <w:noWrap/>
            <w:vAlign w:val="center"/>
            <w:hideMark/>
          </w:tcPr>
          <w:p w14:paraId="18CE1F45"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T4225/SO033</w:t>
            </w:r>
          </w:p>
        </w:tc>
        <w:tc>
          <w:tcPr>
            <w:tcW w:w="696" w:type="pct"/>
            <w:tcBorders>
              <w:top w:val="nil"/>
              <w:left w:val="nil"/>
              <w:bottom w:val="single" w:sz="8" w:space="0" w:color="808080"/>
              <w:right w:val="single" w:sz="4" w:space="0" w:color="808080"/>
            </w:tcBorders>
            <w:shd w:val="clear" w:color="auto" w:fill="auto"/>
            <w:vAlign w:val="bottom"/>
            <w:hideMark/>
          </w:tcPr>
          <w:p w14:paraId="36926598" w14:textId="77777777" w:rsidR="00C723C0" w:rsidRPr="00646DDA" w:rsidRDefault="00C723C0" w:rsidP="00C723C0">
            <w:pPr>
              <w:spacing w:before="0" w:line="240" w:lineRule="auto"/>
              <w:jc w:val="left"/>
              <w:rPr>
                <w:rFonts w:eastAsia="Times New Roman"/>
                <w:color w:val="000000"/>
                <w:sz w:val="16"/>
                <w:szCs w:val="16"/>
                <w:lang w:eastAsia="el-GR"/>
              </w:rPr>
            </w:pPr>
            <w:r w:rsidRPr="00646DDA">
              <w:rPr>
                <w:rFonts w:eastAsia="Times New Roman"/>
                <w:color w:val="000000"/>
                <w:sz w:val="16"/>
                <w:szCs w:val="16"/>
                <w:lang w:eastAsia="el-GR"/>
              </w:rPr>
              <w:t>Ερευνητικές υποδομές που ενισχύονται</w:t>
            </w:r>
          </w:p>
        </w:tc>
        <w:tc>
          <w:tcPr>
            <w:tcW w:w="295" w:type="pct"/>
            <w:tcBorders>
              <w:top w:val="nil"/>
              <w:left w:val="nil"/>
              <w:bottom w:val="single" w:sz="8" w:space="0" w:color="808080"/>
              <w:right w:val="single" w:sz="4" w:space="0" w:color="808080"/>
            </w:tcBorders>
            <w:shd w:val="clear" w:color="auto" w:fill="auto"/>
            <w:noWrap/>
            <w:vAlign w:val="center"/>
            <w:hideMark/>
          </w:tcPr>
          <w:p w14:paraId="295055A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Αριθμός</w:t>
            </w:r>
          </w:p>
        </w:tc>
        <w:tc>
          <w:tcPr>
            <w:tcW w:w="212" w:type="pct"/>
            <w:tcBorders>
              <w:top w:val="nil"/>
              <w:left w:val="nil"/>
              <w:bottom w:val="single" w:sz="8" w:space="0" w:color="808080"/>
              <w:right w:val="single" w:sz="4" w:space="0" w:color="808080"/>
            </w:tcBorders>
            <w:shd w:val="clear" w:color="auto" w:fill="auto"/>
            <w:noWrap/>
            <w:vAlign w:val="center"/>
            <w:hideMark/>
          </w:tcPr>
          <w:p w14:paraId="09F2D4EB"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3/3Σ</w:t>
            </w:r>
          </w:p>
        </w:tc>
        <w:tc>
          <w:tcPr>
            <w:tcW w:w="225" w:type="pct"/>
            <w:tcBorders>
              <w:top w:val="nil"/>
              <w:left w:val="nil"/>
              <w:bottom w:val="single" w:sz="8" w:space="0" w:color="808080"/>
              <w:right w:val="single" w:sz="4" w:space="0" w:color="808080"/>
            </w:tcBorders>
            <w:shd w:val="clear" w:color="auto" w:fill="auto"/>
            <w:noWrap/>
            <w:vAlign w:val="center"/>
            <w:hideMark/>
          </w:tcPr>
          <w:p w14:paraId="43DEE86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1a</w:t>
            </w:r>
          </w:p>
        </w:tc>
        <w:tc>
          <w:tcPr>
            <w:tcW w:w="291" w:type="pct"/>
            <w:tcBorders>
              <w:top w:val="nil"/>
              <w:left w:val="nil"/>
              <w:bottom w:val="single" w:sz="8" w:space="0" w:color="808080"/>
              <w:right w:val="single" w:sz="4" w:space="0" w:color="808080"/>
            </w:tcBorders>
            <w:shd w:val="clear" w:color="auto" w:fill="auto"/>
            <w:noWrap/>
            <w:vAlign w:val="center"/>
            <w:hideMark/>
          </w:tcPr>
          <w:p w14:paraId="598697A0" w14:textId="77777777" w:rsidR="00C723C0" w:rsidRPr="00646DDA" w:rsidRDefault="00C723C0" w:rsidP="00C723C0">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28</w:t>
            </w:r>
          </w:p>
        </w:tc>
        <w:tc>
          <w:tcPr>
            <w:tcW w:w="275" w:type="pct"/>
            <w:tcBorders>
              <w:top w:val="nil"/>
              <w:left w:val="nil"/>
              <w:bottom w:val="single" w:sz="8" w:space="0" w:color="808080"/>
              <w:right w:val="single" w:sz="4" w:space="0" w:color="808080"/>
            </w:tcBorders>
            <w:shd w:val="clear" w:color="auto" w:fill="auto"/>
            <w:noWrap/>
            <w:vAlign w:val="center"/>
            <w:hideMark/>
          </w:tcPr>
          <w:p w14:paraId="1B73B7A9"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8</w:t>
            </w:r>
          </w:p>
        </w:tc>
        <w:tc>
          <w:tcPr>
            <w:tcW w:w="267" w:type="pct"/>
            <w:tcBorders>
              <w:top w:val="nil"/>
              <w:left w:val="nil"/>
              <w:bottom w:val="single" w:sz="8" w:space="0" w:color="808080"/>
              <w:right w:val="single" w:sz="4" w:space="0" w:color="808080"/>
            </w:tcBorders>
            <w:shd w:val="clear" w:color="auto" w:fill="auto"/>
            <w:noWrap/>
            <w:vAlign w:val="center"/>
            <w:hideMark/>
          </w:tcPr>
          <w:p w14:paraId="41597C67"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6</w:t>
            </w:r>
          </w:p>
        </w:tc>
        <w:tc>
          <w:tcPr>
            <w:tcW w:w="283" w:type="pct"/>
            <w:tcBorders>
              <w:top w:val="nil"/>
              <w:left w:val="nil"/>
              <w:bottom w:val="single" w:sz="8" w:space="0" w:color="808080"/>
              <w:right w:val="single" w:sz="4" w:space="0" w:color="808080"/>
            </w:tcBorders>
            <w:shd w:val="clear" w:color="auto" w:fill="auto"/>
            <w:noWrap/>
            <w:vAlign w:val="center"/>
            <w:hideMark/>
          </w:tcPr>
          <w:p w14:paraId="21064320"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14</w:t>
            </w:r>
          </w:p>
        </w:tc>
        <w:tc>
          <w:tcPr>
            <w:tcW w:w="220" w:type="pct"/>
            <w:tcBorders>
              <w:top w:val="nil"/>
              <w:left w:val="nil"/>
              <w:bottom w:val="single" w:sz="8" w:space="0" w:color="808080"/>
              <w:right w:val="single" w:sz="4" w:space="0" w:color="808080"/>
            </w:tcBorders>
            <w:shd w:val="clear" w:color="auto" w:fill="auto"/>
            <w:noWrap/>
            <w:vAlign w:val="center"/>
            <w:hideMark/>
          </w:tcPr>
          <w:p w14:paraId="0849F5F3" w14:textId="77777777" w:rsidR="00C723C0" w:rsidRPr="00646DDA" w:rsidRDefault="00C723C0" w:rsidP="00C723C0">
            <w:pPr>
              <w:spacing w:before="0" w:line="240" w:lineRule="auto"/>
              <w:jc w:val="center"/>
              <w:rPr>
                <w:rFonts w:eastAsia="Times New Roman"/>
                <w:i/>
                <w:iCs/>
                <w:color w:val="000000"/>
                <w:sz w:val="16"/>
                <w:szCs w:val="16"/>
                <w:lang w:eastAsia="el-GR"/>
              </w:rPr>
            </w:pPr>
            <w:r w:rsidRPr="00646DDA">
              <w:rPr>
                <w:rFonts w:eastAsia="Times New Roman"/>
                <w:i/>
                <w:iCs/>
                <w:color w:val="000000"/>
                <w:sz w:val="16"/>
                <w:szCs w:val="16"/>
                <w:lang w:eastAsia="el-GR"/>
              </w:rPr>
              <w:t>27,89</w:t>
            </w:r>
          </w:p>
        </w:tc>
        <w:tc>
          <w:tcPr>
            <w:tcW w:w="226" w:type="pct"/>
            <w:tcBorders>
              <w:top w:val="nil"/>
              <w:left w:val="nil"/>
              <w:bottom w:val="single" w:sz="8" w:space="0" w:color="808080"/>
              <w:right w:val="single" w:sz="4" w:space="0" w:color="808080"/>
            </w:tcBorders>
            <w:shd w:val="clear" w:color="auto" w:fill="auto"/>
            <w:noWrap/>
            <w:vAlign w:val="center"/>
            <w:hideMark/>
          </w:tcPr>
          <w:p w14:paraId="186D1E2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8,25</w:t>
            </w:r>
          </w:p>
        </w:tc>
        <w:tc>
          <w:tcPr>
            <w:tcW w:w="226" w:type="pct"/>
            <w:tcBorders>
              <w:top w:val="nil"/>
              <w:left w:val="nil"/>
              <w:bottom w:val="single" w:sz="8" w:space="0" w:color="808080"/>
              <w:right w:val="single" w:sz="4" w:space="0" w:color="808080"/>
            </w:tcBorders>
            <w:shd w:val="clear" w:color="auto" w:fill="auto"/>
            <w:noWrap/>
            <w:vAlign w:val="center"/>
            <w:hideMark/>
          </w:tcPr>
          <w:p w14:paraId="2D2AA4D2"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4,14</w:t>
            </w:r>
          </w:p>
        </w:tc>
        <w:tc>
          <w:tcPr>
            <w:tcW w:w="226" w:type="pct"/>
            <w:tcBorders>
              <w:top w:val="nil"/>
              <w:left w:val="nil"/>
              <w:bottom w:val="single" w:sz="8" w:space="0" w:color="808080"/>
              <w:right w:val="single" w:sz="4" w:space="0" w:color="808080"/>
            </w:tcBorders>
            <w:shd w:val="clear" w:color="auto" w:fill="auto"/>
            <w:noWrap/>
            <w:vAlign w:val="center"/>
            <w:hideMark/>
          </w:tcPr>
          <w:p w14:paraId="5801E048"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15,5</w:t>
            </w:r>
          </w:p>
        </w:tc>
        <w:tc>
          <w:tcPr>
            <w:tcW w:w="306" w:type="pct"/>
            <w:tcBorders>
              <w:top w:val="nil"/>
              <w:left w:val="nil"/>
              <w:bottom w:val="single" w:sz="8" w:space="0" w:color="808080"/>
              <w:right w:val="single" w:sz="4" w:space="0" w:color="808080"/>
            </w:tcBorders>
            <w:shd w:val="clear" w:color="auto" w:fill="auto"/>
            <w:noWrap/>
            <w:vAlign w:val="center"/>
            <w:hideMark/>
          </w:tcPr>
          <w:p w14:paraId="5B061BBF" w14:textId="77777777" w:rsidR="00C723C0" w:rsidRPr="00646DDA" w:rsidRDefault="00C723C0" w:rsidP="00C723C0">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100%</w:t>
            </w:r>
          </w:p>
        </w:tc>
        <w:tc>
          <w:tcPr>
            <w:tcW w:w="303" w:type="pct"/>
            <w:tcBorders>
              <w:top w:val="nil"/>
              <w:left w:val="nil"/>
              <w:bottom w:val="single" w:sz="8" w:space="0" w:color="808080"/>
              <w:right w:val="single" w:sz="4" w:space="0" w:color="808080"/>
            </w:tcBorders>
            <w:shd w:val="clear" w:color="auto" w:fill="auto"/>
            <w:noWrap/>
            <w:vAlign w:val="center"/>
            <w:hideMark/>
          </w:tcPr>
          <w:p w14:paraId="14635651"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103%</w:t>
            </w:r>
          </w:p>
        </w:tc>
        <w:tc>
          <w:tcPr>
            <w:tcW w:w="350" w:type="pct"/>
            <w:tcBorders>
              <w:top w:val="nil"/>
              <w:left w:val="nil"/>
              <w:bottom w:val="single" w:sz="8" w:space="0" w:color="808080"/>
              <w:right w:val="single" w:sz="4" w:space="0" w:color="808080"/>
            </w:tcBorders>
            <w:shd w:val="clear" w:color="auto" w:fill="auto"/>
            <w:noWrap/>
            <w:vAlign w:val="center"/>
            <w:hideMark/>
          </w:tcPr>
          <w:p w14:paraId="41F3126E"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69%</w:t>
            </w:r>
          </w:p>
        </w:tc>
        <w:tc>
          <w:tcPr>
            <w:tcW w:w="334" w:type="pct"/>
            <w:tcBorders>
              <w:top w:val="nil"/>
              <w:left w:val="nil"/>
              <w:bottom w:val="single" w:sz="8" w:space="0" w:color="808080"/>
              <w:right w:val="single" w:sz="8" w:space="0" w:color="808080"/>
            </w:tcBorders>
            <w:shd w:val="clear" w:color="auto" w:fill="auto"/>
            <w:noWrap/>
            <w:vAlign w:val="center"/>
            <w:hideMark/>
          </w:tcPr>
          <w:p w14:paraId="2516D7DC" w14:textId="77777777" w:rsidR="00C723C0" w:rsidRPr="00646DDA" w:rsidRDefault="00C723C0" w:rsidP="00C723C0">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111%</w:t>
            </w:r>
          </w:p>
        </w:tc>
      </w:tr>
    </w:tbl>
    <w:p w14:paraId="29CFC56C" w14:textId="77777777" w:rsidR="00D90118" w:rsidRPr="00727101" w:rsidRDefault="00D90118" w:rsidP="00D90118"/>
    <w:p w14:paraId="22D58D30" w14:textId="77777777" w:rsidR="00D90118" w:rsidRDefault="00D90118" w:rsidP="00E75022">
      <w:r w:rsidRPr="0078181C">
        <w:rPr>
          <w:sz w:val="16"/>
          <w:szCs w:val="16"/>
        </w:rPr>
        <w:t>Πηγή στοιχείων εντάξεων έργων: ΓΓΕΤ και ΕΥΔΕ ΕΤΑΚ</w:t>
      </w:r>
    </w:p>
    <w:p w14:paraId="759632D1" w14:textId="77777777" w:rsidR="00D90118" w:rsidRPr="00C92C0A" w:rsidRDefault="00D90118" w:rsidP="00D90118">
      <w:pPr>
        <w:sectPr w:rsidR="00D90118" w:rsidRPr="00C92C0A" w:rsidSect="00E75022">
          <w:footerReference w:type="default" r:id="rId53"/>
          <w:pgSz w:w="23814" w:h="16839" w:orient="landscape" w:code="8"/>
          <w:pgMar w:top="1800" w:right="1440" w:bottom="1800" w:left="1440" w:header="708" w:footer="708" w:gutter="0"/>
          <w:cols w:space="708"/>
          <w:docGrid w:linePitch="360"/>
        </w:sectPr>
      </w:pPr>
    </w:p>
    <w:p w14:paraId="1E28679A" w14:textId="77777777" w:rsidR="00D90118" w:rsidRDefault="00D90118" w:rsidP="00D90118">
      <w:r>
        <w:lastRenderedPageBreak/>
        <w:t>Στον παραπάνω πίνακα εμπεριέχονται οι τιμές στόχων δεικτών εκροής που περιλαμβάνονται στις Επενδυτικές Προτεραιότητες 1</w:t>
      </w:r>
      <w:r w:rsidRPr="003B1358">
        <w:t>a</w:t>
      </w:r>
      <w:r w:rsidRPr="00214B5C">
        <w:t xml:space="preserve"> </w:t>
      </w:r>
      <w:r>
        <w:t>και 1</w:t>
      </w:r>
      <w:r w:rsidRPr="003B1358">
        <w:t>b</w:t>
      </w:r>
      <w:r>
        <w:t xml:space="preserve"> του ΕΠΑνΕΚ οι οποίες συγκρίνονται με τις αντίστοιχες τιμές στόχου των δεικτών που έχουν προκύψει αθροιστικά από τα ενταγμένα έργα των Προσκλήσεων των φορέων ΓΓΕΤ, ΕΥΔΕ ΕΤΑΚ και ΕΥΔ ΕΠΑνΕΚ που έχουν εκδοθεί μέχρι το τέλος του 2018.</w:t>
      </w:r>
    </w:p>
    <w:p w14:paraId="0F1B332C" w14:textId="77777777" w:rsidR="00D90118" w:rsidRDefault="00D90118" w:rsidP="00D90118">
      <w:r>
        <w:t xml:space="preserve">Βάσει των στοιχείων αυτών, διαπιστώνεται </w:t>
      </w:r>
      <w:r w:rsidRPr="00AD1927">
        <w:rPr>
          <w:b/>
        </w:rPr>
        <w:t>ήδη σημαντική υπερκάλυψη</w:t>
      </w:r>
      <w:r>
        <w:t xml:space="preserve"> των τιμών στόχων για την πλειοψηφία των δεικτών του προγράμματος. Αναλυτικότερα:</w:t>
      </w:r>
    </w:p>
    <w:p w14:paraId="2186E99D" w14:textId="77777777" w:rsidR="00D90118" w:rsidRDefault="00D90118" w:rsidP="00D22350">
      <w:pPr>
        <w:pStyle w:val="ListParagraph"/>
        <w:numPr>
          <w:ilvl w:val="0"/>
          <w:numId w:val="11"/>
        </w:numPr>
      </w:pPr>
      <w:r>
        <w:t xml:space="preserve">Η τιμή στόχος του δείκτη </w:t>
      </w:r>
      <w:r w:rsidRPr="00370AF1">
        <w:rPr>
          <w:b/>
          <w:lang w:val="en-US"/>
        </w:rPr>
        <w:t>CO</w:t>
      </w:r>
      <w:r w:rsidRPr="00370AF1">
        <w:rPr>
          <w:b/>
        </w:rPr>
        <w:t xml:space="preserve">01 </w:t>
      </w:r>
      <w:r>
        <w:t>παρουσιάζει κάλυψη σε επίπεδο ενταγμένων έργων της τάξης του 146%, ενώ στη κατηγορία των Λιγότερο Αναπτυγμένων Περιφερειών η κάλυψη φτάνει το 160%.</w:t>
      </w:r>
    </w:p>
    <w:p w14:paraId="4FBD0294" w14:textId="77777777" w:rsidR="00D90118" w:rsidRDefault="00D90118" w:rsidP="00D22350">
      <w:pPr>
        <w:pStyle w:val="ListParagraph"/>
        <w:numPr>
          <w:ilvl w:val="0"/>
          <w:numId w:val="11"/>
        </w:numPr>
      </w:pPr>
      <w:r>
        <w:t xml:space="preserve">Η τιμή στόχος του δείκτη </w:t>
      </w:r>
      <w:r w:rsidRPr="00AD1927">
        <w:rPr>
          <w:b/>
          <w:lang w:val="en-US"/>
        </w:rPr>
        <w:t>CO</w:t>
      </w:r>
      <w:r w:rsidRPr="00AD1927">
        <w:rPr>
          <w:b/>
        </w:rPr>
        <w:t>02</w:t>
      </w:r>
      <w:r w:rsidRPr="00AD1927">
        <w:t xml:space="preserve"> </w:t>
      </w:r>
      <w:r>
        <w:t>παρουσιάζει κάλυψη περίπου 160%, με το αντίστοιχο ποσοστό για τη κατηγορία των Λιγότερο Ανεπτυγμένων Περιφερειών να φτάνει το 170%.</w:t>
      </w:r>
    </w:p>
    <w:p w14:paraId="2118B9BD" w14:textId="77777777" w:rsidR="00D90118" w:rsidRDefault="00D90118" w:rsidP="00D22350">
      <w:pPr>
        <w:pStyle w:val="ListParagraph"/>
        <w:numPr>
          <w:ilvl w:val="0"/>
          <w:numId w:val="11"/>
        </w:numPr>
      </w:pPr>
      <w:r>
        <w:t xml:space="preserve">Όπως έχει αναφερθεί παραπάνω, ο δείκτης </w:t>
      </w:r>
      <w:r w:rsidRPr="00AD1927">
        <w:rPr>
          <w:b/>
          <w:lang w:val="en-US"/>
        </w:rPr>
        <w:t>CO</w:t>
      </w:r>
      <w:r>
        <w:rPr>
          <w:b/>
        </w:rPr>
        <w:t xml:space="preserve">03 </w:t>
      </w:r>
      <w:r>
        <w:t>δεν έχει ακόμα περιληφθεί σε Πρόσκληση ΕΠΑνΕΚ στο πλαίσιο του Θ.Σ 1.</w:t>
      </w:r>
    </w:p>
    <w:p w14:paraId="4C9A568F" w14:textId="77777777" w:rsidR="00D90118" w:rsidRDefault="00D90118" w:rsidP="00D22350">
      <w:pPr>
        <w:pStyle w:val="ListParagraph"/>
        <w:numPr>
          <w:ilvl w:val="0"/>
          <w:numId w:val="11"/>
        </w:numPr>
      </w:pPr>
      <w:r w:rsidRPr="00617D53">
        <w:t xml:space="preserve">Η τιμή στόχος του δείκτη </w:t>
      </w:r>
      <w:r w:rsidRPr="00370AF1">
        <w:rPr>
          <w:b/>
          <w:lang w:val="en-US"/>
        </w:rPr>
        <w:t>CO</w:t>
      </w:r>
      <w:r w:rsidRPr="00370AF1">
        <w:rPr>
          <w:b/>
        </w:rPr>
        <w:t>0</w:t>
      </w:r>
      <w:r>
        <w:rPr>
          <w:b/>
        </w:rPr>
        <w:t>5</w:t>
      </w:r>
      <w:r w:rsidRPr="00370AF1">
        <w:rPr>
          <w:b/>
        </w:rPr>
        <w:t xml:space="preserve"> </w:t>
      </w:r>
      <w:r>
        <w:t>παρουσιάζει κάλυψη της τάξης του 161%, ενώ στη κατηγορία των Περισσότερο Αναπτυγμένων Περιφερειών η κάλυψη φτάνει το 179%.</w:t>
      </w:r>
    </w:p>
    <w:p w14:paraId="57F7900D" w14:textId="77777777" w:rsidR="00D90118" w:rsidRDefault="00D90118" w:rsidP="00D22350">
      <w:pPr>
        <w:pStyle w:val="ListParagraph"/>
        <w:numPr>
          <w:ilvl w:val="0"/>
          <w:numId w:val="11"/>
        </w:numPr>
      </w:pPr>
      <w:r>
        <w:t xml:space="preserve">Ο δείκτης </w:t>
      </w:r>
      <w:r w:rsidRPr="00617D53">
        <w:rPr>
          <w:b/>
        </w:rPr>
        <w:t xml:space="preserve">CO07 </w:t>
      </w:r>
      <w:r w:rsidRPr="00617D53">
        <w:t>δεν έχει ακόμα περιληφθεί σε Πρόσκληση ΕΠΑνΕΚ στο πλαίσιο του Θ.Σ 1.</w:t>
      </w:r>
    </w:p>
    <w:p w14:paraId="4F5E3656" w14:textId="77777777" w:rsidR="00D90118" w:rsidRDefault="00D90118" w:rsidP="00D22350">
      <w:pPr>
        <w:pStyle w:val="ListParagraph"/>
        <w:numPr>
          <w:ilvl w:val="0"/>
          <w:numId w:val="11"/>
        </w:numPr>
      </w:pPr>
      <w:r w:rsidRPr="00617D53">
        <w:t xml:space="preserve">Η τιμή στόχος του δείκτη </w:t>
      </w:r>
      <w:r w:rsidRPr="00602235">
        <w:rPr>
          <w:b/>
          <w:lang w:val="en-US"/>
        </w:rPr>
        <w:t>CO</w:t>
      </w:r>
      <w:r w:rsidRPr="00602235">
        <w:rPr>
          <w:b/>
        </w:rPr>
        <w:t xml:space="preserve">24 </w:t>
      </w:r>
      <w:r>
        <w:t>παρουσιάζει κάλυψη της τάξης του 84%, ενώ στη κατηγορία των Περισσότερο Αναπτυγμένων Περιφερειών η κάλυψη φτάνει σχεδόν το 100%.</w:t>
      </w:r>
      <w:r w:rsidRPr="00602235">
        <w:t xml:space="preserve"> </w:t>
      </w:r>
    </w:p>
    <w:p w14:paraId="6C57657E" w14:textId="77777777" w:rsidR="00D90118" w:rsidRDefault="00D90118" w:rsidP="00D22350">
      <w:pPr>
        <w:pStyle w:val="ListParagraph"/>
        <w:numPr>
          <w:ilvl w:val="0"/>
          <w:numId w:val="11"/>
        </w:numPr>
      </w:pPr>
      <w:r w:rsidRPr="00617D53">
        <w:t xml:space="preserve">Η τιμή στόχος του δείκτη </w:t>
      </w:r>
      <w:r w:rsidRPr="00370AF1">
        <w:rPr>
          <w:b/>
          <w:lang w:val="en-US"/>
        </w:rPr>
        <w:t>CO</w:t>
      </w:r>
      <w:r>
        <w:rPr>
          <w:b/>
        </w:rPr>
        <w:t xml:space="preserve">25 </w:t>
      </w:r>
      <w:r>
        <w:t xml:space="preserve">παρουσιάζει κάλυψη της τάξης του 160%, ενώ στη κατηγορία των Περισσότερο Αναπτυγμένων Περιφερειών </w:t>
      </w:r>
      <w:r w:rsidR="002428B9">
        <w:t>,</w:t>
      </w:r>
      <w:r>
        <w:t>η κάλυψη φτάνει το 178%.</w:t>
      </w:r>
    </w:p>
    <w:p w14:paraId="6FDD9452" w14:textId="77777777" w:rsidR="00D90118" w:rsidRDefault="00D90118" w:rsidP="00D22350">
      <w:pPr>
        <w:pStyle w:val="ListParagraph"/>
        <w:numPr>
          <w:ilvl w:val="0"/>
          <w:numId w:val="11"/>
        </w:numPr>
      </w:pPr>
      <w:r w:rsidRPr="00617D53">
        <w:t xml:space="preserve">Η τιμή στόχος του δείκτη </w:t>
      </w:r>
      <w:r w:rsidRPr="00370AF1">
        <w:rPr>
          <w:b/>
          <w:lang w:val="en-US"/>
        </w:rPr>
        <w:t>CO</w:t>
      </w:r>
      <w:r>
        <w:rPr>
          <w:b/>
        </w:rPr>
        <w:t xml:space="preserve">26 </w:t>
      </w:r>
      <w:r>
        <w:t>παρουσιάζει κάλυψη της τάξης του 121%, ενώ στη κατηγορία των Περισσότερο Αναπτυγμένων Περιφερειών η κάλυψη φτάνει το 124%.</w:t>
      </w:r>
    </w:p>
    <w:p w14:paraId="2290103E" w14:textId="77777777" w:rsidR="00D90118" w:rsidRDefault="00D90118" w:rsidP="00D22350">
      <w:pPr>
        <w:pStyle w:val="ListParagraph"/>
        <w:numPr>
          <w:ilvl w:val="0"/>
          <w:numId w:val="11"/>
        </w:numPr>
      </w:pPr>
      <w:r>
        <w:t xml:space="preserve">Ο δείκτης </w:t>
      </w:r>
      <w:r w:rsidRPr="00617D53">
        <w:rPr>
          <w:b/>
        </w:rPr>
        <w:t>CO</w:t>
      </w:r>
      <w:r>
        <w:rPr>
          <w:b/>
        </w:rPr>
        <w:t>2</w:t>
      </w:r>
      <w:r w:rsidRPr="00617D53">
        <w:rPr>
          <w:b/>
        </w:rPr>
        <w:t xml:space="preserve">7 </w:t>
      </w:r>
      <w:r w:rsidRPr="00617D53">
        <w:t>δεν έχει ακόμα περιληφθεί σε Πρόσκληση ΕΠΑνΕΚ στο πλαίσιο του Θ.Σ 1.</w:t>
      </w:r>
    </w:p>
    <w:p w14:paraId="0BCBD725" w14:textId="77777777" w:rsidR="00D90118" w:rsidRDefault="00D90118" w:rsidP="00D22350">
      <w:pPr>
        <w:pStyle w:val="ListParagraph"/>
        <w:numPr>
          <w:ilvl w:val="0"/>
          <w:numId w:val="11"/>
        </w:numPr>
      </w:pPr>
      <w:r>
        <w:t xml:space="preserve">Αντίθετα με τους προηγούμενους, ο δείκτης </w:t>
      </w:r>
      <w:r w:rsidRPr="000D714E">
        <w:rPr>
          <w:b/>
        </w:rPr>
        <w:t>Τ4204</w:t>
      </w:r>
      <w:r>
        <w:t xml:space="preserve"> παρουσιάζει τιμή σε επίπεδο εντάξεων έργων που καλύπτει μόλις το 27% της τιμής του ίδιου δείκτη σε επίπεδο Προγράμματος.  </w:t>
      </w:r>
    </w:p>
    <w:p w14:paraId="260957E5" w14:textId="77777777" w:rsidR="00D90118" w:rsidRPr="00B321AF" w:rsidRDefault="00D90118" w:rsidP="00D22350">
      <w:pPr>
        <w:pStyle w:val="ListParagraph"/>
        <w:numPr>
          <w:ilvl w:val="0"/>
          <w:numId w:val="11"/>
        </w:numPr>
      </w:pPr>
      <w:r>
        <w:t>Τέλος, η</w:t>
      </w:r>
      <w:r w:rsidRPr="00B321AF">
        <w:t xml:space="preserve"> τιμή στόχος του δείκτη </w:t>
      </w:r>
      <w:r>
        <w:t xml:space="preserve">Τ4225/ </w:t>
      </w:r>
      <w:r>
        <w:rPr>
          <w:lang w:val="en-US"/>
        </w:rPr>
        <w:t>SO</w:t>
      </w:r>
      <w:r w:rsidRPr="00B321AF">
        <w:t>033 παρουσιάζει κάλυψη της τάξης του 100%, ενώ στη κατηγορία των Περισσότερο Αναπτυγμένων Περιφερειών η κάλυψη φτάνει το 111%.</w:t>
      </w:r>
    </w:p>
    <w:p w14:paraId="4F7DC189" w14:textId="77777777" w:rsidR="00D90118" w:rsidRDefault="00D90118" w:rsidP="00D90118">
      <w:pPr>
        <w:pStyle w:val="Heading1"/>
      </w:pPr>
      <w:bookmarkStart w:id="37" w:name="_Toc6503382"/>
      <w:bookmarkStart w:id="38" w:name="_Toc22645418"/>
      <w:r>
        <w:t>Δείκτες αποτελέσματος Στρατηγικής</w:t>
      </w:r>
      <w:bookmarkEnd w:id="37"/>
      <w:bookmarkEnd w:id="38"/>
    </w:p>
    <w:p w14:paraId="26767A57" w14:textId="77777777" w:rsidR="00D90118" w:rsidRPr="002C47EF" w:rsidRDefault="00D90118" w:rsidP="00D90118">
      <w:r>
        <w:t>Η πρόοδος των τιμών επίτευξης των δεικτών αποτελέσματος της Στρατηγικής εμφανίζεται στον ακόλουθο πίνακα</w:t>
      </w:r>
    </w:p>
    <w:p w14:paraId="2A401FB8" w14:textId="77777777" w:rsidR="00D90118" w:rsidRPr="005B3D3A" w:rsidRDefault="00804D5C" w:rsidP="00804D5C">
      <w:pPr>
        <w:pStyle w:val="Caption"/>
        <w:rPr>
          <w:szCs w:val="16"/>
        </w:rPr>
      </w:pPr>
      <w:r>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7</w:t>
      </w:r>
      <w:r w:rsidR="00833098">
        <w:rPr>
          <w:noProof/>
        </w:rPr>
        <w:fldChar w:fldCharType="end"/>
      </w:r>
      <w:r w:rsidR="009C23C4">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1</w:t>
      </w:r>
      <w:r w:rsidR="00833098">
        <w:rPr>
          <w:noProof/>
        </w:rPr>
        <w:fldChar w:fldCharType="end"/>
      </w:r>
      <w:r>
        <w:t xml:space="preserve"> </w:t>
      </w:r>
      <w:r w:rsidR="005B3D3A" w:rsidRPr="005B3D3A">
        <w:rPr>
          <w:szCs w:val="16"/>
        </w:rPr>
        <w:t>:</w:t>
      </w:r>
      <w:r>
        <w:rPr>
          <w:szCs w:val="16"/>
        </w:rPr>
        <w:t xml:space="preserve"> </w:t>
      </w:r>
      <w:r w:rsidR="00D90118" w:rsidRPr="005B3D3A">
        <w:rPr>
          <w:szCs w:val="16"/>
        </w:rPr>
        <w:t xml:space="preserve">Πρόοδος τιμών δεικτών αποτελέσματος </w:t>
      </w:r>
      <w:r w:rsidR="00D90118" w:rsidRPr="005B3D3A">
        <w:rPr>
          <w:szCs w:val="16"/>
          <w:lang w:val="en-US"/>
        </w:rPr>
        <w:t>RIS</w:t>
      </w:r>
      <w:r w:rsidR="00D90118" w:rsidRPr="005B3D3A">
        <w:rPr>
          <w:szCs w:val="16"/>
        </w:rPr>
        <w:t>3 2014-2018</w:t>
      </w:r>
    </w:p>
    <w:tbl>
      <w:tblPr>
        <w:tblStyle w:val="TableGrid"/>
        <w:tblW w:w="9498"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187"/>
        <w:gridCol w:w="1397"/>
        <w:gridCol w:w="1161"/>
        <w:gridCol w:w="1161"/>
        <w:gridCol w:w="1161"/>
        <w:gridCol w:w="1161"/>
        <w:gridCol w:w="1270"/>
      </w:tblGrid>
      <w:tr w:rsidR="00D90118" w:rsidRPr="006F6E22" w14:paraId="45E92310" w14:textId="77777777" w:rsidTr="005476F0">
        <w:trPr>
          <w:tblHeader/>
          <w:jc w:val="center"/>
        </w:trPr>
        <w:tc>
          <w:tcPr>
            <w:tcW w:w="2187" w:type="dxa"/>
            <w:shd w:val="clear" w:color="auto" w:fill="800000"/>
            <w:vAlign w:val="center"/>
            <w:hideMark/>
          </w:tcPr>
          <w:p w14:paraId="790D8D96" w14:textId="77777777" w:rsidR="00D90118" w:rsidRPr="006F6E22" w:rsidRDefault="00D90118" w:rsidP="005476F0">
            <w:pPr>
              <w:spacing w:before="100" w:beforeAutospacing="1" w:after="100" w:afterAutospacing="1" w:line="240" w:lineRule="auto"/>
              <w:jc w:val="center"/>
              <w:rPr>
                <w:rFonts w:eastAsiaTheme="minorHAnsi"/>
                <w:color w:val="FFFFFF" w:themeColor="background1"/>
                <w:sz w:val="16"/>
                <w:szCs w:val="16"/>
              </w:rPr>
            </w:pPr>
            <w:r w:rsidRPr="006F6E22">
              <w:rPr>
                <w:b/>
                <w:bCs/>
                <w:color w:val="FFFFFF" w:themeColor="background1"/>
                <w:sz w:val="16"/>
                <w:szCs w:val="16"/>
              </w:rPr>
              <w:t>Ονομασία δείκτη</w:t>
            </w:r>
          </w:p>
        </w:tc>
        <w:tc>
          <w:tcPr>
            <w:tcW w:w="1397" w:type="dxa"/>
            <w:shd w:val="clear" w:color="auto" w:fill="800000"/>
            <w:vAlign w:val="center"/>
            <w:hideMark/>
          </w:tcPr>
          <w:p w14:paraId="17FDB918"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Μονάδα μέτρησης δείκτη</w:t>
            </w:r>
          </w:p>
        </w:tc>
        <w:tc>
          <w:tcPr>
            <w:tcW w:w="1161" w:type="dxa"/>
            <w:shd w:val="clear" w:color="auto" w:fill="800000"/>
            <w:vAlign w:val="center"/>
            <w:hideMark/>
          </w:tcPr>
          <w:p w14:paraId="7BB27C19"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2014</w:t>
            </w:r>
          </w:p>
        </w:tc>
        <w:tc>
          <w:tcPr>
            <w:tcW w:w="1161" w:type="dxa"/>
            <w:shd w:val="clear" w:color="auto" w:fill="800000"/>
            <w:vAlign w:val="center"/>
            <w:hideMark/>
          </w:tcPr>
          <w:p w14:paraId="094FB5A2"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2015</w:t>
            </w:r>
          </w:p>
        </w:tc>
        <w:tc>
          <w:tcPr>
            <w:tcW w:w="1161" w:type="dxa"/>
            <w:shd w:val="clear" w:color="auto" w:fill="800000"/>
            <w:vAlign w:val="center"/>
            <w:hideMark/>
          </w:tcPr>
          <w:p w14:paraId="51F7C6B7"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2016</w:t>
            </w:r>
          </w:p>
        </w:tc>
        <w:tc>
          <w:tcPr>
            <w:tcW w:w="1161" w:type="dxa"/>
            <w:shd w:val="clear" w:color="auto" w:fill="800000"/>
            <w:vAlign w:val="center"/>
            <w:hideMark/>
          </w:tcPr>
          <w:p w14:paraId="298F4388"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2017</w:t>
            </w:r>
          </w:p>
        </w:tc>
        <w:tc>
          <w:tcPr>
            <w:tcW w:w="1270" w:type="dxa"/>
            <w:shd w:val="clear" w:color="auto" w:fill="800000"/>
            <w:vAlign w:val="center"/>
            <w:hideMark/>
          </w:tcPr>
          <w:p w14:paraId="781E8534" w14:textId="77777777" w:rsidR="00D90118" w:rsidRPr="006F6E22" w:rsidRDefault="00D90118" w:rsidP="00D21C6A">
            <w:pPr>
              <w:spacing w:before="100" w:beforeAutospacing="1" w:after="100" w:afterAutospacing="1" w:line="240" w:lineRule="auto"/>
              <w:jc w:val="center"/>
              <w:rPr>
                <w:color w:val="FFFFFF" w:themeColor="background1"/>
                <w:sz w:val="16"/>
                <w:szCs w:val="16"/>
              </w:rPr>
            </w:pPr>
            <w:r w:rsidRPr="006F6E22">
              <w:rPr>
                <w:b/>
                <w:bCs/>
                <w:color w:val="FFFFFF" w:themeColor="background1"/>
                <w:sz w:val="16"/>
                <w:szCs w:val="16"/>
              </w:rPr>
              <w:t>2018</w:t>
            </w:r>
          </w:p>
        </w:tc>
      </w:tr>
      <w:tr w:rsidR="00D90118" w:rsidRPr="007F5988" w14:paraId="1B712AB8" w14:textId="77777777" w:rsidTr="005476F0">
        <w:trPr>
          <w:trHeight w:val="1366"/>
          <w:jc w:val="center"/>
        </w:trPr>
        <w:tc>
          <w:tcPr>
            <w:tcW w:w="2187" w:type="dxa"/>
            <w:vAlign w:val="center"/>
            <w:hideMark/>
          </w:tcPr>
          <w:p w14:paraId="1BF2EA5E" w14:textId="77777777" w:rsidR="00D90118" w:rsidRPr="006F6E22" w:rsidRDefault="00D90118" w:rsidP="00D21C6A">
            <w:pPr>
              <w:spacing w:before="100" w:beforeAutospacing="1" w:after="100" w:afterAutospacing="1" w:line="240" w:lineRule="auto"/>
              <w:rPr>
                <w:rFonts w:eastAsia="Times New Roman"/>
                <w:sz w:val="16"/>
                <w:szCs w:val="16"/>
              </w:rPr>
            </w:pPr>
            <w:r w:rsidRPr="006F6E22">
              <w:rPr>
                <w:rFonts w:eastAsia="Times New Roman"/>
                <w:sz w:val="16"/>
                <w:szCs w:val="16"/>
              </w:rPr>
              <w:t>Δαπάνες για καινοτομικές δραστηριότητες των επιχειρήσεων με καινοτομία προϊόντος ή/και διαδικασία (ως ποσοστό του ΑΕΠ) (</w:t>
            </w:r>
            <w:r>
              <w:rPr>
                <w:rFonts w:eastAsia="Times New Roman"/>
                <w:sz w:val="16"/>
                <w:szCs w:val="16"/>
              </w:rPr>
              <w:t>1</w:t>
            </w:r>
            <w:r w:rsidRPr="006F6E22">
              <w:rPr>
                <w:rFonts w:eastAsia="Times New Roman"/>
                <w:sz w:val="16"/>
                <w:szCs w:val="16"/>
              </w:rPr>
              <w:t xml:space="preserve">) </w:t>
            </w:r>
          </w:p>
        </w:tc>
        <w:tc>
          <w:tcPr>
            <w:tcW w:w="1397" w:type="dxa"/>
            <w:vAlign w:val="center"/>
            <w:hideMark/>
          </w:tcPr>
          <w:p w14:paraId="5115CB8C"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sz w:val="16"/>
                <w:szCs w:val="16"/>
              </w:rPr>
              <w:t>Ποσοστό</w:t>
            </w:r>
          </w:p>
        </w:tc>
        <w:tc>
          <w:tcPr>
            <w:tcW w:w="1161" w:type="dxa"/>
            <w:vAlign w:val="center"/>
            <w:hideMark/>
          </w:tcPr>
          <w:p w14:paraId="4C2EAAED" w14:textId="77777777" w:rsidR="00D90118" w:rsidRPr="006F6E22" w:rsidRDefault="00D90118" w:rsidP="00D21C6A">
            <w:pPr>
              <w:spacing w:before="100" w:beforeAutospacing="1" w:after="100" w:afterAutospacing="1" w:line="240" w:lineRule="auto"/>
              <w:jc w:val="center"/>
              <w:rPr>
                <w:rFonts w:eastAsia="Times New Roman"/>
                <w:b/>
                <w:bCs/>
                <w:sz w:val="16"/>
                <w:szCs w:val="16"/>
                <w:lang w:val="en-US"/>
              </w:rPr>
            </w:pPr>
            <w:r w:rsidRPr="006F6E22">
              <w:rPr>
                <w:rFonts w:eastAsia="Times New Roman"/>
                <w:b/>
                <w:bCs/>
                <w:sz w:val="16"/>
                <w:szCs w:val="16"/>
                <w:lang w:val="en-US"/>
              </w:rPr>
              <w:t>0,90%</w:t>
            </w:r>
          </w:p>
        </w:tc>
        <w:tc>
          <w:tcPr>
            <w:tcW w:w="1161" w:type="dxa"/>
            <w:vAlign w:val="center"/>
            <w:hideMark/>
          </w:tcPr>
          <w:p w14:paraId="3560239C"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w:t>
            </w:r>
          </w:p>
        </w:tc>
        <w:tc>
          <w:tcPr>
            <w:tcW w:w="1161" w:type="dxa"/>
            <w:vAlign w:val="center"/>
            <w:hideMark/>
          </w:tcPr>
          <w:p w14:paraId="4442E586"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1</w:t>
            </w:r>
            <w:r w:rsidRPr="006F6E22">
              <w:rPr>
                <w:rFonts w:eastAsia="Times New Roman"/>
                <w:b/>
                <w:bCs/>
                <w:sz w:val="16"/>
                <w:szCs w:val="16"/>
                <w:lang w:val="en-US"/>
              </w:rPr>
              <w:t>,18</w:t>
            </w:r>
            <w:r w:rsidRPr="006F6E22">
              <w:rPr>
                <w:rFonts w:eastAsia="Times New Roman"/>
                <w:b/>
                <w:bCs/>
                <w:sz w:val="16"/>
                <w:szCs w:val="16"/>
              </w:rPr>
              <w:t>%</w:t>
            </w:r>
          </w:p>
        </w:tc>
        <w:tc>
          <w:tcPr>
            <w:tcW w:w="1161" w:type="dxa"/>
            <w:vAlign w:val="center"/>
            <w:hideMark/>
          </w:tcPr>
          <w:p w14:paraId="556C14F4"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w:t>
            </w:r>
          </w:p>
        </w:tc>
        <w:tc>
          <w:tcPr>
            <w:tcW w:w="1270" w:type="dxa"/>
            <w:vAlign w:val="center"/>
            <w:hideMark/>
          </w:tcPr>
          <w:p w14:paraId="2E6CB539" w14:textId="77777777" w:rsidR="00D90118" w:rsidRPr="006F6E22" w:rsidRDefault="00D90118" w:rsidP="00D21C6A">
            <w:pPr>
              <w:spacing w:before="100" w:beforeAutospacing="1" w:after="100" w:afterAutospacing="1" w:line="240" w:lineRule="auto"/>
              <w:jc w:val="center"/>
              <w:rPr>
                <w:rFonts w:eastAsia="Times New Roman"/>
                <w:bCs/>
                <w:sz w:val="16"/>
                <w:szCs w:val="16"/>
              </w:rPr>
            </w:pPr>
            <w:r>
              <w:rPr>
                <w:rFonts w:eastAsia="Times New Roman"/>
                <w:bCs/>
                <w:sz w:val="16"/>
                <w:szCs w:val="16"/>
              </w:rPr>
              <w:t>(2)</w:t>
            </w:r>
          </w:p>
        </w:tc>
      </w:tr>
      <w:tr w:rsidR="00D90118" w:rsidRPr="007F5988" w14:paraId="28E0BB49" w14:textId="77777777" w:rsidTr="005476F0">
        <w:trPr>
          <w:trHeight w:val="240"/>
          <w:jc w:val="center"/>
        </w:trPr>
        <w:tc>
          <w:tcPr>
            <w:tcW w:w="2187" w:type="dxa"/>
            <w:vAlign w:val="center"/>
            <w:hideMark/>
          </w:tcPr>
          <w:p w14:paraId="5F80949B" w14:textId="77777777" w:rsidR="00D90118" w:rsidRPr="006F6E22" w:rsidRDefault="00D90118" w:rsidP="00D21C6A">
            <w:pPr>
              <w:spacing w:before="100" w:beforeAutospacing="1" w:after="100" w:afterAutospacing="1" w:line="240" w:lineRule="auto"/>
              <w:rPr>
                <w:rFonts w:eastAsia="Times New Roman"/>
                <w:sz w:val="16"/>
                <w:szCs w:val="16"/>
              </w:rPr>
            </w:pPr>
            <w:r w:rsidRPr="005B3D3A">
              <w:rPr>
                <w:rFonts w:eastAsia="Times New Roman"/>
                <w:sz w:val="16"/>
                <w:szCs w:val="16"/>
              </w:rPr>
              <w:t>Ένταση Δαπανών Έρευνας &amp; Ανάπτυξης</w:t>
            </w:r>
          </w:p>
        </w:tc>
        <w:tc>
          <w:tcPr>
            <w:tcW w:w="1397" w:type="dxa"/>
            <w:vAlign w:val="center"/>
            <w:hideMark/>
          </w:tcPr>
          <w:p w14:paraId="62D1EE40"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sz w:val="16"/>
                <w:szCs w:val="16"/>
              </w:rPr>
              <w:t>Ποσοστό</w:t>
            </w:r>
          </w:p>
        </w:tc>
        <w:tc>
          <w:tcPr>
            <w:tcW w:w="1161" w:type="dxa"/>
            <w:vAlign w:val="center"/>
            <w:hideMark/>
          </w:tcPr>
          <w:p w14:paraId="2AADF554"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b/>
                <w:bCs/>
                <w:sz w:val="16"/>
                <w:szCs w:val="16"/>
              </w:rPr>
              <w:t>0,83%</w:t>
            </w:r>
          </w:p>
        </w:tc>
        <w:tc>
          <w:tcPr>
            <w:tcW w:w="1161" w:type="dxa"/>
            <w:vAlign w:val="center"/>
            <w:hideMark/>
          </w:tcPr>
          <w:p w14:paraId="6EA95674"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b/>
                <w:bCs/>
                <w:sz w:val="16"/>
                <w:szCs w:val="16"/>
              </w:rPr>
              <w:t>0,97%</w:t>
            </w:r>
          </w:p>
        </w:tc>
        <w:tc>
          <w:tcPr>
            <w:tcW w:w="1161" w:type="dxa"/>
            <w:vAlign w:val="center"/>
            <w:hideMark/>
          </w:tcPr>
          <w:p w14:paraId="71669028"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b/>
                <w:bCs/>
                <w:sz w:val="16"/>
                <w:szCs w:val="16"/>
              </w:rPr>
              <w:t>1,01%</w:t>
            </w:r>
          </w:p>
        </w:tc>
        <w:tc>
          <w:tcPr>
            <w:tcW w:w="1161" w:type="dxa"/>
            <w:vAlign w:val="center"/>
          </w:tcPr>
          <w:p w14:paraId="06B53DA7"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1,13%</w:t>
            </w:r>
            <w:r>
              <w:rPr>
                <w:rFonts w:eastAsia="Times New Roman"/>
                <w:b/>
                <w:bCs/>
                <w:sz w:val="16"/>
                <w:szCs w:val="16"/>
              </w:rPr>
              <w:t xml:space="preserve"> </w:t>
            </w:r>
            <w:r w:rsidRPr="006F6E22">
              <w:rPr>
                <w:rFonts w:eastAsia="Times New Roman"/>
                <w:sz w:val="16"/>
                <w:szCs w:val="16"/>
              </w:rPr>
              <w:t>(</w:t>
            </w:r>
            <w:r>
              <w:rPr>
                <w:rFonts w:eastAsia="Times New Roman"/>
                <w:sz w:val="16"/>
                <w:szCs w:val="16"/>
              </w:rPr>
              <w:t>3</w:t>
            </w:r>
            <w:r w:rsidRPr="006F6E22">
              <w:rPr>
                <w:rFonts w:eastAsia="Times New Roman"/>
                <w:sz w:val="16"/>
                <w:szCs w:val="16"/>
              </w:rPr>
              <w:t>)</w:t>
            </w:r>
          </w:p>
        </w:tc>
        <w:tc>
          <w:tcPr>
            <w:tcW w:w="1270" w:type="dxa"/>
            <w:vAlign w:val="center"/>
            <w:hideMark/>
          </w:tcPr>
          <w:p w14:paraId="720AF187" w14:textId="77777777" w:rsidR="00D90118" w:rsidRPr="006F6E22" w:rsidRDefault="00D90118" w:rsidP="00D21C6A">
            <w:pPr>
              <w:spacing w:before="100" w:beforeAutospacing="1" w:after="100" w:afterAutospacing="1" w:line="240" w:lineRule="auto"/>
              <w:jc w:val="center"/>
              <w:rPr>
                <w:rFonts w:eastAsia="Times New Roman"/>
                <w:bCs/>
                <w:sz w:val="16"/>
                <w:szCs w:val="16"/>
              </w:rPr>
            </w:pPr>
            <w:r>
              <w:rPr>
                <w:rFonts w:eastAsia="Times New Roman"/>
                <w:bCs/>
                <w:sz w:val="16"/>
                <w:szCs w:val="16"/>
              </w:rPr>
              <w:t>(4)</w:t>
            </w:r>
          </w:p>
        </w:tc>
      </w:tr>
      <w:tr w:rsidR="00D90118" w:rsidRPr="007F5988" w14:paraId="313DD93E" w14:textId="77777777" w:rsidTr="005476F0">
        <w:trPr>
          <w:trHeight w:val="240"/>
          <w:jc w:val="center"/>
        </w:trPr>
        <w:tc>
          <w:tcPr>
            <w:tcW w:w="2187" w:type="dxa"/>
            <w:vAlign w:val="center"/>
            <w:hideMark/>
          </w:tcPr>
          <w:p w14:paraId="507DA115" w14:textId="77777777" w:rsidR="00D90118" w:rsidRPr="006F6E22" w:rsidRDefault="00D90118" w:rsidP="00D21C6A">
            <w:pPr>
              <w:spacing w:before="100" w:beforeAutospacing="1" w:after="100" w:afterAutospacing="1" w:line="240" w:lineRule="auto"/>
              <w:rPr>
                <w:rFonts w:eastAsia="Times New Roman"/>
                <w:sz w:val="16"/>
                <w:szCs w:val="16"/>
              </w:rPr>
            </w:pPr>
            <w:r w:rsidRPr="006F6E22">
              <w:rPr>
                <w:rFonts w:eastAsia="Times New Roman"/>
                <w:sz w:val="16"/>
                <w:szCs w:val="16"/>
              </w:rPr>
              <w:t>Επιστημονικές δ</w:t>
            </w:r>
            <w:r>
              <w:rPr>
                <w:rFonts w:eastAsia="Times New Roman"/>
                <w:sz w:val="16"/>
                <w:szCs w:val="16"/>
              </w:rPr>
              <w:t>ημοσιεύσεις σε διεθνή περιοδικά</w:t>
            </w:r>
          </w:p>
        </w:tc>
        <w:tc>
          <w:tcPr>
            <w:tcW w:w="1397" w:type="dxa"/>
            <w:vAlign w:val="center"/>
            <w:hideMark/>
          </w:tcPr>
          <w:p w14:paraId="7E9979FE" w14:textId="77777777" w:rsidR="00D90118" w:rsidRPr="006F6E22" w:rsidRDefault="00D90118" w:rsidP="00D21C6A">
            <w:pPr>
              <w:spacing w:before="100" w:beforeAutospacing="1" w:after="100" w:afterAutospacing="1" w:line="240" w:lineRule="auto"/>
              <w:jc w:val="center"/>
              <w:rPr>
                <w:rFonts w:eastAsia="Times New Roman"/>
                <w:sz w:val="16"/>
                <w:szCs w:val="16"/>
              </w:rPr>
            </w:pPr>
            <w:r w:rsidRPr="006F6E22">
              <w:rPr>
                <w:rFonts w:eastAsia="Times New Roman"/>
                <w:sz w:val="16"/>
                <w:szCs w:val="16"/>
              </w:rPr>
              <w:t>Δημοσιεύσεις</w:t>
            </w:r>
          </w:p>
        </w:tc>
        <w:tc>
          <w:tcPr>
            <w:tcW w:w="1161" w:type="dxa"/>
            <w:vAlign w:val="center"/>
            <w:hideMark/>
          </w:tcPr>
          <w:p w14:paraId="60E9FD88"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10.897</w:t>
            </w:r>
          </w:p>
        </w:tc>
        <w:tc>
          <w:tcPr>
            <w:tcW w:w="1161" w:type="dxa"/>
            <w:vAlign w:val="center"/>
            <w:hideMark/>
          </w:tcPr>
          <w:p w14:paraId="0BB038C7"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10.814</w:t>
            </w:r>
          </w:p>
        </w:tc>
        <w:tc>
          <w:tcPr>
            <w:tcW w:w="1161" w:type="dxa"/>
            <w:vAlign w:val="center"/>
            <w:hideMark/>
          </w:tcPr>
          <w:p w14:paraId="027EF321" w14:textId="77777777" w:rsidR="00D90118" w:rsidRPr="006F6E22" w:rsidRDefault="00D90118" w:rsidP="00D21C6A">
            <w:pPr>
              <w:spacing w:before="100" w:beforeAutospacing="1" w:after="100" w:afterAutospacing="1" w:line="240" w:lineRule="auto"/>
              <w:jc w:val="center"/>
              <w:rPr>
                <w:rFonts w:eastAsia="Times New Roman"/>
                <w:b/>
                <w:bCs/>
                <w:sz w:val="16"/>
                <w:szCs w:val="16"/>
              </w:rPr>
            </w:pPr>
            <w:r w:rsidRPr="006F6E22">
              <w:rPr>
                <w:rFonts w:eastAsia="Times New Roman"/>
                <w:b/>
                <w:bCs/>
                <w:sz w:val="16"/>
                <w:szCs w:val="16"/>
              </w:rPr>
              <w:t>10.989</w:t>
            </w:r>
          </w:p>
        </w:tc>
        <w:tc>
          <w:tcPr>
            <w:tcW w:w="1161" w:type="dxa"/>
            <w:vAlign w:val="center"/>
            <w:hideMark/>
          </w:tcPr>
          <w:p w14:paraId="5B41DB61" w14:textId="77777777" w:rsidR="00D90118" w:rsidRPr="006F6E22" w:rsidRDefault="00D90118" w:rsidP="00D21C6A">
            <w:pPr>
              <w:spacing w:before="100" w:beforeAutospacing="1" w:after="100" w:afterAutospacing="1" w:line="240" w:lineRule="auto"/>
              <w:jc w:val="center"/>
              <w:rPr>
                <w:rFonts w:eastAsia="Times New Roman"/>
                <w:bCs/>
                <w:sz w:val="16"/>
                <w:szCs w:val="16"/>
              </w:rPr>
            </w:pPr>
            <w:r>
              <w:rPr>
                <w:rFonts w:eastAsia="Times New Roman"/>
                <w:bCs/>
                <w:sz w:val="16"/>
                <w:szCs w:val="16"/>
              </w:rPr>
              <w:t>(5)</w:t>
            </w:r>
          </w:p>
        </w:tc>
        <w:tc>
          <w:tcPr>
            <w:tcW w:w="1270" w:type="dxa"/>
            <w:vAlign w:val="center"/>
            <w:hideMark/>
          </w:tcPr>
          <w:p w14:paraId="088A0065" w14:textId="77777777" w:rsidR="00D90118" w:rsidRPr="006F6E22" w:rsidRDefault="00D90118" w:rsidP="00D21C6A">
            <w:pPr>
              <w:spacing w:before="100" w:beforeAutospacing="1" w:after="100" w:afterAutospacing="1" w:line="240" w:lineRule="auto"/>
              <w:jc w:val="center"/>
              <w:rPr>
                <w:rFonts w:eastAsia="Times New Roman"/>
                <w:bCs/>
                <w:sz w:val="16"/>
                <w:szCs w:val="16"/>
              </w:rPr>
            </w:pPr>
            <w:r>
              <w:rPr>
                <w:rFonts w:eastAsia="Times New Roman"/>
                <w:bCs/>
                <w:sz w:val="16"/>
                <w:szCs w:val="16"/>
              </w:rPr>
              <w:t>(6)</w:t>
            </w:r>
          </w:p>
        </w:tc>
      </w:tr>
      <w:tr w:rsidR="00D90118" w:rsidRPr="007F5988" w14:paraId="2A1A426B" w14:textId="77777777" w:rsidTr="005476F0">
        <w:trPr>
          <w:trHeight w:val="240"/>
          <w:jc w:val="center"/>
        </w:trPr>
        <w:tc>
          <w:tcPr>
            <w:tcW w:w="2187" w:type="dxa"/>
            <w:vAlign w:val="center"/>
          </w:tcPr>
          <w:p w14:paraId="2CC3DBFE" w14:textId="77777777" w:rsidR="00D90118" w:rsidRPr="002B37CC" w:rsidRDefault="00D90118" w:rsidP="00D21C6A">
            <w:pPr>
              <w:spacing w:before="100" w:beforeAutospacing="1" w:after="100" w:afterAutospacing="1" w:line="240" w:lineRule="auto"/>
              <w:rPr>
                <w:rFonts w:eastAsia="Times New Roman"/>
                <w:sz w:val="16"/>
                <w:szCs w:val="16"/>
              </w:rPr>
            </w:pPr>
            <w:r w:rsidRPr="002B37CC">
              <w:rPr>
                <w:rFonts w:eastAsia="Times New Roman"/>
                <w:sz w:val="16"/>
                <w:szCs w:val="16"/>
              </w:rPr>
              <w:t>Ακαθάριστη Προστιθέμενη Αξία (ΑΠΑ) σε κλάδους υψηλής προστιθέμενης αξίας (7)</w:t>
            </w:r>
          </w:p>
        </w:tc>
        <w:tc>
          <w:tcPr>
            <w:tcW w:w="1397" w:type="dxa"/>
            <w:vAlign w:val="center"/>
          </w:tcPr>
          <w:p w14:paraId="70DB6926" w14:textId="77777777" w:rsidR="00D90118" w:rsidRPr="002B37CC" w:rsidRDefault="00D90118" w:rsidP="00D21C6A">
            <w:pPr>
              <w:spacing w:before="100" w:beforeAutospacing="1" w:after="100" w:afterAutospacing="1" w:line="240" w:lineRule="auto"/>
              <w:jc w:val="center"/>
              <w:rPr>
                <w:rFonts w:eastAsia="Times New Roman"/>
                <w:sz w:val="16"/>
                <w:szCs w:val="16"/>
              </w:rPr>
            </w:pPr>
            <w:r w:rsidRPr="002B37CC">
              <w:rPr>
                <w:rFonts w:eastAsia="Times New Roman"/>
                <w:sz w:val="16"/>
                <w:szCs w:val="16"/>
              </w:rPr>
              <w:t>εκατ. € - τρέχουσες τιμές</w:t>
            </w:r>
          </w:p>
        </w:tc>
        <w:tc>
          <w:tcPr>
            <w:tcW w:w="1161" w:type="dxa"/>
            <w:vAlign w:val="center"/>
          </w:tcPr>
          <w:p w14:paraId="2C5DDAC1" w14:textId="77777777" w:rsidR="00D90118" w:rsidRPr="002B37CC" w:rsidRDefault="00D90118" w:rsidP="00D21C6A">
            <w:pPr>
              <w:rPr>
                <w:b/>
                <w:sz w:val="16"/>
                <w:szCs w:val="16"/>
              </w:rPr>
            </w:pPr>
            <w:r w:rsidRPr="002B37CC">
              <w:rPr>
                <w:b/>
                <w:sz w:val="16"/>
                <w:szCs w:val="16"/>
              </w:rPr>
              <w:t>128.758 (7)</w:t>
            </w:r>
          </w:p>
        </w:tc>
        <w:tc>
          <w:tcPr>
            <w:tcW w:w="1161" w:type="dxa"/>
            <w:vAlign w:val="center"/>
          </w:tcPr>
          <w:p w14:paraId="279DF302" w14:textId="77777777" w:rsidR="00D90118" w:rsidRPr="002B37CC" w:rsidRDefault="00D90118" w:rsidP="00D21C6A">
            <w:pPr>
              <w:rPr>
                <w:b/>
                <w:sz w:val="16"/>
                <w:szCs w:val="16"/>
              </w:rPr>
            </w:pPr>
            <w:r w:rsidRPr="002B37CC">
              <w:rPr>
                <w:b/>
                <w:sz w:val="16"/>
                <w:szCs w:val="16"/>
              </w:rPr>
              <w:t>126.605</w:t>
            </w:r>
            <w:r>
              <w:rPr>
                <w:b/>
                <w:sz w:val="16"/>
                <w:szCs w:val="16"/>
              </w:rPr>
              <w:t xml:space="preserve"> (7)</w:t>
            </w:r>
          </w:p>
        </w:tc>
        <w:tc>
          <w:tcPr>
            <w:tcW w:w="1161" w:type="dxa"/>
            <w:vAlign w:val="center"/>
          </w:tcPr>
          <w:p w14:paraId="718065D8" w14:textId="77777777" w:rsidR="00D90118" w:rsidRPr="002B37CC" w:rsidRDefault="00D90118" w:rsidP="00D21C6A">
            <w:pPr>
              <w:rPr>
                <w:b/>
                <w:sz w:val="16"/>
                <w:szCs w:val="16"/>
              </w:rPr>
            </w:pPr>
            <w:r w:rsidRPr="002B37CC">
              <w:rPr>
                <w:b/>
                <w:sz w:val="16"/>
                <w:szCs w:val="16"/>
              </w:rPr>
              <w:t>123.412</w:t>
            </w:r>
            <w:r>
              <w:rPr>
                <w:b/>
                <w:sz w:val="16"/>
                <w:szCs w:val="16"/>
              </w:rPr>
              <w:t xml:space="preserve"> (7)</w:t>
            </w:r>
          </w:p>
        </w:tc>
        <w:tc>
          <w:tcPr>
            <w:tcW w:w="1161" w:type="dxa"/>
            <w:vAlign w:val="center"/>
          </w:tcPr>
          <w:p w14:paraId="65D012AB" w14:textId="77777777" w:rsidR="00D90118" w:rsidRPr="002B37CC" w:rsidRDefault="00D90118" w:rsidP="00D21C6A">
            <w:pPr>
              <w:rPr>
                <w:b/>
                <w:sz w:val="16"/>
                <w:szCs w:val="16"/>
              </w:rPr>
            </w:pPr>
            <w:r w:rsidRPr="002B37CC">
              <w:rPr>
                <w:b/>
                <w:sz w:val="16"/>
                <w:szCs w:val="16"/>
              </w:rPr>
              <w:t>125.681</w:t>
            </w:r>
            <w:r>
              <w:rPr>
                <w:b/>
                <w:sz w:val="16"/>
                <w:szCs w:val="16"/>
              </w:rPr>
              <w:t xml:space="preserve"> (7)</w:t>
            </w:r>
          </w:p>
        </w:tc>
        <w:tc>
          <w:tcPr>
            <w:tcW w:w="1270" w:type="dxa"/>
            <w:vAlign w:val="center"/>
          </w:tcPr>
          <w:p w14:paraId="7A69060E" w14:textId="77777777" w:rsidR="00D90118" w:rsidRPr="002B37CC" w:rsidRDefault="00D90118" w:rsidP="00D21C6A">
            <w:pPr>
              <w:spacing w:before="100" w:beforeAutospacing="1" w:after="100" w:afterAutospacing="1" w:line="240" w:lineRule="auto"/>
              <w:jc w:val="center"/>
              <w:rPr>
                <w:rFonts w:eastAsia="Times New Roman"/>
                <w:b/>
                <w:bCs/>
                <w:sz w:val="16"/>
                <w:szCs w:val="16"/>
              </w:rPr>
            </w:pPr>
            <w:r>
              <w:rPr>
                <w:rFonts w:eastAsia="Times New Roman"/>
                <w:b/>
                <w:bCs/>
                <w:sz w:val="16"/>
                <w:szCs w:val="16"/>
              </w:rPr>
              <w:t>--</w:t>
            </w:r>
          </w:p>
        </w:tc>
      </w:tr>
      <w:tr w:rsidR="00D90118" w:rsidRPr="007F5988" w14:paraId="43E83286" w14:textId="77777777" w:rsidTr="005476F0">
        <w:trPr>
          <w:trHeight w:val="588"/>
          <w:jc w:val="center"/>
        </w:trPr>
        <w:tc>
          <w:tcPr>
            <w:tcW w:w="2187" w:type="dxa"/>
            <w:vAlign w:val="center"/>
          </w:tcPr>
          <w:p w14:paraId="4C72DC1C" w14:textId="77777777" w:rsidR="00D90118" w:rsidRPr="00AC6B9C" w:rsidRDefault="00D90118" w:rsidP="00D21C6A">
            <w:pPr>
              <w:spacing w:before="100" w:beforeAutospacing="1" w:after="100" w:afterAutospacing="1" w:line="240" w:lineRule="auto"/>
              <w:rPr>
                <w:rFonts w:eastAsia="Times New Roman"/>
                <w:sz w:val="16"/>
                <w:szCs w:val="16"/>
                <w:lang w:val="en-US"/>
              </w:rPr>
            </w:pPr>
            <w:r>
              <w:rPr>
                <w:rFonts w:eastAsia="Times New Roman"/>
                <w:sz w:val="16"/>
                <w:szCs w:val="16"/>
              </w:rPr>
              <w:t>Αριθμός πατεντών (</w:t>
            </w:r>
            <w:r>
              <w:rPr>
                <w:rFonts w:eastAsia="Times New Roman"/>
                <w:sz w:val="16"/>
                <w:szCs w:val="16"/>
                <w:lang w:val="en-US"/>
              </w:rPr>
              <w:t>PCT patents)</w:t>
            </w:r>
          </w:p>
        </w:tc>
        <w:tc>
          <w:tcPr>
            <w:tcW w:w="1397" w:type="dxa"/>
            <w:vAlign w:val="center"/>
          </w:tcPr>
          <w:p w14:paraId="6D7304D2" w14:textId="77777777" w:rsidR="00D90118" w:rsidRPr="00AC6B9C" w:rsidRDefault="00D90118" w:rsidP="00D21C6A">
            <w:pPr>
              <w:spacing w:before="100" w:beforeAutospacing="1" w:after="100" w:afterAutospacing="1" w:line="240" w:lineRule="auto"/>
              <w:jc w:val="center"/>
              <w:rPr>
                <w:rFonts w:eastAsia="Times New Roman"/>
                <w:sz w:val="16"/>
                <w:szCs w:val="16"/>
              </w:rPr>
            </w:pPr>
            <w:r>
              <w:rPr>
                <w:rFonts w:eastAsia="Times New Roman"/>
                <w:sz w:val="16"/>
                <w:szCs w:val="16"/>
              </w:rPr>
              <w:t>Πατέντες</w:t>
            </w:r>
          </w:p>
        </w:tc>
        <w:tc>
          <w:tcPr>
            <w:tcW w:w="1161" w:type="dxa"/>
            <w:vAlign w:val="center"/>
          </w:tcPr>
          <w:p w14:paraId="708CE6A5" w14:textId="77777777" w:rsidR="00D90118" w:rsidRPr="002B37CC" w:rsidRDefault="00D90118" w:rsidP="00D21C6A">
            <w:pPr>
              <w:rPr>
                <w:b/>
                <w:sz w:val="16"/>
                <w:szCs w:val="16"/>
              </w:rPr>
            </w:pPr>
          </w:p>
        </w:tc>
        <w:tc>
          <w:tcPr>
            <w:tcW w:w="1161" w:type="dxa"/>
            <w:vAlign w:val="center"/>
          </w:tcPr>
          <w:p w14:paraId="6879399B" w14:textId="77777777" w:rsidR="00D90118" w:rsidRPr="002B37CC" w:rsidRDefault="00D90118" w:rsidP="00D21C6A">
            <w:pPr>
              <w:rPr>
                <w:b/>
                <w:sz w:val="16"/>
                <w:szCs w:val="16"/>
              </w:rPr>
            </w:pPr>
          </w:p>
        </w:tc>
        <w:tc>
          <w:tcPr>
            <w:tcW w:w="1161" w:type="dxa"/>
            <w:vAlign w:val="center"/>
          </w:tcPr>
          <w:p w14:paraId="0DA3DE48" w14:textId="77777777" w:rsidR="00D90118" w:rsidRPr="002B37CC" w:rsidRDefault="00D90118" w:rsidP="00D21C6A">
            <w:pPr>
              <w:rPr>
                <w:b/>
                <w:sz w:val="16"/>
                <w:szCs w:val="16"/>
              </w:rPr>
            </w:pPr>
          </w:p>
        </w:tc>
        <w:tc>
          <w:tcPr>
            <w:tcW w:w="1161" w:type="dxa"/>
            <w:vAlign w:val="center"/>
          </w:tcPr>
          <w:p w14:paraId="62932401" w14:textId="77777777" w:rsidR="00D90118" w:rsidRPr="002B37CC" w:rsidRDefault="00D90118" w:rsidP="00D21C6A">
            <w:pPr>
              <w:rPr>
                <w:b/>
                <w:sz w:val="16"/>
                <w:szCs w:val="16"/>
              </w:rPr>
            </w:pPr>
          </w:p>
        </w:tc>
        <w:tc>
          <w:tcPr>
            <w:tcW w:w="1270" w:type="dxa"/>
            <w:vAlign w:val="center"/>
          </w:tcPr>
          <w:p w14:paraId="41D92EE1" w14:textId="77777777" w:rsidR="00D90118" w:rsidRDefault="00D90118" w:rsidP="00D21C6A">
            <w:pPr>
              <w:spacing w:before="100" w:beforeAutospacing="1" w:after="100" w:afterAutospacing="1" w:line="240" w:lineRule="auto"/>
              <w:jc w:val="center"/>
              <w:rPr>
                <w:rFonts w:eastAsia="Times New Roman"/>
                <w:b/>
                <w:bCs/>
                <w:sz w:val="16"/>
                <w:szCs w:val="16"/>
              </w:rPr>
            </w:pPr>
          </w:p>
        </w:tc>
      </w:tr>
    </w:tbl>
    <w:p w14:paraId="3DE70EC7" w14:textId="77777777" w:rsidR="00D90118" w:rsidRDefault="00D90118" w:rsidP="00D22350">
      <w:pPr>
        <w:pStyle w:val="ListParagraph"/>
        <w:numPr>
          <w:ilvl w:val="0"/>
          <w:numId w:val="12"/>
        </w:numPr>
        <w:rPr>
          <w:rFonts w:eastAsiaTheme="minorHAnsi" w:cstheme="minorBidi"/>
          <w:sz w:val="16"/>
          <w:szCs w:val="16"/>
        </w:rPr>
      </w:pPr>
      <w:r>
        <w:rPr>
          <w:rFonts w:eastAsiaTheme="minorHAnsi" w:cstheme="minorBidi"/>
          <w:sz w:val="16"/>
          <w:szCs w:val="16"/>
          <w:lang w:val="en-US"/>
        </w:rPr>
        <w:t>O</w:t>
      </w:r>
      <w:r w:rsidRPr="006F6E22">
        <w:rPr>
          <w:rFonts w:eastAsiaTheme="minorHAnsi" w:cstheme="minorBidi"/>
          <w:sz w:val="16"/>
          <w:szCs w:val="16"/>
        </w:rPr>
        <w:t xml:space="preserve"> </w:t>
      </w:r>
      <w:r>
        <w:rPr>
          <w:rFonts w:eastAsiaTheme="minorHAnsi" w:cstheme="minorBidi"/>
          <w:sz w:val="16"/>
          <w:szCs w:val="16"/>
        </w:rPr>
        <w:t xml:space="preserve">δείκτης είναι διαθέσιμος τα ζυγά έτη, </w:t>
      </w:r>
    </w:p>
    <w:p w14:paraId="642EC8CC" w14:textId="77777777" w:rsidR="00D90118" w:rsidRDefault="00D90118" w:rsidP="00D22350">
      <w:pPr>
        <w:pStyle w:val="ListParagraph"/>
        <w:numPr>
          <w:ilvl w:val="0"/>
          <w:numId w:val="12"/>
        </w:numPr>
        <w:rPr>
          <w:rFonts w:eastAsiaTheme="minorHAnsi" w:cstheme="minorBidi"/>
          <w:sz w:val="16"/>
          <w:szCs w:val="16"/>
        </w:rPr>
      </w:pPr>
      <w:r w:rsidRPr="006F6E22">
        <w:rPr>
          <w:rFonts w:eastAsiaTheme="minorHAnsi" w:cstheme="minorBidi"/>
          <w:sz w:val="16"/>
          <w:szCs w:val="16"/>
        </w:rPr>
        <w:t xml:space="preserve">Προγραμματισμένη ημερομηνία δημοσίευσης Ιούνιος 2020 </w:t>
      </w:r>
      <w:r>
        <w:rPr>
          <w:rFonts w:eastAsiaTheme="minorHAnsi" w:cstheme="minorBidi"/>
          <w:sz w:val="16"/>
          <w:szCs w:val="16"/>
        </w:rPr>
        <w:t>-Πηγή: Εθνικό Κέντρο Τεκμηρίωσης (ΕΚΤ)</w:t>
      </w:r>
    </w:p>
    <w:p w14:paraId="71DA3883" w14:textId="77777777" w:rsidR="00D90118" w:rsidRDefault="00D90118" w:rsidP="00D22350">
      <w:pPr>
        <w:pStyle w:val="ListParagraph"/>
        <w:numPr>
          <w:ilvl w:val="0"/>
          <w:numId w:val="12"/>
        </w:numPr>
        <w:rPr>
          <w:rFonts w:eastAsiaTheme="minorHAnsi" w:cstheme="minorBidi"/>
          <w:sz w:val="16"/>
          <w:szCs w:val="16"/>
        </w:rPr>
      </w:pPr>
      <w:r>
        <w:rPr>
          <w:rFonts w:eastAsiaTheme="minorHAnsi" w:cstheme="minorBidi"/>
          <w:sz w:val="16"/>
          <w:szCs w:val="16"/>
        </w:rPr>
        <w:t>Προκαταρκτικά στοιχεία</w:t>
      </w:r>
    </w:p>
    <w:p w14:paraId="5BB6E3D6" w14:textId="77777777" w:rsidR="00D90118" w:rsidRDefault="00D90118" w:rsidP="00D22350">
      <w:pPr>
        <w:pStyle w:val="ListParagraph"/>
        <w:numPr>
          <w:ilvl w:val="0"/>
          <w:numId w:val="12"/>
        </w:numPr>
        <w:rPr>
          <w:rFonts w:eastAsiaTheme="minorHAnsi" w:cstheme="minorBidi"/>
          <w:sz w:val="16"/>
          <w:szCs w:val="16"/>
        </w:rPr>
      </w:pPr>
      <w:r w:rsidRPr="006F6E22">
        <w:rPr>
          <w:rFonts w:eastAsiaTheme="minorHAnsi" w:cstheme="minorBidi"/>
          <w:sz w:val="16"/>
          <w:szCs w:val="16"/>
        </w:rPr>
        <w:lastRenderedPageBreak/>
        <w:t>Προγραμματισμένη ημερομηνία δημοσίευσης Ιούνιος 2020</w:t>
      </w:r>
      <w:r>
        <w:rPr>
          <w:rFonts w:eastAsiaTheme="minorHAnsi" w:cstheme="minorBidi"/>
          <w:sz w:val="16"/>
          <w:szCs w:val="16"/>
        </w:rPr>
        <w:t xml:space="preserve"> – Πηγή ΕΚΤ</w:t>
      </w:r>
    </w:p>
    <w:p w14:paraId="124F7877" w14:textId="77777777" w:rsidR="00D90118" w:rsidRPr="00D3671F" w:rsidRDefault="00D90118" w:rsidP="00D22350">
      <w:pPr>
        <w:pStyle w:val="ListParagraph"/>
        <w:numPr>
          <w:ilvl w:val="0"/>
          <w:numId w:val="12"/>
        </w:numPr>
        <w:rPr>
          <w:rFonts w:eastAsiaTheme="minorHAnsi" w:cstheme="minorBidi"/>
          <w:sz w:val="16"/>
          <w:szCs w:val="16"/>
        </w:rPr>
      </w:pPr>
      <w:r>
        <w:rPr>
          <w:rFonts w:eastAsiaTheme="minorHAnsi" w:cstheme="minorBidi"/>
          <w:sz w:val="16"/>
          <w:szCs w:val="16"/>
        </w:rPr>
        <w:t xml:space="preserve">&amp; (6) </w:t>
      </w:r>
      <w:r w:rsidRPr="006F6E22">
        <w:rPr>
          <w:rFonts w:eastAsia="Times New Roman"/>
          <w:bCs/>
          <w:sz w:val="16"/>
          <w:szCs w:val="16"/>
          <w:lang w:eastAsia="el-GR"/>
        </w:rPr>
        <w:t>Προγραμματισμένη ημερομηνία δημοσίευσης 2020</w:t>
      </w:r>
      <w:r>
        <w:rPr>
          <w:rFonts w:eastAsia="Times New Roman"/>
          <w:bCs/>
          <w:sz w:val="16"/>
          <w:szCs w:val="16"/>
          <w:lang w:eastAsia="el-GR"/>
        </w:rPr>
        <w:t xml:space="preserve"> – Πηγή ΕΚΤ</w:t>
      </w:r>
    </w:p>
    <w:p w14:paraId="0DCD1A0A" w14:textId="77777777" w:rsidR="00D90118" w:rsidRPr="002B37CC" w:rsidRDefault="00D90118" w:rsidP="00D22350">
      <w:pPr>
        <w:pStyle w:val="ListParagraph"/>
        <w:numPr>
          <w:ilvl w:val="0"/>
          <w:numId w:val="12"/>
        </w:numPr>
        <w:rPr>
          <w:rFonts w:eastAsiaTheme="minorHAnsi" w:cstheme="minorBidi"/>
          <w:sz w:val="16"/>
          <w:szCs w:val="16"/>
        </w:rPr>
      </w:pPr>
      <w:r>
        <w:rPr>
          <w:rFonts w:eastAsia="Times New Roman"/>
          <w:bCs/>
          <w:sz w:val="16"/>
          <w:szCs w:val="16"/>
          <w:lang w:eastAsia="el-GR"/>
        </w:rPr>
        <w:t>Για τον υπολογισμό επιλέχθηκαν οι ακόλουθοι κλάδοι οι οποίοι παρουσίαζαν μέση ετήσια ΑΠΑ για το διάστημα 1995-2017 μεγαλύτερη των 2 δισ. ευρώ. – Πηγή ΕΛΣΤΑΤ</w:t>
      </w:r>
    </w:p>
    <w:p w14:paraId="106CBCF0" w14:textId="77777777" w:rsidR="00D90118" w:rsidRPr="001D5E21" w:rsidRDefault="00D90118" w:rsidP="00D22350">
      <w:pPr>
        <w:pStyle w:val="ListParagraph"/>
        <w:numPr>
          <w:ilvl w:val="0"/>
          <w:numId w:val="12"/>
        </w:numPr>
        <w:rPr>
          <w:rFonts w:eastAsiaTheme="minorHAnsi" w:cstheme="minorBidi"/>
          <w:sz w:val="16"/>
          <w:szCs w:val="16"/>
        </w:rPr>
      </w:pPr>
      <w:r>
        <w:rPr>
          <w:rFonts w:eastAsia="Times New Roman"/>
          <w:bCs/>
          <w:sz w:val="16"/>
          <w:szCs w:val="16"/>
          <w:lang w:eastAsia="el-GR"/>
        </w:rPr>
        <w:t>Προσωρινά στοιχεία</w:t>
      </w:r>
    </w:p>
    <w:p w14:paraId="36990BB8" w14:textId="77777777" w:rsidR="00D90118" w:rsidRPr="001D5E21" w:rsidRDefault="00D90118" w:rsidP="00D90118">
      <w:pPr>
        <w:pStyle w:val="ListParagraph"/>
        <w:ind w:left="720"/>
        <w:rPr>
          <w:rFonts w:eastAsiaTheme="minorHAnsi" w:cstheme="minorBidi"/>
          <w:sz w:val="16"/>
          <w:szCs w:val="16"/>
        </w:rPr>
      </w:pPr>
    </w:p>
    <w:tbl>
      <w:tblPr>
        <w:tblW w:w="7000" w:type="dxa"/>
        <w:jc w:val="center"/>
        <w:tblLook w:val="04A0" w:firstRow="1" w:lastRow="0" w:firstColumn="1" w:lastColumn="0" w:noHBand="0" w:noVBand="1"/>
      </w:tblPr>
      <w:tblGrid>
        <w:gridCol w:w="1160"/>
        <w:gridCol w:w="5840"/>
      </w:tblGrid>
      <w:tr w:rsidR="00D90118" w:rsidRPr="001D5E21" w14:paraId="4CC0E5E6" w14:textId="77777777" w:rsidTr="005476F0">
        <w:trPr>
          <w:trHeight w:val="419"/>
          <w:jc w:val="center"/>
        </w:trPr>
        <w:tc>
          <w:tcPr>
            <w:tcW w:w="1160" w:type="dxa"/>
            <w:tcBorders>
              <w:top w:val="single" w:sz="4" w:space="0" w:color="auto"/>
              <w:left w:val="nil"/>
              <w:bottom w:val="single" w:sz="4" w:space="0" w:color="auto"/>
              <w:right w:val="single" w:sz="4" w:space="0" w:color="auto"/>
            </w:tcBorders>
            <w:shd w:val="clear" w:color="000000" w:fill="FFFFFF"/>
            <w:vAlign w:val="center"/>
            <w:hideMark/>
          </w:tcPr>
          <w:p w14:paraId="28636517" w14:textId="77777777" w:rsidR="00D90118" w:rsidRPr="001D5E21" w:rsidRDefault="00D90118" w:rsidP="00D21C6A">
            <w:pPr>
              <w:spacing w:before="0" w:line="240" w:lineRule="auto"/>
              <w:jc w:val="center"/>
              <w:rPr>
                <w:rFonts w:eastAsia="Times New Roman"/>
                <w:b/>
                <w:sz w:val="14"/>
                <w:szCs w:val="14"/>
                <w:lang w:eastAsia="el-GR"/>
              </w:rPr>
            </w:pPr>
            <w:r w:rsidRPr="001D5E21">
              <w:rPr>
                <w:rFonts w:eastAsia="Times New Roman"/>
                <w:b/>
                <w:sz w:val="14"/>
                <w:szCs w:val="14"/>
                <w:lang w:eastAsia="el-GR"/>
              </w:rPr>
              <w:t>Κωδ. NACE Rev.2</w:t>
            </w:r>
          </w:p>
        </w:tc>
        <w:tc>
          <w:tcPr>
            <w:tcW w:w="5840" w:type="dxa"/>
            <w:tcBorders>
              <w:top w:val="single" w:sz="4" w:space="0" w:color="auto"/>
              <w:left w:val="nil"/>
              <w:bottom w:val="single" w:sz="4" w:space="0" w:color="auto"/>
              <w:right w:val="nil"/>
            </w:tcBorders>
            <w:shd w:val="clear" w:color="000000" w:fill="FFFFFF"/>
            <w:noWrap/>
            <w:vAlign w:val="center"/>
            <w:hideMark/>
          </w:tcPr>
          <w:p w14:paraId="0829F5A1" w14:textId="77777777" w:rsidR="00D90118" w:rsidRPr="001D5E21" w:rsidRDefault="00D90118" w:rsidP="00D21C6A">
            <w:pPr>
              <w:spacing w:before="0" w:line="240" w:lineRule="auto"/>
              <w:jc w:val="left"/>
              <w:rPr>
                <w:rFonts w:eastAsia="Times New Roman"/>
                <w:b/>
                <w:bCs/>
                <w:sz w:val="14"/>
                <w:szCs w:val="14"/>
                <w:lang w:eastAsia="el-GR"/>
              </w:rPr>
            </w:pPr>
            <w:r w:rsidRPr="001D5E21">
              <w:rPr>
                <w:rFonts w:eastAsia="Times New Roman"/>
                <w:b/>
                <w:bCs/>
                <w:sz w:val="14"/>
                <w:szCs w:val="14"/>
                <w:lang w:eastAsia="el-GR"/>
              </w:rPr>
              <w:t>Κλάδος</w:t>
            </w:r>
          </w:p>
        </w:tc>
      </w:tr>
      <w:tr w:rsidR="00D90118" w:rsidRPr="001D5E21" w14:paraId="01462A41"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1F407C2D"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01</w:t>
            </w:r>
          </w:p>
        </w:tc>
        <w:tc>
          <w:tcPr>
            <w:tcW w:w="5840" w:type="dxa"/>
            <w:tcBorders>
              <w:top w:val="nil"/>
              <w:left w:val="nil"/>
              <w:bottom w:val="single" w:sz="4" w:space="0" w:color="auto"/>
              <w:right w:val="nil"/>
            </w:tcBorders>
            <w:shd w:val="clear" w:color="000000" w:fill="FFFFFF"/>
            <w:vAlign w:val="center"/>
            <w:hideMark/>
          </w:tcPr>
          <w:p w14:paraId="07E8991A"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Φυτική και ζωική παραγωγή, θήρα και συναφείς δραστηριότητες</w:t>
            </w:r>
          </w:p>
        </w:tc>
      </w:tr>
      <w:tr w:rsidR="00D90118" w:rsidRPr="001D5E21" w14:paraId="785532CF"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BCFAEBD"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10-12</w:t>
            </w:r>
          </w:p>
        </w:tc>
        <w:tc>
          <w:tcPr>
            <w:tcW w:w="5840" w:type="dxa"/>
            <w:tcBorders>
              <w:top w:val="nil"/>
              <w:left w:val="nil"/>
              <w:bottom w:val="single" w:sz="4" w:space="0" w:color="auto"/>
              <w:right w:val="nil"/>
            </w:tcBorders>
            <w:shd w:val="clear" w:color="000000" w:fill="FFFFFF"/>
            <w:vAlign w:val="center"/>
            <w:hideMark/>
          </w:tcPr>
          <w:p w14:paraId="696F9287"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Βιομηχανία τροφίμων, ποτών και καπνού</w:t>
            </w:r>
          </w:p>
        </w:tc>
      </w:tr>
      <w:tr w:rsidR="00D90118" w:rsidRPr="001D5E21" w14:paraId="2988BC07" w14:textId="77777777" w:rsidTr="005476F0">
        <w:trPr>
          <w:trHeight w:val="510"/>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78B335F"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35</w:t>
            </w:r>
          </w:p>
        </w:tc>
        <w:tc>
          <w:tcPr>
            <w:tcW w:w="5840" w:type="dxa"/>
            <w:tcBorders>
              <w:top w:val="nil"/>
              <w:left w:val="nil"/>
              <w:bottom w:val="single" w:sz="4" w:space="0" w:color="auto"/>
              <w:right w:val="nil"/>
            </w:tcBorders>
            <w:shd w:val="clear" w:color="000000" w:fill="FFFFFF"/>
            <w:vAlign w:val="center"/>
            <w:hideMark/>
          </w:tcPr>
          <w:p w14:paraId="323EAD3D"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Παροχή ηλεκτρικού ρεύματος, φυσικού αερίου, ατμού και κλιματισμού</w:t>
            </w:r>
          </w:p>
        </w:tc>
      </w:tr>
      <w:tr w:rsidR="00D90118" w:rsidRPr="001D5E21" w14:paraId="1F80A5AE"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DA21B3A"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41-43</w:t>
            </w:r>
          </w:p>
        </w:tc>
        <w:tc>
          <w:tcPr>
            <w:tcW w:w="5840" w:type="dxa"/>
            <w:tcBorders>
              <w:top w:val="nil"/>
              <w:left w:val="nil"/>
              <w:bottom w:val="single" w:sz="4" w:space="0" w:color="auto"/>
              <w:right w:val="nil"/>
            </w:tcBorders>
            <w:shd w:val="clear" w:color="000000" w:fill="FFFFFF"/>
            <w:vAlign w:val="center"/>
            <w:hideMark/>
          </w:tcPr>
          <w:p w14:paraId="4EFB733C"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 xml:space="preserve">Κατασκευές </w:t>
            </w:r>
          </w:p>
        </w:tc>
      </w:tr>
      <w:tr w:rsidR="00D90118" w:rsidRPr="001D5E21" w14:paraId="09FE1FD9" w14:textId="77777777" w:rsidTr="005476F0">
        <w:trPr>
          <w:trHeight w:val="510"/>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2560D8BB"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45</w:t>
            </w:r>
          </w:p>
        </w:tc>
        <w:tc>
          <w:tcPr>
            <w:tcW w:w="5840" w:type="dxa"/>
            <w:tcBorders>
              <w:top w:val="nil"/>
              <w:left w:val="nil"/>
              <w:bottom w:val="single" w:sz="4" w:space="0" w:color="auto"/>
              <w:right w:val="nil"/>
            </w:tcBorders>
            <w:shd w:val="clear" w:color="000000" w:fill="FFFFFF"/>
            <w:vAlign w:val="center"/>
            <w:hideMark/>
          </w:tcPr>
          <w:p w14:paraId="0F675394"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Χονδρικό και λιανικό εμπόριο και επισκευή μηχανοκίνητων οχημάτων και μοτοσυκλετών</w:t>
            </w:r>
          </w:p>
        </w:tc>
      </w:tr>
      <w:tr w:rsidR="00D90118" w:rsidRPr="001D5E21" w14:paraId="409484AF" w14:textId="77777777" w:rsidTr="005476F0">
        <w:trPr>
          <w:trHeight w:val="510"/>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5187B74"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46</w:t>
            </w:r>
          </w:p>
        </w:tc>
        <w:tc>
          <w:tcPr>
            <w:tcW w:w="5840" w:type="dxa"/>
            <w:tcBorders>
              <w:top w:val="nil"/>
              <w:left w:val="nil"/>
              <w:bottom w:val="single" w:sz="4" w:space="0" w:color="auto"/>
              <w:right w:val="nil"/>
            </w:tcBorders>
            <w:shd w:val="clear" w:color="000000" w:fill="FFFFFF"/>
            <w:vAlign w:val="center"/>
            <w:hideMark/>
          </w:tcPr>
          <w:p w14:paraId="4745171D"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Χονδρικό εμπόριο, εκτός από το εμπόριο μηχανοκίνητων οχημάτων και μοτοσυκλετών</w:t>
            </w:r>
          </w:p>
        </w:tc>
      </w:tr>
      <w:tr w:rsidR="00D90118" w:rsidRPr="001D5E21" w14:paraId="2F12A6F5" w14:textId="77777777" w:rsidTr="005476F0">
        <w:trPr>
          <w:trHeight w:val="349"/>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1CB2FC8D"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47</w:t>
            </w:r>
          </w:p>
        </w:tc>
        <w:tc>
          <w:tcPr>
            <w:tcW w:w="5840" w:type="dxa"/>
            <w:tcBorders>
              <w:top w:val="nil"/>
              <w:left w:val="nil"/>
              <w:bottom w:val="single" w:sz="4" w:space="0" w:color="auto"/>
              <w:right w:val="nil"/>
            </w:tcBorders>
            <w:shd w:val="clear" w:color="000000" w:fill="FFFFFF"/>
            <w:vAlign w:val="center"/>
            <w:hideMark/>
          </w:tcPr>
          <w:p w14:paraId="198F71EF"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Λιανικό εμπόριο, εκτός από το εμπόριο μηχανοκίνητων οχημάτων και μοτοσυκλετών</w:t>
            </w:r>
          </w:p>
        </w:tc>
      </w:tr>
      <w:tr w:rsidR="00D90118" w:rsidRPr="001D5E21" w14:paraId="5AABC4DA"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99BC344"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49</w:t>
            </w:r>
          </w:p>
        </w:tc>
        <w:tc>
          <w:tcPr>
            <w:tcW w:w="5840" w:type="dxa"/>
            <w:tcBorders>
              <w:top w:val="nil"/>
              <w:left w:val="nil"/>
              <w:bottom w:val="single" w:sz="4" w:space="0" w:color="auto"/>
              <w:right w:val="nil"/>
            </w:tcBorders>
            <w:shd w:val="clear" w:color="000000" w:fill="FFFFFF"/>
            <w:vAlign w:val="center"/>
            <w:hideMark/>
          </w:tcPr>
          <w:p w14:paraId="679F05BB"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Χερσαίες μεταφορές και μεταφορές μέσω αγωγών</w:t>
            </w:r>
          </w:p>
        </w:tc>
      </w:tr>
      <w:tr w:rsidR="00D90118" w:rsidRPr="001D5E21" w14:paraId="2CB855CF"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0AABCAF2"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50</w:t>
            </w:r>
          </w:p>
        </w:tc>
        <w:tc>
          <w:tcPr>
            <w:tcW w:w="5840" w:type="dxa"/>
            <w:tcBorders>
              <w:top w:val="nil"/>
              <w:left w:val="nil"/>
              <w:bottom w:val="single" w:sz="4" w:space="0" w:color="auto"/>
              <w:right w:val="nil"/>
            </w:tcBorders>
            <w:shd w:val="clear" w:color="000000" w:fill="FFFFFF"/>
            <w:vAlign w:val="center"/>
            <w:hideMark/>
          </w:tcPr>
          <w:p w14:paraId="7B956107"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Πλωτές μεταφορές</w:t>
            </w:r>
          </w:p>
        </w:tc>
      </w:tr>
      <w:tr w:rsidR="00D90118" w:rsidRPr="001D5E21" w14:paraId="7ECF54F9"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36C0C13D"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55-56</w:t>
            </w:r>
          </w:p>
        </w:tc>
        <w:tc>
          <w:tcPr>
            <w:tcW w:w="5840" w:type="dxa"/>
            <w:tcBorders>
              <w:top w:val="nil"/>
              <w:left w:val="nil"/>
              <w:bottom w:val="single" w:sz="4" w:space="0" w:color="auto"/>
              <w:right w:val="nil"/>
            </w:tcBorders>
            <w:shd w:val="clear" w:color="000000" w:fill="FFFFFF"/>
            <w:vAlign w:val="center"/>
            <w:hideMark/>
          </w:tcPr>
          <w:p w14:paraId="1BC20F3D"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Καταλύματα και δραστηριότητες υπηρεσιών εστίασης</w:t>
            </w:r>
          </w:p>
        </w:tc>
      </w:tr>
      <w:tr w:rsidR="00D90118" w:rsidRPr="001D5E21" w14:paraId="320544D7"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72FBCF09"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61</w:t>
            </w:r>
          </w:p>
        </w:tc>
        <w:tc>
          <w:tcPr>
            <w:tcW w:w="5840" w:type="dxa"/>
            <w:tcBorders>
              <w:top w:val="nil"/>
              <w:left w:val="nil"/>
              <w:bottom w:val="single" w:sz="4" w:space="0" w:color="auto"/>
              <w:right w:val="nil"/>
            </w:tcBorders>
            <w:shd w:val="clear" w:color="000000" w:fill="FFFFFF"/>
            <w:vAlign w:val="center"/>
            <w:hideMark/>
          </w:tcPr>
          <w:p w14:paraId="414292C4"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Τηλεπικοινωνίες</w:t>
            </w:r>
          </w:p>
        </w:tc>
      </w:tr>
      <w:tr w:rsidR="00D90118" w:rsidRPr="001D5E21" w14:paraId="01E0A7AF" w14:textId="77777777" w:rsidTr="005476F0">
        <w:trPr>
          <w:trHeight w:val="510"/>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0F2ECB91"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64</w:t>
            </w:r>
          </w:p>
        </w:tc>
        <w:tc>
          <w:tcPr>
            <w:tcW w:w="5840" w:type="dxa"/>
            <w:tcBorders>
              <w:top w:val="nil"/>
              <w:left w:val="nil"/>
              <w:bottom w:val="single" w:sz="4" w:space="0" w:color="auto"/>
              <w:right w:val="nil"/>
            </w:tcBorders>
            <w:shd w:val="clear" w:color="000000" w:fill="FFFFFF"/>
            <w:vAlign w:val="center"/>
            <w:hideMark/>
          </w:tcPr>
          <w:p w14:paraId="11443CE4"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Δραστηριότητες χρηματοπιστωτικών υπηρεσιών, με εξαίρεση τις ασφαλιστικές εταιρείες και τα συνταξιοδοτικά ταμεία</w:t>
            </w:r>
          </w:p>
        </w:tc>
      </w:tr>
      <w:tr w:rsidR="00D90118" w:rsidRPr="001D5E21" w14:paraId="77789F07"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228DA889"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68</w:t>
            </w:r>
          </w:p>
        </w:tc>
        <w:tc>
          <w:tcPr>
            <w:tcW w:w="5840" w:type="dxa"/>
            <w:tcBorders>
              <w:top w:val="nil"/>
              <w:left w:val="nil"/>
              <w:bottom w:val="single" w:sz="4" w:space="0" w:color="auto"/>
              <w:right w:val="nil"/>
            </w:tcBorders>
            <w:shd w:val="clear" w:color="000000" w:fill="FFFFFF"/>
            <w:vAlign w:val="center"/>
            <w:hideMark/>
          </w:tcPr>
          <w:p w14:paraId="2F875FF2"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Διαχείριση ακίνητης περιουσίας</w:t>
            </w:r>
          </w:p>
        </w:tc>
      </w:tr>
      <w:tr w:rsidR="00D90118" w:rsidRPr="001D5E21" w14:paraId="2859D294" w14:textId="77777777" w:rsidTr="005476F0">
        <w:trPr>
          <w:trHeight w:val="510"/>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6979C0C2"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69-70</w:t>
            </w:r>
          </w:p>
        </w:tc>
        <w:tc>
          <w:tcPr>
            <w:tcW w:w="5840" w:type="dxa"/>
            <w:tcBorders>
              <w:top w:val="nil"/>
              <w:left w:val="nil"/>
              <w:bottom w:val="single" w:sz="4" w:space="0" w:color="auto"/>
              <w:right w:val="nil"/>
            </w:tcBorders>
            <w:shd w:val="clear" w:color="000000" w:fill="FFFFFF"/>
            <w:vAlign w:val="center"/>
            <w:hideMark/>
          </w:tcPr>
          <w:p w14:paraId="7EE4BDFF"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Νομικές και λογιστικές δραστηριότητες-Δραστηριότητες κεντρικών γραφείων· δραστηριότητες παροχής συμβουλών διαχείρισης</w:t>
            </w:r>
          </w:p>
        </w:tc>
      </w:tr>
      <w:tr w:rsidR="00D90118" w:rsidRPr="001D5E21" w14:paraId="7DCCF2B0" w14:textId="77777777" w:rsidTr="005476F0">
        <w:trPr>
          <w:trHeight w:val="432"/>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18F043D2"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80-82</w:t>
            </w:r>
          </w:p>
        </w:tc>
        <w:tc>
          <w:tcPr>
            <w:tcW w:w="5840" w:type="dxa"/>
            <w:tcBorders>
              <w:top w:val="nil"/>
              <w:left w:val="nil"/>
              <w:bottom w:val="single" w:sz="4" w:space="0" w:color="auto"/>
              <w:right w:val="nil"/>
            </w:tcBorders>
            <w:shd w:val="clear" w:color="000000" w:fill="FFFFFF"/>
            <w:vAlign w:val="center"/>
            <w:hideMark/>
          </w:tcPr>
          <w:p w14:paraId="546690C7"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Λοιπές διοικητικές και υποστηρικτικές δραστηριότητες</w:t>
            </w:r>
          </w:p>
        </w:tc>
      </w:tr>
      <w:tr w:rsidR="00D90118" w:rsidRPr="001D5E21" w14:paraId="389F3EB7"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3A874652"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84</w:t>
            </w:r>
          </w:p>
        </w:tc>
        <w:tc>
          <w:tcPr>
            <w:tcW w:w="5840" w:type="dxa"/>
            <w:tcBorders>
              <w:top w:val="nil"/>
              <w:left w:val="nil"/>
              <w:bottom w:val="single" w:sz="4" w:space="0" w:color="auto"/>
              <w:right w:val="nil"/>
            </w:tcBorders>
            <w:shd w:val="clear" w:color="000000" w:fill="FFFFFF"/>
            <w:vAlign w:val="center"/>
            <w:hideMark/>
          </w:tcPr>
          <w:p w14:paraId="72A17F58"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Δημόσια διοίκηση και άμυνα· υποχρεωτική κοινωνική ασφάλιση</w:t>
            </w:r>
          </w:p>
        </w:tc>
      </w:tr>
      <w:tr w:rsidR="00D90118" w:rsidRPr="001D5E21" w14:paraId="5FB387E2"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5035D41D"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85</w:t>
            </w:r>
          </w:p>
        </w:tc>
        <w:tc>
          <w:tcPr>
            <w:tcW w:w="5840" w:type="dxa"/>
            <w:tcBorders>
              <w:top w:val="nil"/>
              <w:left w:val="nil"/>
              <w:bottom w:val="single" w:sz="4" w:space="0" w:color="auto"/>
              <w:right w:val="nil"/>
            </w:tcBorders>
            <w:shd w:val="clear" w:color="000000" w:fill="FFFFFF"/>
            <w:vAlign w:val="center"/>
            <w:hideMark/>
          </w:tcPr>
          <w:p w14:paraId="3C172A03"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Εκπαίδευση</w:t>
            </w:r>
          </w:p>
        </w:tc>
      </w:tr>
      <w:tr w:rsidR="00D90118" w:rsidRPr="001D5E21" w14:paraId="3C7D8330" w14:textId="77777777" w:rsidTr="005476F0">
        <w:trPr>
          <w:trHeight w:val="255"/>
          <w:jc w:val="center"/>
        </w:trPr>
        <w:tc>
          <w:tcPr>
            <w:tcW w:w="1160" w:type="dxa"/>
            <w:tcBorders>
              <w:top w:val="nil"/>
              <w:left w:val="nil"/>
              <w:bottom w:val="single" w:sz="4" w:space="0" w:color="auto"/>
              <w:right w:val="single" w:sz="4" w:space="0" w:color="auto"/>
            </w:tcBorders>
            <w:shd w:val="clear" w:color="000000" w:fill="FFFFFF"/>
            <w:noWrap/>
            <w:vAlign w:val="center"/>
            <w:hideMark/>
          </w:tcPr>
          <w:p w14:paraId="0570DE4B" w14:textId="77777777" w:rsidR="00D90118" w:rsidRPr="001D5E21" w:rsidRDefault="00D90118" w:rsidP="00D21C6A">
            <w:pPr>
              <w:spacing w:before="0" w:line="240" w:lineRule="auto"/>
              <w:jc w:val="center"/>
              <w:rPr>
                <w:rFonts w:eastAsia="Times New Roman"/>
                <w:sz w:val="14"/>
                <w:szCs w:val="14"/>
                <w:lang w:eastAsia="el-GR"/>
              </w:rPr>
            </w:pPr>
            <w:r w:rsidRPr="001D5E21">
              <w:rPr>
                <w:rFonts w:eastAsia="Times New Roman"/>
                <w:sz w:val="14"/>
                <w:szCs w:val="14"/>
                <w:lang w:eastAsia="el-GR"/>
              </w:rPr>
              <w:t>86</w:t>
            </w:r>
          </w:p>
        </w:tc>
        <w:tc>
          <w:tcPr>
            <w:tcW w:w="5840" w:type="dxa"/>
            <w:tcBorders>
              <w:top w:val="nil"/>
              <w:left w:val="nil"/>
              <w:bottom w:val="single" w:sz="4" w:space="0" w:color="auto"/>
              <w:right w:val="nil"/>
            </w:tcBorders>
            <w:shd w:val="clear" w:color="000000" w:fill="FFFFFF"/>
            <w:vAlign w:val="center"/>
            <w:hideMark/>
          </w:tcPr>
          <w:p w14:paraId="560C9A05" w14:textId="77777777" w:rsidR="00D90118" w:rsidRPr="001D5E21" w:rsidRDefault="00D90118" w:rsidP="00D21C6A">
            <w:pPr>
              <w:spacing w:before="0" w:line="240" w:lineRule="auto"/>
              <w:jc w:val="left"/>
              <w:rPr>
                <w:rFonts w:eastAsia="Times New Roman"/>
                <w:sz w:val="14"/>
                <w:szCs w:val="14"/>
                <w:lang w:eastAsia="el-GR"/>
              </w:rPr>
            </w:pPr>
            <w:r w:rsidRPr="001D5E21">
              <w:rPr>
                <w:rFonts w:eastAsia="Times New Roman"/>
                <w:sz w:val="14"/>
                <w:szCs w:val="14"/>
                <w:lang w:eastAsia="el-GR"/>
              </w:rPr>
              <w:t>Δραστηριότητες ανθρώπινης υγείας</w:t>
            </w:r>
          </w:p>
        </w:tc>
      </w:tr>
    </w:tbl>
    <w:p w14:paraId="361EAC51" w14:textId="77777777" w:rsidR="00D90118" w:rsidRPr="007F5988" w:rsidRDefault="00D90118" w:rsidP="00D90118">
      <w:pPr>
        <w:rPr>
          <w:sz w:val="16"/>
          <w:szCs w:val="16"/>
        </w:rPr>
      </w:pPr>
    </w:p>
    <w:tbl>
      <w:tblPr>
        <w:tblStyle w:val="TableGrid"/>
        <w:tblW w:w="8817"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96"/>
        <w:gridCol w:w="1560"/>
        <w:gridCol w:w="1134"/>
        <w:gridCol w:w="1134"/>
        <w:gridCol w:w="1134"/>
        <w:gridCol w:w="1134"/>
        <w:gridCol w:w="1025"/>
      </w:tblGrid>
      <w:tr w:rsidR="00D90118" w:rsidRPr="00D3671F" w14:paraId="148A03FD" w14:textId="77777777" w:rsidTr="005476F0">
        <w:trPr>
          <w:jc w:val="center"/>
        </w:trPr>
        <w:tc>
          <w:tcPr>
            <w:tcW w:w="1696" w:type="dxa"/>
            <w:shd w:val="clear" w:color="auto" w:fill="800000"/>
            <w:vAlign w:val="center"/>
            <w:hideMark/>
          </w:tcPr>
          <w:p w14:paraId="51C57E22" w14:textId="77777777" w:rsidR="00D90118" w:rsidRPr="00D3671F" w:rsidRDefault="00D90118" w:rsidP="00D21C6A">
            <w:pPr>
              <w:spacing w:before="100" w:beforeAutospacing="1" w:after="100" w:afterAutospacing="1" w:line="240" w:lineRule="auto"/>
              <w:jc w:val="center"/>
              <w:rPr>
                <w:color w:val="FFFFFF" w:themeColor="background1"/>
                <w:sz w:val="16"/>
                <w:szCs w:val="16"/>
              </w:rPr>
            </w:pPr>
            <w:r w:rsidRPr="00D3671F">
              <w:rPr>
                <w:b/>
                <w:bCs/>
                <w:color w:val="FFFFFF" w:themeColor="background1"/>
                <w:sz w:val="16"/>
                <w:szCs w:val="16"/>
              </w:rPr>
              <w:t>Ονομασία δείκτη</w:t>
            </w:r>
          </w:p>
        </w:tc>
        <w:tc>
          <w:tcPr>
            <w:tcW w:w="1560" w:type="dxa"/>
            <w:shd w:val="clear" w:color="auto" w:fill="800000"/>
            <w:vAlign w:val="center"/>
            <w:hideMark/>
          </w:tcPr>
          <w:p w14:paraId="2084CEF9" w14:textId="77777777" w:rsidR="00D90118" w:rsidRPr="00D3671F" w:rsidRDefault="00D90118" w:rsidP="00D21C6A">
            <w:pPr>
              <w:spacing w:before="100" w:beforeAutospacing="1" w:after="100" w:afterAutospacing="1" w:line="240" w:lineRule="auto"/>
              <w:jc w:val="center"/>
              <w:rPr>
                <w:color w:val="FFFFFF" w:themeColor="background1"/>
                <w:sz w:val="16"/>
                <w:szCs w:val="16"/>
              </w:rPr>
            </w:pPr>
            <w:r w:rsidRPr="00D3671F">
              <w:rPr>
                <w:b/>
                <w:bCs/>
                <w:color w:val="FFFFFF" w:themeColor="background1"/>
                <w:sz w:val="16"/>
                <w:szCs w:val="16"/>
              </w:rPr>
              <w:t>Μονάδα μέτρησης δείκτη</w:t>
            </w:r>
          </w:p>
        </w:tc>
        <w:tc>
          <w:tcPr>
            <w:tcW w:w="1134" w:type="dxa"/>
            <w:shd w:val="clear" w:color="auto" w:fill="800000"/>
            <w:vAlign w:val="center"/>
            <w:hideMark/>
          </w:tcPr>
          <w:p w14:paraId="2204DA29" w14:textId="77777777" w:rsidR="00D90118" w:rsidRPr="00D3671F" w:rsidRDefault="00D90118" w:rsidP="00D21C6A">
            <w:pPr>
              <w:spacing w:before="100" w:beforeAutospacing="1" w:after="100" w:afterAutospacing="1" w:line="240" w:lineRule="auto"/>
              <w:jc w:val="center"/>
              <w:rPr>
                <w:b/>
                <w:bCs/>
                <w:color w:val="FFFFFF" w:themeColor="background1"/>
                <w:sz w:val="16"/>
                <w:szCs w:val="16"/>
              </w:rPr>
            </w:pPr>
            <w:r w:rsidRPr="00D3671F">
              <w:rPr>
                <w:b/>
                <w:bCs/>
                <w:color w:val="FFFFFF" w:themeColor="background1"/>
                <w:sz w:val="16"/>
                <w:szCs w:val="16"/>
              </w:rPr>
              <w:t>2010-2014</w:t>
            </w:r>
          </w:p>
        </w:tc>
        <w:tc>
          <w:tcPr>
            <w:tcW w:w="1134" w:type="dxa"/>
            <w:shd w:val="clear" w:color="auto" w:fill="800000"/>
            <w:vAlign w:val="center"/>
            <w:hideMark/>
          </w:tcPr>
          <w:p w14:paraId="2F32171C" w14:textId="77777777" w:rsidR="00D90118" w:rsidRPr="00D3671F" w:rsidRDefault="00D90118" w:rsidP="00D21C6A">
            <w:pPr>
              <w:spacing w:before="100" w:beforeAutospacing="1" w:after="100" w:afterAutospacing="1" w:line="240" w:lineRule="auto"/>
              <w:jc w:val="center"/>
              <w:rPr>
                <w:b/>
                <w:bCs/>
                <w:color w:val="FFFFFF" w:themeColor="background1"/>
                <w:sz w:val="16"/>
                <w:szCs w:val="16"/>
              </w:rPr>
            </w:pPr>
            <w:r w:rsidRPr="00D3671F">
              <w:rPr>
                <w:b/>
                <w:bCs/>
                <w:color w:val="FFFFFF" w:themeColor="background1"/>
                <w:sz w:val="16"/>
                <w:szCs w:val="16"/>
              </w:rPr>
              <w:t>2011-2015</w:t>
            </w:r>
          </w:p>
        </w:tc>
        <w:tc>
          <w:tcPr>
            <w:tcW w:w="1134" w:type="dxa"/>
            <w:shd w:val="clear" w:color="auto" w:fill="800000"/>
            <w:vAlign w:val="center"/>
            <w:hideMark/>
          </w:tcPr>
          <w:p w14:paraId="2FAD5A33" w14:textId="77777777" w:rsidR="00D90118" w:rsidRPr="00D3671F" w:rsidRDefault="00D90118" w:rsidP="00D21C6A">
            <w:pPr>
              <w:spacing w:before="100" w:beforeAutospacing="1" w:after="100" w:afterAutospacing="1" w:line="240" w:lineRule="auto"/>
              <w:jc w:val="center"/>
              <w:rPr>
                <w:b/>
                <w:bCs/>
                <w:color w:val="FFFFFF" w:themeColor="background1"/>
                <w:sz w:val="16"/>
                <w:szCs w:val="16"/>
              </w:rPr>
            </w:pPr>
            <w:r w:rsidRPr="00D3671F">
              <w:rPr>
                <w:b/>
                <w:bCs/>
                <w:color w:val="FFFFFF" w:themeColor="background1"/>
                <w:sz w:val="16"/>
                <w:szCs w:val="16"/>
              </w:rPr>
              <w:t>2012-2016</w:t>
            </w:r>
          </w:p>
        </w:tc>
        <w:tc>
          <w:tcPr>
            <w:tcW w:w="1134" w:type="dxa"/>
            <w:shd w:val="clear" w:color="auto" w:fill="800000"/>
            <w:vAlign w:val="center"/>
            <w:hideMark/>
          </w:tcPr>
          <w:p w14:paraId="286A25E1" w14:textId="77777777" w:rsidR="00D90118" w:rsidRPr="00D3671F" w:rsidRDefault="00D90118" w:rsidP="00D21C6A">
            <w:pPr>
              <w:spacing w:before="100" w:beforeAutospacing="1" w:after="100" w:afterAutospacing="1" w:line="240" w:lineRule="auto"/>
              <w:jc w:val="center"/>
              <w:rPr>
                <w:b/>
                <w:bCs/>
                <w:color w:val="FFFFFF" w:themeColor="background1"/>
                <w:sz w:val="16"/>
                <w:szCs w:val="16"/>
              </w:rPr>
            </w:pPr>
            <w:r w:rsidRPr="00D3671F">
              <w:rPr>
                <w:b/>
                <w:bCs/>
                <w:color w:val="FFFFFF" w:themeColor="background1"/>
                <w:sz w:val="16"/>
                <w:szCs w:val="16"/>
              </w:rPr>
              <w:t>2013-2017</w:t>
            </w:r>
          </w:p>
        </w:tc>
        <w:tc>
          <w:tcPr>
            <w:tcW w:w="1025" w:type="dxa"/>
            <w:shd w:val="clear" w:color="auto" w:fill="800000"/>
            <w:vAlign w:val="center"/>
            <w:hideMark/>
          </w:tcPr>
          <w:p w14:paraId="0B3BE9EE" w14:textId="77777777" w:rsidR="00D90118" w:rsidRPr="00D3671F" w:rsidRDefault="00D90118" w:rsidP="00D21C6A">
            <w:pPr>
              <w:spacing w:before="100" w:beforeAutospacing="1" w:after="100" w:afterAutospacing="1" w:line="240" w:lineRule="auto"/>
              <w:jc w:val="center"/>
              <w:rPr>
                <w:b/>
                <w:bCs/>
                <w:color w:val="FFFFFF" w:themeColor="background1"/>
                <w:sz w:val="16"/>
                <w:szCs w:val="16"/>
              </w:rPr>
            </w:pPr>
            <w:r w:rsidRPr="00D3671F">
              <w:rPr>
                <w:b/>
                <w:bCs/>
                <w:color w:val="FFFFFF" w:themeColor="background1"/>
                <w:sz w:val="16"/>
                <w:szCs w:val="16"/>
              </w:rPr>
              <w:t>2014-2018</w:t>
            </w:r>
          </w:p>
        </w:tc>
      </w:tr>
      <w:tr w:rsidR="00D90118" w:rsidRPr="007F5988" w14:paraId="35D5AE88" w14:textId="77777777" w:rsidTr="005476F0">
        <w:trPr>
          <w:trHeight w:val="720"/>
          <w:jc w:val="center"/>
        </w:trPr>
        <w:tc>
          <w:tcPr>
            <w:tcW w:w="1696" w:type="dxa"/>
            <w:vAlign w:val="center"/>
            <w:hideMark/>
          </w:tcPr>
          <w:p w14:paraId="0DC7C10D" w14:textId="77777777" w:rsidR="00D90118" w:rsidRPr="007F5988" w:rsidRDefault="00D90118" w:rsidP="00D21C6A">
            <w:pPr>
              <w:spacing w:before="100" w:beforeAutospacing="1" w:after="100" w:afterAutospacing="1" w:line="240" w:lineRule="auto"/>
              <w:rPr>
                <w:rFonts w:eastAsia="Times New Roman"/>
                <w:sz w:val="16"/>
                <w:szCs w:val="16"/>
              </w:rPr>
            </w:pPr>
            <w:r w:rsidRPr="007F5988">
              <w:rPr>
                <w:rFonts w:eastAsia="Times New Roman"/>
                <w:color w:val="000000"/>
                <w:sz w:val="16"/>
                <w:szCs w:val="16"/>
              </w:rPr>
              <w:t>Μέσος όρος αναφορών ανά δημοσίευση Ελλήν</w:t>
            </w:r>
            <w:r>
              <w:rPr>
                <w:rFonts w:eastAsia="Times New Roman"/>
                <w:color w:val="000000"/>
                <w:sz w:val="16"/>
                <w:szCs w:val="16"/>
              </w:rPr>
              <w:t xml:space="preserve">ων ερευνητών (Δείκτης απήχησης) </w:t>
            </w:r>
            <w:r w:rsidRPr="00562C79">
              <w:rPr>
                <w:rFonts w:eastAsia="Times New Roman"/>
                <w:color w:val="000000"/>
                <w:sz w:val="16"/>
                <w:szCs w:val="16"/>
              </w:rPr>
              <w:t>(1)</w:t>
            </w:r>
          </w:p>
        </w:tc>
        <w:tc>
          <w:tcPr>
            <w:tcW w:w="1560" w:type="dxa"/>
            <w:vAlign w:val="center"/>
            <w:hideMark/>
          </w:tcPr>
          <w:p w14:paraId="4345D5C8" w14:textId="77777777" w:rsidR="00D90118" w:rsidRPr="007F5988" w:rsidRDefault="00D90118" w:rsidP="00D21C6A">
            <w:pPr>
              <w:spacing w:before="100" w:beforeAutospacing="1" w:after="100" w:afterAutospacing="1" w:line="240" w:lineRule="auto"/>
              <w:jc w:val="center"/>
              <w:rPr>
                <w:rFonts w:eastAsia="Times New Roman"/>
                <w:sz w:val="16"/>
                <w:szCs w:val="16"/>
              </w:rPr>
            </w:pPr>
            <w:r w:rsidRPr="00D3671F">
              <w:rPr>
                <w:rFonts w:eastAsia="Times New Roman"/>
                <w:sz w:val="16"/>
                <w:szCs w:val="16"/>
              </w:rPr>
              <w:t>Αναφορές ανά δημοσίευση</w:t>
            </w:r>
          </w:p>
        </w:tc>
        <w:tc>
          <w:tcPr>
            <w:tcW w:w="1134" w:type="dxa"/>
            <w:vAlign w:val="center"/>
            <w:hideMark/>
          </w:tcPr>
          <w:p w14:paraId="69272D20" w14:textId="77777777" w:rsidR="00D90118" w:rsidRPr="007F5988" w:rsidRDefault="00D90118" w:rsidP="00D21C6A">
            <w:pPr>
              <w:spacing w:before="100" w:beforeAutospacing="1" w:after="100" w:afterAutospacing="1" w:line="240" w:lineRule="auto"/>
              <w:jc w:val="center"/>
              <w:rPr>
                <w:rFonts w:eastAsia="Times New Roman"/>
                <w:b/>
                <w:sz w:val="16"/>
                <w:szCs w:val="16"/>
              </w:rPr>
            </w:pPr>
            <w:r w:rsidRPr="007F5988">
              <w:rPr>
                <w:b/>
                <w:sz w:val="16"/>
                <w:szCs w:val="16"/>
              </w:rPr>
              <w:t>6,20</w:t>
            </w:r>
          </w:p>
        </w:tc>
        <w:tc>
          <w:tcPr>
            <w:tcW w:w="1134" w:type="dxa"/>
            <w:vAlign w:val="center"/>
            <w:hideMark/>
          </w:tcPr>
          <w:p w14:paraId="1EFB0BCE" w14:textId="77777777" w:rsidR="00D90118" w:rsidRPr="007F5988" w:rsidRDefault="00D90118" w:rsidP="00D21C6A">
            <w:pPr>
              <w:spacing w:before="100" w:beforeAutospacing="1" w:after="100" w:afterAutospacing="1" w:line="240" w:lineRule="auto"/>
              <w:jc w:val="center"/>
              <w:rPr>
                <w:rFonts w:eastAsia="Times New Roman"/>
                <w:b/>
                <w:sz w:val="16"/>
                <w:szCs w:val="16"/>
              </w:rPr>
            </w:pPr>
            <w:r w:rsidRPr="007F5988">
              <w:rPr>
                <w:b/>
                <w:sz w:val="16"/>
                <w:szCs w:val="16"/>
              </w:rPr>
              <w:t>6,54</w:t>
            </w:r>
          </w:p>
        </w:tc>
        <w:tc>
          <w:tcPr>
            <w:tcW w:w="1134" w:type="dxa"/>
            <w:vAlign w:val="center"/>
            <w:hideMark/>
          </w:tcPr>
          <w:p w14:paraId="200095E2" w14:textId="77777777" w:rsidR="00D90118" w:rsidRPr="007F5988" w:rsidRDefault="00D90118" w:rsidP="00D21C6A">
            <w:pPr>
              <w:spacing w:before="100" w:beforeAutospacing="1" w:after="100" w:afterAutospacing="1" w:line="240" w:lineRule="auto"/>
              <w:jc w:val="center"/>
              <w:rPr>
                <w:rFonts w:eastAsia="Times New Roman"/>
                <w:b/>
                <w:sz w:val="16"/>
                <w:szCs w:val="16"/>
              </w:rPr>
            </w:pPr>
            <w:r w:rsidRPr="007F5988">
              <w:rPr>
                <w:b/>
                <w:sz w:val="16"/>
                <w:szCs w:val="16"/>
              </w:rPr>
              <w:t>7,13</w:t>
            </w:r>
          </w:p>
        </w:tc>
        <w:tc>
          <w:tcPr>
            <w:tcW w:w="1134" w:type="dxa"/>
            <w:vAlign w:val="center"/>
            <w:hideMark/>
          </w:tcPr>
          <w:p w14:paraId="5182D3D8" w14:textId="77777777" w:rsidR="00D90118" w:rsidRPr="00AC6B9C" w:rsidRDefault="00D90118" w:rsidP="00D21C6A">
            <w:pPr>
              <w:spacing w:before="100" w:beforeAutospacing="1" w:after="100" w:afterAutospacing="1" w:line="240" w:lineRule="auto"/>
              <w:jc w:val="center"/>
              <w:rPr>
                <w:rFonts w:eastAsia="Times New Roman"/>
                <w:bCs/>
                <w:color w:val="000000"/>
                <w:sz w:val="16"/>
                <w:szCs w:val="16"/>
              </w:rPr>
            </w:pPr>
            <w:r w:rsidRPr="00AC6B9C">
              <w:rPr>
                <w:rFonts w:eastAsia="Times New Roman"/>
                <w:bCs/>
                <w:color w:val="000000"/>
                <w:sz w:val="16"/>
                <w:szCs w:val="16"/>
              </w:rPr>
              <w:t>(2)</w:t>
            </w:r>
          </w:p>
        </w:tc>
        <w:tc>
          <w:tcPr>
            <w:tcW w:w="1025" w:type="dxa"/>
            <w:vAlign w:val="center"/>
            <w:hideMark/>
          </w:tcPr>
          <w:p w14:paraId="2305F005" w14:textId="77777777" w:rsidR="00D90118" w:rsidRPr="00AC6B9C" w:rsidRDefault="00D90118" w:rsidP="00D21C6A">
            <w:pPr>
              <w:spacing w:before="100" w:beforeAutospacing="1" w:after="100" w:afterAutospacing="1" w:line="240" w:lineRule="auto"/>
              <w:jc w:val="center"/>
              <w:rPr>
                <w:rFonts w:eastAsia="Times New Roman"/>
                <w:bCs/>
                <w:color w:val="000000"/>
                <w:sz w:val="16"/>
                <w:szCs w:val="16"/>
              </w:rPr>
            </w:pPr>
            <w:r w:rsidRPr="00AC6B9C">
              <w:rPr>
                <w:rFonts w:eastAsia="Times New Roman"/>
                <w:bCs/>
                <w:color w:val="000000"/>
                <w:sz w:val="16"/>
                <w:szCs w:val="16"/>
              </w:rPr>
              <w:t>(2)</w:t>
            </w:r>
          </w:p>
        </w:tc>
      </w:tr>
    </w:tbl>
    <w:p w14:paraId="61957284" w14:textId="77777777" w:rsidR="00D90118" w:rsidRPr="00562C79" w:rsidRDefault="00D90118" w:rsidP="00D22350">
      <w:pPr>
        <w:pStyle w:val="ListParagraph"/>
        <w:numPr>
          <w:ilvl w:val="0"/>
          <w:numId w:val="13"/>
        </w:numPr>
        <w:rPr>
          <w:sz w:val="16"/>
          <w:szCs w:val="16"/>
        </w:rPr>
      </w:pPr>
      <w:r w:rsidRPr="00562C79">
        <w:rPr>
          <w:sz w:val="16"/>
          <w:szCs w:val="16"/>
        </w:rPr>
        <w:t>Υπολογίζεται ως ο λόγος του αριθμού των αναφορών που καταγράφονται σε ορισμένη χρονική περίοδο (πενταετία) προς το συνολικό αριθμό των δημοσιεύσεων της ίδιας χρονικής περιόδου (την ίδια πενταετία). Ο δείκτης υπολογίζεται ανά διαστήματα κυλιόμενων πενταετιών (2010-2014, 2011-2015, 2012-2016 κ.ο.κ).  Πηγή ΕΚΤ.</w:t>
      </w:r>
    </w:p>
    <w:p w14:paraId="3D572D5C" w14:textId="77777777" w:rsidR="00D90118" w:rsidRPr="00562C79" w:rsidRDefault="00D90118" w:rsidP="00D22350">
      <w:pPr>
        <w:pStyle w:val="ListParagraph"/>
        <w:numPr>
          <w:ilvl w:val="0"/>
          <w:numId w:val="13"/>
        </w:numPr>
        <w:rPr>
          <w:sz w:val="16"/>
          <w:szCs w:val="16"/>
        </w:rPr>
      </w:pPr>
      <w:r w:rsidRPr="00562C79">
        <w:rPr>
          <w:sz w:val="16"/>
          <w:szCs w:val="16"/>
        </w:rPr>
        <w:t>Προγραμματισμένη ημερομηνία δημοσίευσης 2020</w:t>
      </w:r>
    </w:p>
    <w:p w14:paraId="5474027B" w14:textId="77777777" w:rsidR="00D90118" w:rsidRPr="00E52D4D" w:rsidRDefault="00D90118" w:rsidP="00D90118">
      <w:pPr>
        <w:rPr>
          <w:szCs w:val="18"/>
        </w:rPr>
      </w:pPr>
      <w:r w:rsidRPr="00E52D4D">
        <w:rPr>
          <w:szCs w:val="18"/>
        </w:rPr>
        <w:t>Συμπερασματικά</w:t>
      </w:r>
      <w:r>
        <w:rPr>
          <w:szCs w:val="18"/>
        </w:rPr>
        <w:t xml:space="preserve"> σε σχέση με τα παραπάνω στοιχεία</w:t>
      </w:r>
      <w:r w:rsidRPr="00E52D4D">
        <w:rPr>
          <w:szCs w:val="18"/>
        </w:rPr>
        <w:t>:</w:t>
      </w:r>
    </w:p>
    <w:p w14:paraId="018FFD48" w14:textId="77777777" w:rsidR="00D90118" w:rsidRPr="00E52D4D" w:rsidRDefault="00D90118" w:rsidP="00D22350">
      <w:pPr>
        <w:pStyle w:val="ListParagraph"/>
        <w:numPr>
          <w:ilvl w:val="0"/>
          <w:numId w:val="11"/>
        </w:numPr>
        <w:rPr>
          <w:szCs w:val="18"/>
        </w:rPr>
      </w:pPr>
      <w:r w:rsidRPr="00E52D4D">
        <w:rPr>
          <w:szCs w:val="18"/>
        </w:rPr>
        <w:t>Οι Δαπάνες για καινοτομικές δραστηριότητες των επιχειρήσεων με καινοτομία προϊόντος ή/και διαδικασία (ως ποσοστό του ΑΕΠ) αυξήθηκαν από το 2014 στο 2016 κατά 0,28 %.</w:t>
      </w:r>
    </w:p>
    <w:p w14:paraId="0BF46968" w14:textId="77777777" w:rsidR="00D90118" w:rsidRPr="00E52D4D" w:rsidRDefault="00D90118" w:rsidP="00D22350">
      <w:pPr>
        <w:pStyle w:val="ListParagraph"/>
        <w:numPr>
          <w:ilvl w:val="0"/>
          <w:numId w:val="11"/>
        </w:numPr>
        <w:rPr>
          <w:szCs w:val="18"/>
        </w:rPr>
      </w:pPr>
      <w:r w:rsidRPr="00E52D4D">
        <w:rPr>
          <w:rFonts w:eastAsia="Times New Roman"/>
          <w:szCs w:val="18"/>
        </w:rPr>
        <w:t xml:space="preserve">Η Ένταση Δαπανών Έρευνας &amp; Ανάπτυξης αυξήθηκε από το 2014 στο 2017 κατά </w:t>
      </w:r>
      <w:r>
        <w:rPr>
          <w:rFonts w:eastAsia="Times New Roman"/>
          <w:szCs w:val="18"/>
        </w:rPr>
        <w:t>0,3%.</w:t>
      </w:r>
    </w:p>
    <w:p w14:paraId="3A7C81BD" w14:textId="77777777" w:rsidR="00D90118" w:rsidRPr="00F513A2" w:rsidRDefault="00D90118" w:rsidP="00D22350">
      <w:pPr>
        <w:pStyle w:val="ListParagraph"/>
        <w:numPr>
          <w:ilvl w:val="0"/>
          <w:numId w:val="11"/>
        </w:numPr>
        <w:rPr>
          <w:szCs w:val="18"/>
        </w:rPr>
      </w:pPr>
      <w:r w:rsidRPr="00F513A2">
        <w:rPr>
          <w:rFonts w:eastAsia="Times New Roman"/>
          <w:szCs w:val="18"/>
        </w:rPr>
        <w:t>Ο αριθμός των Επιστημονικών δημοσιεύσεων σε διεθνή περιοδικά το διάστημα 2014-2016 δεν παρουσίασε σημαντικές διακυμάνσεις.</w:t>
      </w:r>
    </w:p>
    <w:p w14:paraId="558A1586" w14:textId="77777777" w:rsidR="00D90118" w:rsidRPr="00F513A2" w:rsidRDefault="00D90118" w:rsidP="00D22350">
      <w:pPr>
        <w:pStyle w:val="ListParagraph"/>
        <w:numPr>
          <w:ilvl w:val="0"/>
          <w:numId w:val="11"/>
        </w:numPr>
        <w:rPr>
          <w:sz w:val="17"/>
          <w:szCs w:val="17"/>
        </w:rPr>
      </w:pPr>
      <w:r w:rsidRPr="00F513A2">
        <w:rPr>
          <w:sz w:val="17"/>
          <w:szCs w:val="17"/>
        </w:rPr>
        <w:t>Η Ακαθάριστη Προστιθέμενη Αξία (ΑΠΑ) σε κλάδους υψηλής προστιθέμενης αξίας, χωρίς να εμφ</w:t>
      </w:r>
      <w:r w:rsidR="00F513A2" w:rsidRPr="00F513A2">
        <w:rPr>
          <w:sz w:val="17"/>
          <w:szCs w:val="17"/>
        </w:rPr>
        <w:t>ανίζει σημαντικές διακυμάνσεις</w:t>
      </w:r>
      <w:r w:rsidR="00F513A2">
        <w:rPr>
          <w:sz w:val="17"/>
          <w:szCs w:val="17"/>
        </w:rPr>
        <w:t xml:space="preserve"> </w:t>
      </w:r>
      <w:r w:rsidRPr="00F513A2">
        <w:rPr>
          <w:sz w:val="17"/>
          <w:szCs w:val="17"/>
        </w:rPr>
        <w:t>παρουσιάζει σταδιακή μείωση τα έτη 2015 και 2016</w:t>
      </w:r>
      <w:r w:rsidR="00F513A2" w:rsidRPr="00F513A2">
        <w:rPr>
          <w:sz w:val="17"/>
          <w:szCs w:val="17"/>
        </w:rPr>
        <w:t>,</w:t>
      </w:r>
      <w:r w:rsidRPr="00F513A2">
        <w:rPr>
          <w:sz w:val="17"/>
          <w:szCs w:val="17"/>
        </w:rPr>
        <w:t xml:space="preserve"> με άνοδο </w:t>
      </w:r>
      <w:r w:rsidR="00F513A2" w:rsidRPr="00F513A2">
        <w:rPr>
          <w:sz w:val="17"/>
          <w:szCs w:val="17"/>
        </w:rPr>
        <w:t xml:space="preserve">ωστόσο </w:t>
      </w:r>
      <w:r w:rsidRPr="00F513A2">
        <w:rPr>
          <w:sz w:val="17"/>
          <w:szCs w:val="17"/>
        </w:rPr>
        <w:t>το 2017.</w:t>
      </w:r>
    </w:p>
    <w:p w14:paraId="2D68A061" w14:textId="77777777" w:rsidR="00D90118" w:rsidRPr="00E52D4D" w:rsidRDefault="00D90118" w:rsidP="00D22350">
      <w:pPr>
        <w:pStyle w:val="ListParagraph"/>
        <w:numPr>
          <w:ilvl w:val="0"/>
          <w:numId w:val="11"/>
        </w:numPr>
        <w:rPr>
          <w:szCs w:val="18"/>
        </w:rPr>
      </w:pPr>
      <w:r>
        <w:rPr>
          <w:rFonts w:eastAsia="Times New Roman"/>
          <w:color w:val="000000"/>
          <w:sz w:val="16"/>
          <w:szCs w:val="16"/>
        </w:rPr>
        <w:t>Ο μ</w:t>
      </w:r>
      <w:r w:rsidRPr="007F5988">
        <w:rPr>
          <w:rFonts w:eastAsia="Times New Roman"/>
          <w:color w:val="000000"/>
          <w:sz w:val="16"/>
          <w:szCs w:val="16"/>
        </w:rPr>
        <w:t>έσος όρος αναφορών ανά δημοσίευση Ελλήν</w:t>
      </w:r>
      <w:r>
        <w:rPr>
          <w:rFonts w:eastAsia="Times New Roman"/>
          <w:color w:val="000000"/>
          <w:sz w:val="16"/>
          <w:szCs w:val="16"/>
        </w:rPr>
        <w:t>ων ερευνητών παρουσιάζει σταδιακή αύξηση στις πενταετίες 2010-2014, 2011-2015, 2012-2016.</w:t>
      </w:r>
    </w:p>
    <w:p w14:paraId="21DD75E4" w14:textId="77777777" w:rsidR="00D90118" w:rsidRDefault="00D90118" w:rsidP="00D90118"/>
    <w:p w14:paraId="48007EB3" w14:textId="77777777" w:rsidR="00D90118" w:rsidRDefault="00D90118" w:rsidP="00D90118">
      <w:pPr>
        <w:pStyle w:val="Heading1"/>
      </w:pPr>
      <w:bookmarkStart w:id="39" w:name="_Toc6503383"/>
      <w:bookmarkStart w:id="40" w:name="_Toc22645419"/>
      <w:r>
        <w:t xml:space="preserve">Δείκτες </w:t>
      </w:r>
      <w:r>
        <w:rPr>
          <w:lang w:val="en-US"/>
        </w:rPr>
        <w:t xml:space="preserve">IUS </w:t>
      </w:r>
      <w:r>
        <w:t>Στρατηγικής</w:t>
      </w:r>
      <w:bookmarkEnd w:id="39"/>
      <w:bookmarkEnd w:id="40"/>
    </w:p>
    <w:p w14:paraId="56096ED2" w14:textId="77777777" w:rsidR="00D90118" w:rsidRPr="00CB2078" w:rsidRDefault="00D90118" w:rsidP="00D90118">
      <w:r>
        <w:t xml:space="preserve">Στον πίνακα που ακολουθεί παρουσιάζονται οι τιμές επίτευξης των δεικτών </w:t>
      </w:r>
      <w:r>
        <w:rPr>
          <w:lang w:val="en-US"/>
        </w:rPr>
        <w:t>Innovation</w:t>
      </w:r>
      <w:r w:rsidRPr="00CB2078">
        <w:t xml:space="preserve"> </w:t>
      </w:r>
      <w:r>
        <w:rPr>
          <w:lang w:val="en-US"/>
        </w:rPr>
        <w:t>Union</w:t>
      </w:r>
      <w:r w:rsidRPr="00CB2078">
        <w:t xml:space="preserve"> </w:t>
      </w:r>
      <w:r>
        <w:rPr>
          <w:lang w:val="en-US"/>
        </w:rPr>
        <w:t>Scoreboard</w:t>
      </w:r>
    </w:p>
    <w:p w14:paraId="42ED474E" w14:textId="77777777" w:rsidR="00D90118" w:rsidRDefault="00D90118" w:rsidP="00D90118">
      <w:pPr>
        <w:sectPr w:rsidR="00D90118" w:rsidSect="005476F0">
          <w:footerReference w:type="default" r:id="rId54"/>
          <w:pgSz w:w="11906" w:h="16838"/>
          <w:pgMar w:top="1440" w:right="1247" w:bottom="1440" w:left="1247" w:header="709" w:footer="709" w:gutter="0"/>
          <w:cols w:space="708"/>
          <w:docGrid w:linePitch="360"/>
        </w:sectPr>
      </w:pPr>
    </w:p>
    <w:p w14:paraId="23D54D16" w14:textId="77777777" w:rsidR="009C23C4" w:rsidRPr="009C23C4" w:rsidRDefault="009C23C4" w:rsidP="009C23C4">
      <w:pPr>
        <w:pStyle w:val="Caption"/>
      </w:pPr>
      <w:r>
        <w:lastRenderedPageBreak/>
        <w:t xml:space="preserve">Πίνακας </w:t>
      </w:r>
      <w:r w:rsidR="00833098">
        <w:rPr>
          <w:noProof/>
        </w:rPr>
        <w:fldChar w:fldCharType="begin"/>
      </w:r>
      <w:r w:rsidR="00833098">
        <w:rPr>
          <w:noProof/>
        </w:rPr>
        <w:instrText xml:space="preserve"> STYLEREF 1 \s </w:instrText>
      </w:r>
      <w:r w:rsidR="00833098">
        <w:rPr>
          <w:noProof/>
        </w:rPr>
        <w:fldChar w:fldCharType="separate"/>
      </w:r>
      <w:r w:rsidR="00D56CA9">
        <w:rPr>
          <w:noProof/>
        </w:rPr>
        <w:t>8</w:t>
      </w:r>
      <w:r w:rsidR="00833098">
        <w:rPr>
          <w:noProof/>
        </w:rPr>
        <w:fldChar w:fldCharType="end"/>
      </w:r>
      <w:r>
        <w:noBreakHyphen/>
      </w:r>
      <w:r w:rsidR="00833098">
        <w:rPr>
          <w:noProof/>
        </w:rPr>
        <w:fldChar w:fldCharType="begin"/>
      </w:r>
      <w:r w:rsidR="00833098">
        <w:rPr>
          <w:noProof/>
        </w:rPr>
        <w:instrText xml:space="preserve"> SEQ Πίνακας \* ARABIC \s 1 </w:instrText>
      </w:r>
      <w:r w:rsidR="00833098">
        <w:rPr>
          <w:noProof/>
        </w:rPr>
        <w:fldChar w:fldCharType="separate"/>
      </w:r>
      <w:r w:rsidR="00D56CA9">
        <w:rPr>
          <w:noProof/>
        </w:rPr>
        <w:t>1</w:t>
      </w:r>
      <w:r w:rsidR="00833098">
        <w:rPr>
          <w:noProof/>
        </w:rPr>
        <w:fldChar w:fldCharType="end"/>
      </w:r>
      <w:r>
        <w:t xml:space="preserve">: Τιμές Δεικτών </w:t>
      </w:r>
      <w:r>
        <w:rPr>
          <w:lang w:val="en-US"/>
        </w:rPr>
        <w:t>IUS</w:t>
      </w:r>
      <w:r w:rsidRPr="009C23C4">
        <w:t xml:space="preserve"> </w:t>
      </w:r>
      <w:r>
        <w:t>ετών 2014-2015-2016-2017</w:t>
      </w:r>
    </w:p>
    <w:tbl>
      <w:tblPr>
        <w:tblW w:w="5287" w:type="pct"/>
        <w:tblInd w:w="-719" w:type="dxa"/>
        <w:tblLook w:val="04A0" w:firstRow="1" w:lastRow="0" w:firstColumn="1" w:lastColumn="0" w:noHBand="0" w:noVBand="1"/>
      </w:tblPr>
      <w:tblGrid>
        <w:gridCol w:w="3973"/>
        <w:gridCol w:w="3264"/>
        <w:gridCol w:w="1654"/>
        <w:gridCol w:w="902"/>
        <w:gridCol w:w="858"/>
        <w:gridCol w:w="1017"/>
        <w:gridCol w:w="902"/>
        <w:gridCol w:w="916"/>
        <w:gridCol w:w="1154"/>
        <w:gridCol w:w="902"/>
        <w:gridCol w:w="916"/>
        <w:gridCol w:w="1154"/>
        <w:gridCol w:w="1747"/>
        <w:gridCol w:w="1123"/>
        <w:gridCol w:w="1632"/>
      </w:tblGrid>
      <w:tr w:rsidR="00E75022" w:rsidRPr="00646DDA" w14:paraId="137237B0" w14:textId="77777777" w:rsidTr="00E75022">
        <w:trPr>
          <w:trHeight w:val="510"/>
          <w:tblHeader/>
        </w:trPr>
        <w:tc>
          <w:tcPr>
            <w:tcW w:w="898" w:type="pct"/>
            <w:tcBorders>
              <w:top w:val="single" w:sz="8" w:space="0" w:color="808080"/>
              <w:left w:val="single" w:sz="8" w:space="0" w:color="808080"/>
              <w:bottom w:val="single" w:sz="4" w:space="0" w:color="808080"/>
              <w:right w:val="single" w:sz="4" w:space="0" w:color="808080"/>
            </w:tcBorders>
            <w:shd w:val="clear" w:color="000000" w:fill="800000"/>
            <w:vAlign w:val="center"/>
            <w:hideMark/>
          </w:tcPr>
          <w:p w14:paraId="48FAFEFD"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Ονομασία δείκτη</w:t>
            </w:r>
          </w:p>
        </w:tc>
        <w:tc>
          <w:tcPr>
            <w:tcW w:w="738" w:type="pct"/>
            <w:tcBorders>
              <w:top w:val="single" w:sz="8" w:space="0" w:color="808080"/>
              <w:left w:val="nil"/>
              <w:bottom w:val="single" w:sz="4" w:space="0" w:color="808080"/>
              <w:right w:val="single" w:sz="4" w:space="0" w:color="808080"/>
            </w:tcBorders>
            <w:shd w:val="clear" w:color="000000" w:fill="800000"/>
            <w:vAlign w:val="center"/>
            <w:hideMark/>
          </w:tcPr>
          <w:p w14:paraId="6014FA03"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Indicator name</w:t>
            </w:r>
          </w:p>
        </w:tc>
        <w:tc>
          <w:tcPr>
            <w:tcW w:w="374" w:type="pct"/>
            <w:tcBorders>
              <w:top w:val="single" w:sz="8" w:space="0" w:color="808080"/>
              <w:left w:val="nil"/>
              <w:bottom w:val="single" w:sz="4" w:space="0" w:color="808080"/>
              <w:right w:val="single" w:sz="4" w:space="0" w:color="808080"/>
            </w:tcBorders>
            <w:shd w:val="clear" w:color="000000" w:fill="800000"/>
            <w:vAlign w:val="center"/>
            <w:hideMark/>
          </w:tcPr>
          <w:p w14:paraId="1FC83795"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Μονάδα μέτρησης δείκτη</w:t>
            </w:r>
          </w:p>
        </w:tc>
        <w:tc>
          <w:tcPr>
            <w:tcW w:w="204" w:type="pct"/>
            <w:tcBorders>
              <w:top w:val="single" w:sz="8" w:space="0" w:color="808080"/>
              <w:left w:val="nil"/>
              <w:bottom w:val="single" w:sz="4" w:space="0" w:color="808080"/>
              <w:right w:val="single" w:sz="4" w:space="0" w:color="808080"/>
            </w:tcBorders>
            <w:shd w:val="clear" w:color="000000" w:fill="800000"/>
            <w:vAlign w:val="center"/>
            <w:hideMark/>
          </w:tcPr>
          <w:p w14:paraId="5F091795"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2014</w:t>
            </w:r>
          </w:p>
        </w:tc>
        <w:tc>
          <w:tcPr>
            <w:tcW w:w="194" w:type="pct"/>
            <w:tcBorders>
              <w:top w:val="single" w:sz="8" w:space="0" w:color="808080"/>
              <w:left w:val="nil"/>
              <w:bottom w:val="single" w:sz="4" w:space="0" w:color="808080"/>
              <w:right w:val="single" w:sz="4" w:space="0" w:color="808080"/>
            </w:tcBorders>
            <w:shd w:val="clear" w:color="000000" w:fill="800000"/>
            <w:vAlign w:val="center"/>
            <w:hideMark/>
          </w:tcPr>
          <w:p w14:paraId="7ADAA1C4"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2014-EU28</w:t>
            </w:r>
          </w:p>
        </w:tc>
        <w:tc>
          <w:tcPr>
            <w:tcW w:w="230" w:type="pct"/>
            <w:tcBorders>
              <w:top w:val="single" w:sz="8" w:space="0" w:color="808080"/>
              <w:left w:val="nil"/>
              <w:bottom w:val="single" w:sz="4" w:space="0" w:color="808080"/>
              <w:right w:val="single" w:sz="8" w:space="0" w:color="808080"/>
            </w:tcBorders>
            <w:shd w:val="clear" w:color="000000" w:fill="800000"/>
            <w:vAlign w:val="center"/>
            <w:hideMark/>
          </w:tcPr>
          <w:p w14:paraId="307CD8F6" w14:textId="77777777" w:rsidR="00E75022" w:rsidRPr="00646DDA" w:rsidRDefault="00E75022" w:rsidP="00E75022">
            <w:pPr>
              <w:spacing w:before="0" w:line="240" w:lineRule="auto"/>
              <w:jc w:val="center"/>
              <w:rPr>
                <w:rFonts w:eastAsia="Times New Roman"/>
                <w:b/>
                <w:bCs/>
                <w:i/>
                <w:iCs/>
                <w:color w:val="FFFFFF"/>
                <w:sz w:val="16"/>
                <w:szCs w:val="16"/>
                <w:lang w:eastAsia="el-GR"/>
              </w:rPr>
            </w:pPr>
            <w:r w:rsidRPr="00646DDA">
              <w:rPr>
                <w:rFonts w:eastAsia="Times New Roman"/>
                <w:b/>
                <w:bCs/>
                <w:i/>
                <w:iCs/>
                <w:color w:val="FFFFFF"/>
                <w:sz w:val="16"/>
                <w:szCs w:val="16"/>
                <w:lang w:eastAsia="el-GR"/>
              </w:rPr>
              <w:t>%</w:t>
            </w:r>
          </w:p>
        </w:tc>
        <w:tc>
          <w:tcPr>
            <w:tcW w:w="204" w:type="pct"/>
            <w:tcBorders>
              <w:top w:val="single" w:sz="8" w:space="0" w:color="808080"/>
              <w:left w:val="nil"/>
              <w:bottom w:val="single" w:sz="4" w:space="0" w:color="808080"/>
              <w:right w:val="single" w:sz="4" w:space="0" w:color="808080"/>
            </w:tcBorders>
            <w:shd w:val="clear" w:color="000000" w:fill="800000"/>
            <w:vAlign w:val="center"/>
            <w:hideMark/>
          </w:tcPr>
          <w:p w14:paraId="409C197A"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2015</w:t>
            </w:r>
          </w:p>
        </w:tc>
        <w:tc>
          <w:tcPr>
            <w:tcW w:w="207" w:type="pct"/>
            <w:tcBorders>
              <w:top w:val="single" w:sz="8" w:space="0" w:color="808080"/>
              <w:left w:val="nil"/>
              <w:bottom w:val="single" w:sz="4" w:space="0" w:color="808080"/>
              <w:right w:val="single" w:sz="4" w:space="0" w:color="808080"/>
            </w:tcBorders>
            <w:shd w:val="clear" w:color="000000" w:fill="800000"/>
            <w:vAlign w:val="center"/>
            <w:hideMark/>
          </w:tcPr>
          <w:p w14:paraId="3F8A3B6E"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2015-EU28</w:t>
            </w:r>
          </w:p>
        </w:tc>
        <w:tc>
          <w:tcPr>
            <w:tcW w:w="261" w:type="pct"/>
            <w:tcBorders>
              <w:top w:val="single" w:sz="8" w:space="0" w:color="808080"/>
              <w:left w:val="nil"/>
              <w:bottom w:val="single" w:sz="4" w:space="0" w:color="808080"/>
              <w:right w:val="single" w:sz="8" w:space="0" w:color="808080"/>
            </w:tcBorders>
            <w:shd w:val="clear" w:color="000000" w:fill="800000"/>
            <w:vAlign w:val="center"/>
            <w:hideMark/>
          </w:tcPr>
          <w:p w14:paraId="3516CA32"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w:t>
            </w:r>
          </w:p>
        </w:tc>
        <w:tc>
          <w:tcPr>
            <w:tcW w:w="204" w:type="pct"/>
            <w:tcBorders>
              <w:top w:val="single" w:sz="8" w:space="0" w:color="808080"/>
              <w:left w:val="nil"/>
              <w:bottom w:val="single" w:sz="4" w:space="0" w:color="808080"/>
              <w:right w:val="single" w:sz="4" w:space="0" w:color="808080"/>
            </w:tcBorders>
            <w:shd w:val="clear" w:color="000000" w:fill="800000"/>
            <w:vAlign w:val="center"/>
            <w:hideMark/>
          </w:tcPr>
          <w:p w14:paraId="4657B4D5"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2016</w:t>
            </w:r>
          </w:p>
        </w:tc>
        <w:tc>
          <w:tcPr>
            <w:tcW w:w="207" w:type="pct"/>
            <w:tcBorders>
              <w:top w:val="single" w:sz="8" w:space="0" w:color="808080"/>
              <w:left w:val="nil"/>
              <w:bottom w:val="single" w:sz="4" w:space="0" w:color="808080"/>
              <w:right w:val="single" w:sz="4" w:space="0" w:color="808080"/>
            </w:tcBorders>
            <w:shd w:val="clear" w:color="000000" w:fill="800000"/>
            <w:vAlign w:val="center"/>
            <w:hideMark/>
          </w:tcPr>
          <w:p w14:paraId="2DC132F6"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2016-EU28</w:t>
            </w:r>
          </w:p>
        </w:tc>
        <w:tc>
          <w:tcPr>
            <w:tcW w:w="261" w:type="pct"/>
            <w:tcBorders>
              <w:top w:val="single" w:sz="8" w:space="0" w:color="808080"/>
              <w:left w:val="nil"/>
              <w:bottom w:val="single" w:sz="4" w:space="0" w:color="808080"/>
              <w:right w:val="single" w:sz="8" w:space="0" w:color="808080"/>
            </w:tcBorders>
            <w:shd w:val="clear" w:color="000000" w:fill="800000"/>
            <w:vAlign w:val="center"/>
            <w:hideMark/>
          </w:tcPr>
          <w:p w14:paraId="67CCCA33"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w:t>
            </w:r>
          </w:p>
        </w:tc>
        <w:tc>
          <w:tcPr>
            <w:tcW w:w="395" w:type="pct"/>
            <w:tcBorders>
              <w:top w:val="single" w:sz="8" w:space="0" w:color="808080"/>
              <w:left w:val="nil"/>
              <w:bottom w:val="single" w:sz="4" w:space="0" w:color="808080"/>
              <w:right w:val="single" w:sz="4" w:space="0" w:color="808080"/>
            </w:tcBorders>
            <w:shd w:val="clear" w:color="000000" w:fill="800000"/>
            <w:vAlign w:val="center"/>
            <w:hideMark/>
          </w:tcPr>
          <w:p w14:paraId="367607A1"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2017</w:t>
            </w:r>
          </w:p>
        </w:tc>
        <w:tc>
          <w:tcPr>
            <w:tcW w:w="254" w:type="pct"/>
            <w:tcBorders>
              <w:top w:val="single" w:sz="8" w:space="0" w:color="808080"/>
              <w:left w:val="nil"/>
              <w:bottom w:val="single" w:sz="4" w:space="0" w:color="808080"/>
              <w:right w:val="single" w:sz="4" w:space="0" w:color="808080"/>
            </w:tcBorders>
            <w:shd w:val="clear" w:color="000000" w:fill="800000"/>
            <w:vAlign w:val="center"/>
            <w:hideMark/>
          </w:tcPr>
          <w:p w14:paraId="690F840D"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2017-EU28</w:t>
            </w:r>
          </w:p>
        </w:tc>
        <w:tc>
          <w:tcPr>
            <w:tcW w:w="369" w:type="pct"/>
            <w:tcBorders>
              <w:top w:val="single" w:sz="8" w:space="0" w:color="808080"/>
              <w:left w:val="nil"/>
              <w:bottom w:val="single" w:sz="4" w:space="0" w:color="808080"/>
              <w:right w:val="single" w:sz="8" w:space="0" w:color="808080"/>
            </w:tcBorders>
            <w:shd w:val="clear" w:color="000000" w:fill="800000"/>
            <w:vAlign w:val="center"/>
            <w:hideMark/>
          </w:tcPr>
          <w:p w14:paraId="1349DB64" w14:textId="77777777" w:rsidR="00E75022" w:rsidRPr="00646DDA" w:rsidRDefault="00E75022" w:rsidP="00E75022">
            <w:pPr>
              <w:spacing w:before="0" w:line="240" w:lineRule="auto"/>
              <w:jc w:val="center"/>
              <w:rPr>
                <w:rFonts w:eastAsia="Times New Roman"/>
                <w:b/>
                <w:bCs/>
                <w:color w:val="FFFFFF"/>
                <w:sz w:val="16"/>
                <w:szCs w:val="16"/>
                <w:lang w:eastAsia="el-GR"/>
              </w:rPr>
            </w:pPr>
            <w:r w:rsidRPr="00646DDA">
              <w:rPr>
                <w:rFonts w:eastAsia="Times New Roman"/>
                <w:b/>
                <w:bCs/>
                <w:color w:val="FFFFFF"/>
                <w:sz w:val="16"/>
                <w:szCs w:val="16"/>
                <w:lang w:eastAsia="el-GR"/>
              </w:rPr>
              <w:t>%</w:t>
            </w:r>
          </w:p>
        </w:tc>
      </w:tr>
      <w:tr w:rsidR="00E75022" w:rsidRPr="00646DDA" w14:paraId="080D583B" w14:textId="77777777" w:rsidTr="00E75022">
        <w:trPr>
          <w:trHeight w:val="33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FCF22C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 ΔΕΙΚΤΕΣ ΕΝΔΥΝΑΜΩΣΗΣ</w:t>
            </w:r>
          </w:p>
        </w:tc>
        <w:tc>
          <w:tcPr>
            <w:tcW w:w="738" w:type="pct"/>
            <w:tcBorders>
              <w:top w:val="nil"/>
              <w:left w:val="nil"/>
              <w:bottom w:val="single" w:sz="4" w:space="0" w:color="808080"/>
              <w:right w:val="single" w:sz="4" w:space="0" w:color="808080"/>
            </w:tcBorders>
            <w:shd w:val="clear" w:color="auto" w:fill="auto"/>
            <w:vAlign w:val="center"/>
            <w:hideMark/>
          </w:tcPr>
          <w:p w14:paraId="6876A70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74" w:type="pct"/>
            <w:tcBorders>
              <w:top w:val="nil"/>
              <w:left w:val="nil"/>
              <w:bottom w:val="single" w:sz="4" w:space="0" w:color="808080"/>
              <w:right w:val="single" w:sz="4" w:space="0" w:color="808080"/>
            </w:tcBorders>
            <w:shd w:val="clear" w:color="auto" w:fill="auto"/>
            <w:vAlign w:val="center"/>
            <w:hideMark/>
          </w:tcPr>
          <w:p w14:paraId="2AF1A25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12EE8AD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auto" w:fill="auto"/>
            <w:vAlign w:val="center"/>
            <w:hideMark/>
          </w:tcPr>
          <w:p w14:paraId="64508D9A"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auto" w:fill="auto"/>
            <w:vAlign w:val="center"/>
            <w:hideMark/>
          </w:tcPr>
          <w:p w14:paraId="01553BB2" w14:textId="77777777" w:rsidR="00E75022" w:rsidRPr="00646DDA" w:rsidRDefault="00E75022" w:rsidP="00E75022">
            <w:pPr>
              <w:spacing w:before="0" w:line="240" w:lineRule="auto"/>
              <w:jc w:val="left"/>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3DDFBA9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vAlign w:val="center"/>
            <w:hideMark/>
          </w:tcPr>
          <w:p w14:paraId="4B06CD3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vAlign w:val="center"/>
            <w:hideMark/>
          </w:tcPr>
          <w:p w14:paraId="5EFA798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4A165BF5"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vAlign w:val="center"/>
            <w:hideMark/>
          </w:tcPr>
          <w:p w14:paraId="56D2AD4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vAlign w:val="center"/>
            <w:hideMark/>
          </w:tcPr>
          <w:p w14:paraId="6B4D7BF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auto" w:fill="auto"/>
            <w:vAlign w:val="center"/>
            <w:hideMark/>
          </w:tcPr>
          <w:p w14:paraId="169A8FE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auto" w:fill="auto"/>
            <w:vAlign w:val="center"/>
            <w:hideMark/>
          </w:tcPr>
          <w:p w14:paraId="428F2F1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auto" w:fill="auto"/>
            <w:vAlign w:val="center"/>
            <w:hideMark/>
          </w:tcPr>
          <w:p w14:paraId="0A0F4D1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525550BD"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02FE7FFE"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Ανθρώπινο δυναμικό</w:t>
            </w:r>
          </w:p>
        </w:tc>
        <w:tc>
          <w:tcPr>
            <w:tcW w:w="738" w:type="pct"/>
            <w:tcBorders>
              <w:top w:val="nil"/>
              <w:left w:val="nil"/>
              <w:bottom w:val="single" w:sz="4" w:space="0" w:color="808080"/>
              <w:right w:val="single" w:sz="4" w:space="0" w:color="808080"/>
            </w:tcBorders>
            <w:shd w:val="clear" w:color="auto" w:fill="auto"/>
            <w:vAlign w:val="center"/>
            <w:hideMark/>
          </w:tcPr>
          <w:p w14:paraId="7880DB5B"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Human Resources</w:t>
            </w:r>
          </w:p>
        </w:tc>
        <w:tc>
          <w:tcPr>
            <w:tcW w:w="374" w:type="pct"/>
            <w:tcBorders>
              <w:top w:val="nil"/>
              <w:left w:val="nil"/>
              <w:bottom w:val="single" w:sz="4" w:space="0" w:color="808080"/>
              <w:right w:val="single" w:sz="4" w:space="0" w:color="808080"/>
            </w:tcBorders>
            <w:shd w:val="clear" w:color="000000" w:fill="BFBFBF"/>
            <w:vAlign w:val="center"/>
            <w:hideMark/>
          </w:tcPr>
          <w:p w14:paraId="026C391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CD6B15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235D76B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539F8EAD"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B3175C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37F225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F542F8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3BB121EB"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156F0B3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600E047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14CE07A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3F082A8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3754FC0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5DFE7885"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E07455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Απόφοιτοι διδακτορικού διπλώματος (ISCED 6) ανά 1000 κατοίκους ηλικίας 25-34 ετών</w:t>
            </w:r>
          </w:p>
        </w:tc>
        <w:tc>
          <w:tcPr>
            <w:tcW w:w="738" w:type="pct"/>
            <w:tcBorders>
              <w:top w:val="nil"/>
              <w:left w:val="nil"/>
              <w:bottom w:val="single" w:sz="4" w:space="0" w:color="808080"/>
              <w:right w:val="single" w:sz="4" w:space="0" w:color="808080"/>
            </w:tcBorders>
            <w:shd w:val="clear" w:color="auto" w:fill="auto"/>
            <w:vAlign w:val="center"/>
            <w:hideMark/>
          </w:tcPr>
          <w:p w14:paraId="67FBFCE9"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New doctorate graduates per 1000 population aged 25-34</w:t>
            </w:r>
          </w:p>
        </w:tc>
        <w:tc>
          <w:tcPr>
            <w:tcW w:w="374" w:type="pct"/>
            <w:tcBorders>
              <w:top w:val="nil"/>
              <w:left w:val="nil"/>
              <w:bottom w:val="single" w:sz="4" w:space="0" w:color="808080"/>
              <w:right w:val="single" w:sz="4" w:space="0" w:color="808080"/>
            </w:tcBorders>
            <w:shd w:val="clear" w:color="auto" w:fill="auto"/>
            <w:vAlign w:val="center"/>
            <w:hideMark/>
          </w:tcPr>
          <w:p w14:paraId="49225C79"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PhDs/ 1000 κατοίκους</w:t>
            </w:r>
          </w:p>
        </w:tc>
        <w:tc>
          <w:tcPr>
            <w:tcW w:w="204" w:type="pct"/>
            <w:tcBorders>
              <w:top w:val="nil"/>
              <w:left w:val="nil"/>
              <w:bottom w:val="single" w:sz="4" w:space="0" w:color="808080"/>
              <w:right w:val="single" w:sz="4" w:space="0" w:color="808080"/>
            </w:tcBorders>
            <w:shd w:val="clear" w:color="auto" w:fill="auto"/>
            <w:vAlign w:val="center"/>
            <w:hideMark/>
          </w:tcPr>
          <w:p w14:paraId="4642620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1,10</w:t>
            </w:r>
          </w:p>
        </w:tc>
        <w:tc>
          <w:tcPr>
            <w:tcW w:w="194" w:type="pct"/>
            <w:tcBorders>
              <w:top w:val="nil"/>
              <w:left w:val="nil"/>
              <w:bottom w:val="single" w:sz="4" w:space="0" w:color="808080"/>
              <w:right w:val="single" w:sz="4" w:space="0" w:color="808080"/>
            </w:tcBorders>
            <w:shd w:val="clear" w:color="auto" w:fill="auto"/>
            <w:vAlign w:val="center"/>
            <w:hideMark/>
          </w:tcPr>
          <w:p w14:paraId="7BB778B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1,80</w:t>
            </w:r>
          </w:p>
        </w:tc>
        <w:tc>
          <w:tcPr>
            <w:tcW w:w="230" w:type="pct"/>
            <w:tcBorders>
              <w:top w:val="nil"/>
              <w:left w:val="nil"/>
              <w:bottom w:val="single" w:sz="4" w:space="0" w:color="808080"/>
              <w:right w:val="single" w:sz="8" w:space="0" w:color="808080"/>
            </w:tcBorders>
            <w:shd w:val="clear" w:color="auto" w:fill="auto"/>
            <w:vAlign w:val="center"/>
            <w:hideMark/>
          </w:tcPr>
          <w:p w14:paraId="489FCE77"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61,1%</w:t>
            </w:r>
          </w:p>
        </w:tc>
        <w:tc>
          <w:tcPr>
            <w:tcW w:w="204" w:type="pct"/>
            <w:tcBorders>
              <w:top w:val="nil"/>
              <w:left w:val="nil"/>
              <w:bottom w:val="single" w:sz="4" w:space="0" w:color="808080"/>
              <w:right w:val="single" w:sz="4" w:space="0" w:color="808080"/>
            </w:tcBorders>
            <w:shd w:val="clear" w:color="auto" w:fill="auto"/>
            <w:vAlign w:val="center"/>
            <w:hideMark/>
          </w:tcPr>
          <w:p w14:paraId="35C082F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1,00</w:t>
            </w:r>
          </w:p>
        </w:tc>
        <w:tc>
          <w:tcPr>
            <w:tcW w:w="207" w:type="pct"/>
            <w:tcBorders>
              <w:top w:val="nil"/>
              <w:left w:val="nil"/>
              <w:bottom w:val="single" w:sz="4" w:space="0" w:color="808080"/>
              <w:right w:val="single" w:sz="4" w:space="0" w:color="808080"/>
            </w:tcBorders>
            <w:shd w:val="clear" w:color="auto" w:fill="auto"/>
            <w:vAlign w:val="center"/>
            <w:hideMark/>
          </w:tcPr>
          <w:p w14:paraId="356D58D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1,80</w:t>
            </w:r>
          </w:p>
        </w:tc>
        <w:tc>
          <w:tcPr>
            <w:tcW w:w="261" w:type="pct"/>
            <w:tcBorders>
              <w:top w:val="nil"/>
              <w:left w:val="nil"/>
              <w:bottom w:val="single" w:sz="4" w:space="0" w:color="808080"/>
              <w:right w:val="single" w:sz="8" w:space="0" w:color="808080"/>
            </w:tcBorders>
            <w:shd w:val="clear" w:color="auto" w:fill="auto"/>
            <w:vAlign w:val="center"/>
            <w:hideMark/>
          </w:tcPr>
          <w:p w14:paraId="3EF5BD12"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55,6%</w:t>
            </w:r>
          </w:p>
        </w:tc>
        <w:tc>
          <w:tcPr>
            <w:tcW w:w="204" w:type="pct"/>
            <w:tcBorders>
              <w:top w:val="nil"/>
              <w:left w:val="nil"/>
              <w:bottom w:val="single" w:sz="4" w:space="0" w:color="808080"/>
              <w:right w:val="single" w:sz="4" w:space="0" w:color="808080"/>
            </w:tcBorders>
            <w:shd w:val="clear" w:color="auto" w:fill="auto"/>
            <w:vAlign w:val="center"/>
            <w:hideMark/>
          </w:tcPr>
          <w:p w14:paraId="74631F4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1,10</w:t>
            </w:r>
          </w:p>
        </w:tc>
        <w:tc>
          <w:tcPr>
            <w:tcW w:w="207" w:type="pct"/>
            <w:tcBorders>
              <w:top w:val="nil"/>
              <w:left w:val="nil"/>
              <w:bottom w:val="single" w:sz="4" w:space="0" w:color="808080"/>
              <w:right w:val="single" w:sz="4" w:space="0" w:color="808080"/>
            </w:tcBorders>
            <w:shd w:val="clear" w:color="auto" w:fill="auto"/>
            <w:vAlign w:val="center"/>
            <w:hideMark/>
          </w:tcPr>
          <w:p w14:paraId="19B3A21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1,80</w:t>
            </w:r>
          </w:p>
        </w:tc>
        <w:tc>
          <w:tcPr>
            <w:tcW w:w="261" w:type="pct"/>
            <w:tcBorders>
              <w:top w:val="nil"/>
              <w:left w:val="nil"/>
              <w:bottom w:val="single" w:sz="4" w:space="0" w:color="808080"/>
              <w:right w:val="single" w:sz="8" w:space="0" w:color="808080"/>
            </w:tcBorders>
            <w:shd w:val="clear" w:color="auto" w:fill="auto"/>
            <w:vAlign w:val="center"/>
            <w:hideMark/>
          </w:tcPr>
          <w:p w14:paraId="1B5D0D5E"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61,1%</w:t>
            </w:r>
          </w:p>
        </w:tc>
        <w:tc>
          <w:tcPr>
            <w:tcW w:w="395" w:type="pct"/>
            <w:tcBorders>
              <w:top w:val="nil"/>
              <w:left w:val="nil"/>
              <w:bottom w:val="single" w:sz="4" w:space="0" w:color="808080"/>
              <w:right w:val="single" w:sz="4" w:space="0" w:color="808080"/>
            </w:tcBorders>
            <w:shd w:val="clear" w:color="auto" w:fill="auto"/>
            <w:vAlign w:val="center"/>
            <w:hideMark/>
          </w:tcPr>
          <w:p w14:paraId="5BD6828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1,10</w:t>
            </w:r>
          </w:p>
        </w:tc>
        <w:tc>
          <w:tcPr>
            <w:tcW w:w="254" w:type="pct"/>
            <w:tcBorders>
              <w:top w:val="nil"/>
              <w:left w:val="nil"/>
              <w:bottom w:val="single" w:sz="4" w:space="0" w:color="808080"/>
              <w:right w:val="single" w:sz="4" w:space="0" w:color="808080"/>
            </w:tcBorders>
            <w:shd w:val="clear" w:color="auto" w:fill="auto"/>
            <w:vAlign w:val="center"/>
            <w:hideMark/>
          </w:tcPr>
          <w:p w14:paraId="4F5B25E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2,00</w:t>
            </w:r>
          </w:p>
        </w:tc>
        <w:tc>
          <w:tcPr>
            <w:tcW w:w="369" w:type="pct"/>
            <w:tcBorders>
              <w:top w:val="nil"/>
              <w:left w:val="nil"/>
              <w:bottom w:val="single" w:sz="4" w:space="0" w:color="808080"/>
              <w:right w:val="single" w:sz="8" w:space="0" w:color="808080"/>
            </w:tcBorders>
            <w:shd w:val="clear" w:color="auto" w:fill="auto"/>
            <w:vAlign w:val="center"/>
            <w:hideMark/>
          </w:tcPr>
          <w:p w14:paraId="76CAD29B"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55,0%</w:t>
            </w:r>
          </w:p>
        </w:tc>
      </w:tr>
      <w:tr w:rsidR="00E75022" w:rsidRPr="00646DDA" w14:paraId="1B81BF49"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06627C0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Ποσοστό του πληθυσμού ηλικίας 30-34 ετών που έχει ολοκληρώσει την τριτοβάθμια εκπαίδευση</w:t>
            </w:r>
          </w:p>
        </w:tc>
        <w:tc>
          <w:tcPr>
            <w:tcW w:w="738" w:type="pct"/>
            <w:tcBorders>
              <w:top w:val="nil"/>
              <w:left w:val="nil"/>
              <w:bottom w:val="single" w:sz="4" w:space="0" w:color="808080"/>
              <w:right w:val="single" w:sz="4" w:space="0" w:color="808080"/>
            </w:tcBorders>
            <w:shd w:val="clear" w:color="auto" w:fill="auto"/>
            <w:vAlign w:val="center"/>
            <w:hideMark/>
          </w:tcPr>
          <w:p w14:paraId="0B3D0019"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Percentage population aged 25-34 having completed tertiary education</w:t>
            </w:r>
          </w:p>
        </w:tc>
        <w:tc>
          <w:tcPr>
            <w:tcW w:w="374" w:type="pct"/>
            <w:tcBorders>
              <w:top w:val="nil"/>
              <w:left w:val="nil"/>
              <w:bottom w:val="single" w:sz="4" w:space="0" w:color="808080"/>
              <w:right w:val="single" w:sz="4" w:space="0" w:color="808080"/>
            </w:tcBorders>
            <w:shd w:val="clear" w:color="auto" w:fill="auto"/>
            <w:vAlign w:val="center"/>
            <w:hideMark/>
          </w:tcPr>
          <w:p w14:paraId="3E39739B"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3D14E7D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34,60</w:t>
            </w:r>
          </w:p>
        </w:tc>
        <w:tc>
          <w:tcPr>
            <w:tcW w:w="194" w:type="pct"/>
            <w:tcBorders>
              <w:top w:val="nil"/>
              <w:left w:val="nil"/>
              <w:bottom w:val="single" w:sz="4" w:space="0" w:color="808080"/>
              <w:right w:val="single" w:sz="4" w:space="0" w:color="808080"/>
            </w:tcBorders>
            <w:shd w:val="clear" w:color="auto" w:fill="auto"/>
            <w:vAlign w:val="center"/>
            <w:hideMark/>
          </w:tcPr>
          <w:p w14:paraId="660DDC9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36,90</w:t>
            </w:r>
          </w:p>
        </w:tc>
        <w:tc>
          <w:tcPr>
            <w:tcW w:w="230" w:type="pct"/>
            <w:tcBorders>
              <w:top w:val="nil"/>
              <w:left w:val="nil"/>
              <w:bottom w:val="single" w:sz="4" w:space="0" w:color="808080"/>
              <w:right w:val="single" w:sz="8" w:space="0" w:color="808080"/>
            </w:tcBorders>
            <w:shd w:val="clear" w:color="auto" w:fill="auto"/>
            <w:vAlign w:val="center"/>
            <w:hideMark/>
          </w:tcPr>
          <w:p w14:paraId="3CD5933B"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93,8%</w:t>
            </w:r>
          </w:p>
        </w:tc>
        <w:tc>
          <w:tcPr>
            <w:tcW w:w="204" w:type="pct"/>
            <w:tcBorders>
              <w:top w:val="nil"/>
              <w:left w:val="nil"/>
              <w:bottom w:val="single" w:sz="4" w:space="0" w:color="808080"/>
              <w:right w:val="single" w:sz="4" w:space="0" w:color="808080"/>
            </w:tcBorders>
            <w:shd w:val="clear" w:color="auto" w:fill="auto"/>
            <w:vAlign w:val="center"/>
            <w:hideMark/>
          </w:tcPr>
          <w:p w14:paraId="687E259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39,40</w:t>
            </w:r>
          </w:p>
        </w:tc>
        <w:tc>
          <w:tcPr>
            <w:tcW w:w="207" w:type="pct"/>
            <w:tcBorders>
              <w:top w:val="nil"/>
              <w:left w:val="nil"/>
              <w:bottom w:val="single" w:sz="4" w:space="0" w:color="808080"/>
              <w:right w:val="single" w:sz="4" w:space="0" w:color="808080"/>
            </w:tcBorders>
            <w:shd w:val="clear" w:color="auto" w:fill="auto"/>
            <w:vAlign w:val="center"/>
            <w:hideMark/>
          </w:tcPr>
          <w:p w14:paraId="4A75B01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38,50</w:t>
            </w:r>
          </w:p>
        </w:tc>
        <w:tc>
          <w:tcPr>
            <w:tcW w:w="261" w:type="pct"/>
            <w:tcBorders>
              <w:top w:val="nil"/>
              <w:left w:val="nil"/>
              <w:bottom w:val="single" w:sz="4" w:space="0" w:color="808080"/>
              <w:right w:val="single" w:sz="8" w:space="0" w:color="808080"/>
            </w:tcBorders>
            <w:shd w:val="clear" w:color="auto" w:fill="auto"/>
            <w:vAlign w:val="center"/>
            <w:hideMark/>
          </w:tcPr>
          <w:p w14:paraId="1FF0EA60"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102,3%</w:t>
            </w:r>
          </w:p>
        </w:tc>
        <w:tc>
          <w:tcPr>
            <w:tcW w:w="204" w:type="pct"/>
            <w:tcBorders>
              <w:top w:val="nil"/>
              <w:left w:val="nil"/>
              <w:bottom w:val="single" w:sz="4" w:space="0" w:color="808080"/>
              <w:right w:val="single" w:sz="4" w:space="0" w:color="808080"/>
            </w:tcBorders>
            <w:shd w:val="clear" w:color="auto" w:fill="auto"/>
            <w:vAlign w:val="center"/>
            <w:hideMark/>
          </w:tcPr>
          <w:p w14:paraId="785C290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41,00</w:t>
            </w:r>
          </w:p>
        </w:tc>
        <w:tc>
          <w:tcPr>
            <w:tcW w:w="207" w:type="pct"/>
            <w:tcBorders>
              <w:top w:val="nil"/>
              <w:left w:val="nil"/>
              <w:bottom w:val="single" w:sz="4" w:space="0" w:color="808080"/>
              <w:right w:val="single" w:sz="4" w:space="0" w:color="808080"/>
            </w:tcBorders>
            <w:shd w:val="clear" w:color="auto" w:fill="auto"/>
            <w:vAlign w:val="center"/>
            <w:hideMark/>
          </w:tcPr>
          <w:p w14:paraId="02A0098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38,20</w:t>
            </w:r>
          </w:p>
        </w:tc>
        <w:tc>
          <w:tcPr>
            <w:tcW w:w="261" w:type="pct"/>
            <w:tcBorders>
              <w:top w:val="nil"/>
              <w:left w:val="nil"/>
              <w:bottom w:val="single" w:sz="4" w:space="0" w:color="808080"/>
              <w:right w:val="single" w:sz="8" w:space="0" w:color="808080"/>
            </w:tcBorders>
            <w:shd w:val="clear" w:color="auto" w:fill="auto"/>
            <w:vAlign w:val="center"/>
            <w:hideMark/>
          </w:tcPr>
          <w:p w14:paraId="509A5B3B"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107,3%</w:t>
            </w:r>
          </w:p>
        </w:tc>
        <w:tc>
          <w:tcPr>
            <w:tcW w:w="395" w:type="pct"/>
            <w:tcBorders>
              <w:top w:val="nil"/>
              <w:left w:val="nil"/>
              <w:bottom w:val="single" w:sz="4" w:space="0" w:color="808080"/>
              <w:right w:val="single" w:sz="4" w:space="0" w:color="808080"/>
            </w:tcBorders>
            <w:shd w:val="clear" w:color="auto" w:fill="auto"/>
            <w:vAlign w:val="center"/>
            <w:hideMark/>
          </w:tcPr>
          <w:p w14:paraId="4CAAC27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42,50</w:t>
            </w:r>
          </w:p>
        </w:tc>
        <w:tc>
          <w:tcPr>
            <w:tcW w:w="254" w:type="pct"/>
            <w:tcBorders>
              <w:top w:val="nil"/>
              <w:left w:val="nil"/>
              <w:bottom w:val="single" w:sz="4" w:space="0" w:color="808080"/>
              <w:right w:val="single" w:sz="4" w:space="0" w:color="808080"/>
            </w:tcBorders>
            <w:shd w:val="clear" w:color="auto" w:fill="auto"/>
            <w:vAlign w:val="center"/>
            <w:hideMark/>
          </w:tcPr>
          <w:p w14:paraId="4DF2825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39,00</w:t>
            </w:r>
          </w:p>
        </w:tc>
        <w:tc>
          <w:tcPr>
            <w:tcW w:w="369" w:type="pct"/>
            <w:tcBorders>
              <w:top w:val="nil"/>
              <w:left w:val="nil"/>
              <w:bottom w:val="single" w:sz="4" w:space="0" w:color="808080"/>
              <w:right w:val="single" w:sz="8" w:space="0" w:color="808080"/>
            </w:tcBorders>
            <w:shd w:val="clear" w:color="auto" w:fill="auto"/>
            <w:vAlign w:val="center"/>
            <w:hideMark/>
          </w:tcPr>
          <w:p w14:paraId="6B7FA8F5"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109,0%</w:t>
            </w:r>
          </w:p>
        </w:tc>
      </w:tr>
      <w:tr w:rsidR="00E75022" w:rsidRPr="00646DDA" w14:paraId="60428DA0"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5B9405CC"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Ποσοστό των νέων 20-24 ετών που έχουν ολοκληρώσει τουλάχιστον την ανώτερη βαθμίδα της δευτεροβάθμιας εκπαίδευσης</w:t>
            </w:r>
          </w:p>
        </w:tc>
        <w:tc>
          <w:tcPr>
            <w:tcW w:w="738" w:type="pct"/>
            <w:tcBorders>
              <w:top w:val="nil"/>
              <w:left w:val="nil"/>
              <w:bottom w:val="single" w:sz="4" w:space="0" w:color="808080"/>
              <w:right w:val="single" w:sz="4" w:space="0" w:color="808080"/>
            </w:tcBorders>
            <w:shd w:val="clear" w:color="auto" w:fill="auto"/>
            <w:vAlign w:val="center"/>
            <w:hideMark/>
          </w:tcPr>
          <w:p w14:paraId="58AF3860"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Percentage youth aged 20-24 having attained at least upper secondary education</w:t>
            </w:r>
          </w:p>
        </w:tc>
        <w:tc>
          <w:tcPr>
            <w:tcW w:w="374" w:type="pct"/>
            <w:tcBorders>
              <w:top w:val="nil"/>
              <w:left w:val="nil"/>
              <w:bottom w:val="single" w:sz="4" w:space="0" w:color="808080"/>
              <w:right w:val="single" w:sz="4" w:space="0" w:color="808080"/>
            </w:tcBorders>
            <w:shd w:val="clear" w:color="auto" w:fill="auto"/>
            <w:vAlign w:val="center"/>
            <w:hideMark/>
          </w:tcPr>
          <w:p w14:paraId="5512AFD6"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48F0935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86,50</w:t>
            </w:r>
          </w:p>
        </w:tc>
        <w:tc>
          <w:tcPr>
            <w:tcW w:w="194" w:type="pct"/>
            <w:tcBorders>
              <w:top w:val="nil"/>
              <w:left w:val="nil"/>
              <w:bottom w:val="single" w:sz="4" w:space="0" w:color="808080"/>
              <w:right w:val="single" w:sz="4" w:space="0" w:color="808080"/>
            </w:tcBorders>
            <w:shd w:val="clear" w:color="auto" w:fill="auto"/>
            <w:vAlign w:val="center"/>
            <w:hideMark/>
          </w:tcPr>
          <w:p w14:paraId="505127F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81,00</w:t>
            </w:r>
          </w:p>
        </w:tc>
        <w:tc>
          <w:tcPr>
            <w:tcW w:w="230" w:type="pct"/>
            <w:tcBorders>
              <w:top w:val="nil"/>
              <w:left w:val="nil"/>
              <w:bottom w:val="single" w:sz="4" w:space="0" w:color="808080"/>
              <w:right w:val="single" w:sz="8" w:space="0" w:color="808080"/>
            </w:tcBorders>
            <w:shd w:val="clear" w:color="auto" w:fill="auto"/>
            <w:vAlign w:val="center"/>
            <w:hideMark/>
          </w:tcPr>
          <w:p w14:paraId="54778493"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106,8%</w:t>
            </w:r>
          </w:p>
        </w:tc>
        <w:tc>
          <w:tcPr>
            <w:tcW w:w="204" w:type="pct"/>
            <w:tcBorders>
              <w:top w:val="nil"/>
              <w:left w:val="nil"/>
              <w:bottom w:val="single" w:sz="4" w:space="0" w:color="808080"/>
              <w:right w:val="single" w:sz="4" w:space="0" w:color="808080"/>
            </w:tcBorders>
            <w:shd w:val="clear" w:color="auto" w:fill="auto"/>
            <w:vAlign w:val="center"/>
            <w:hideMark/>
          </w:tcPr>
          <w:p w14:paraId="0825E4A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89,50</w:t>
            </w:r>
          </w:p>
        </w:tc>
        <w:tc>
          <w:tcPr>
            <w:tcW w:w="207" w:type="pct"/>
            <w:tcBorders>
              <w:top w:val="nil"/>
              <w:left w:val="nil"/>
              <w:bottom w:val="single" w:sz="4" w:space="0" w:color="808080"/>
              <w:right w:val="single" w:sz="4" w:space="0" w:color="808080"/>
            </w:tcBorders>
            <w:shd w:val="clear" w:color="auto" w:fill="auto"/>
            <w:vAlign w:val="center"/>
            <w:hideMark/>
          </w:tcPr>
          <w:p w14:paraId="30C2A28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82,60</w:t>
            </w:r>
          </w:p>
        </w:tc>
        <w:tc>
          <w:tcPr>
            <w:tcW w:w="261" w:type="pct"/>
            <w:tcBorders>
              <w:top w:val="nil"/>
              <w:left w:val="nil"/>
              <w:bottom w:val="single" w:sz="4" w:space="0" w:color="808080"/>
              <w:right w:val="single" w:sz="8" w:space="0" w:color="808080"/>
            </w:tcBorders>
            <w:shd w:val="clear" w:color="auto" w:fill="auto"/>
            <w:vAlign w:val="center"/>
            <w:hideMark/>
          </w:tcPr>
          <w:p w14:paraId="35E2F608"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108,4%</w:t>
            </w:r>
          </w:p>
        </w:tc>
        <w:tc>
          <w:tcPr>
            <w:tcW w:w="204" w:type="pct"/>
            <w:tcBorders>
              <w:top w:val="nil"/>
              <w:left w:val="nil"/>
              <w:bottom w:val="single" w:sz="4" w:space="0" w:color="808080"/>
              <w:right w:val="single" w:sz="4" w:space="0" w:color="808080"/>
            </w:tcBorders>
            <w:shd w:val="clear" w:color="000000" w:fill="BFBFBF"/>
            <w:vAlign w:val="center"/>
            <w:hideMark/>
          </w:tcPr>
          <w:p w14:paraId="5F055F9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6C30A65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2169BE2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70AFDB1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2575F3A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39111AE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49196193"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4400E4F"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Ποσοστό πληθυσμού ηλικίας 25-64 που συμμετέχει σε προγράμματα Διαβίου Μάθησης.</w:t>
            </w:r>
          </w:p>
        </w:tc>
        <w:tc>
          <w:tcPr>
            <w:tcW w:w="738" w:type="pct"/>
            <w:tcBorders>
              <w:top w:val="nil"/>
              <w:left w:val="nil"/>
              <w:bottom w:val="single" w:sz="4" w:space="0" w:color="808080"/>
              <w:right w:val="single" w:sz="4" w:space="0" w:color="808080"/>
            </w:tcBorders>
            <w:shd w:val="clear" w:color="auto" w:fill="auto"/>
            <w:vAlign w:val="center"/>
            <w:hideMark/>
          </w:tcPr>
          <w:p w14:paraId="5871EF13"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 xml:space="preserve">Percentage population aged 25-64 participating in lifelong learning (2016-2017) </w:t>
            </w:r>
            <w:r w:rsidRPr="00646DDA">
              <w:rPr>
                <w:rFonts w:eastAsia="Times New Roman"/>
                <w:b/>
                <w:bCs/>
                <w:color w:val="000000"/>
                <w:sz w:val="16"/>
                <w:szCs w:val="16"/>
                <w:lang w:val="en-US" w:eastAsia="el-GR"/>
              </w:rPr>
              <w:t>- NEW</w:t>
            </w:r>
          </w:p>
        </w:tc>
        <w:tc>
          <w:tcPr>
            <w:tcW w:w="374" w:type="pct"/>
            <w:tcBorders>
              <w:top w:val="nil"/>
              <w:left w:val="nil"/>
              <w:bottom w:val="single" w:sz="4" w:space="0" w:color="808080"/>
              <w:right w:val="single" w:sz="4" w:space="0" w:color="808080"/>
            </w:tcBorders>
            <w:shd w:val="clear" w:color="auto" w:fill="auto"/>
            <w:vAlign w:val="center"/>
            <w:hideMark/>
          </w:tcPr>
          <w:p w14:paraId="25ED87D7"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000000" w:fill="BFBFBF"/>
            <w:vAlign w:val="center"/>
            <w:hideMark/>
          </w:tcPr>
          <w:p w14:paraId="2481181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078569F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24400DFE"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48657F2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78CB9F4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36AA7C2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4568B1E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4,00</w:t>
            </w:r>
          </w:p>
        </w:tc>
        <w:tc>
          <w:tcPr>
            <w:tcW w:w="207" w:type="pct"/>
            <w:tcBorders>
              <w:top w:val="nil"/>
              <w:left w:val="nil"/>
              <w:bottom w:val="single" w:sz="4" w:space="0" w:color="808080"/>
              <w:right w:val="single" w:sz="4" w:space="0" w:color="808080"/>
            </w:tcBorders>
            <w:shd w:val="clear" w:color="auto" w:fill="auto"/>
            <w:vAlign w:val="center"/>
            <w:hideMark/>
          </w:tcPr>
          <w:p w14:paraId="5C7E332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10,80</w:t>
            </w:r>
          </w:p>
        </w:tc>
        <w:tc>
          <w:tcPr>
            <w:tcW w:w="261" w:type="pct"/>
            <w:tcBorders>
              <w:top w:val="nil"/>
              <w:left w:val="nil"/>
              <w:bottom w:val="single" w:sz="4" w:space="0" w:color="808080"/>
              <w:right w:val="single" w:sz="8" w:space="0" w:color="808080"/>
            </w:tcBorders>
            <w:shd w:val="clear" w:color="auto" w:fill="auto"/>
            <w:vAlign w:val="center"/>
            <w:hideMark/>
          </w:tcPr>
          <w:p w14:paraId="707C39A6"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37,0%</w:t>
            </w:r>
          </w:p>
        </w:tc>
        <w:tc>
          <w:tcPr>
            <w:tcW w:w="395" w:type="pct"/>
            <w:tcBorders>
              <w:top w:val="nil"/>
              <w:left w:val="nil"/>
              <w:bottom w:val="single" w:sz="4" w:space="0" w:color="808080"/>
              <w:right w:val="single" w:sz="4" w:space="0" w:color="808080"/>
            </w:tcBorders>
            <w:shd w:val="clear" w:color="auto" w:fill="auto"/>
            <w:vAlign w:val="center"/>
            <w:hideMark/>
          </w:tcPr>
          <w:p w14:paraId="68BC8C2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4,50</w:t>
            </w:r>
          </w:p>
        </w:tc>
        <w:tc>
          <w:tcPr>
            <w:tcW w:w="254" w:type="pct"/>
            <w:tcBorders>
              <w:top w:val="nil"/>
              <w:left w:val="nil"/>
              <w:bottom w:val="single" w:sz="4" w:space="0" w:color="808080"/>
              <w:right w:val="single" w:sz="4" w:space="0" w:color="808080"/>
            </w:tcBorders>
            <w:shd w:val="clear" w:color="auto" w:fill="auto"/>
            <w:vAlign w:val="center"/>
            <w:hideMark/>
          </w:tcPr>
          <w:p w14:paraId="24591E3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10,90</w:t>
            </w:r>
          </w:p>
        </w:tc>
        <w:tc>
          <w:tcPr>
            <w:tcW w:w="369" w:type="pct"/>
            <w:tcBorders>
              <w:top w:val="nil"/>
              <w:left w:val="nil"/>
              <w:bottom w:val="single" w:sz="4" w:space="0" w:color="808080"/>
              <w:right w:val="single" w:sz="8" w:space="0" w:color="808080"/>
            </w:tcBorders>
            <w:shd w:val="clear" w:color="auto" w:fill="auto"/>
            <w:vAlign w:val="center"/>
            <w:hideMark/>
          </w:tcPr>
          <w:p w14:paraId="09E8F55B"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41,3%</w:t>
            </w:r>
          </w:p>
        </w:tc>
      </w:tr>
      <w:tr w:rsidR="00E75022" w:rsidRPr="003254F0" w14:paraId="55B0BB12"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DC1231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Ανοικτά, εξαιρετικά και ελκυστικά συστήματα έρευνας</w:t>
            </w:r>
          </w:p>
        </w:tc>
        <w:tc>
          <w:tcPr>
            <w:tcW w:w="738" w:type="pct"/>
            <w:tcBorders>
              <w:top w:val="nil"/>
              <w:left w:val="nil"/>
              <w:bottom w:val="single" w:sz="4" w:space="0" w:color="808080"/>
              <w:right w:val="single" w:sz="4" w:space="0" w:color="808080"/>
            </w:tcBorders>
            <w:shd w:val="clear" w:color="auto" w:fill="auto"/>
            <w:vAlign w:val="center"/>
            <w:hideMark/>
          </w:tcPr>
          <w:p w14:paraId="256CD9CB"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Open, excellent and attractive research systems</w:t>
            </w:r>
          </w:p>
        </w:tc>
        <w:tc>
          <w:tcPr>
            <w:tcW w:w="374" w:type="pct"/>
            <w:tcBorders>
              <w:top w:val="nil"/>
              <w:left w:val="nil"/>
              <w:bottom w:val="single" w:sz="4" w:space="0" w:color="808080"/>
              <w:right w:val="single" w:sz="4" w:space="0" w:color="808080"/>
            </w:tcBorders>
            <w:shd w:val="clear" w:color="000000" w:fill="BFBFBF"/>
            <w:vAlign w:val="center"/>
            <w:hideMark/>
          </w:tcPr>
          <w:p w14:paraId="5BEBF485"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6107FDE" w14:textId="77777777" w:rsidR="00E75022" w:rsidRPr="00646DDA" w:rsidRDefault="00E75022" w:rsidP="00E75022">
            <w:pPr>
              <w:spacing w:before="0" w:line="240" w:lineRule="auto"/>
              <w:jc w:val="center"/>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42060A31" w14:textId="77777777" w:rsidR="00E75022" w:rsidRPr="00646DDA" w:rsidRDefault="00E75022" w:rsidP="00E75022">
            <w:pPr>
              <w:spacing w:before="0" w:line="240" w:lineRule="auto"/>
              <w:jc w:val="center"/>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7CC1C985" w14:textId="77777777" w:rsidR="00E75022" w:rsidRPr="00646DDA" w:rsidRDefault="00E75022" w:rsidP="00E75022">
            <w:pPr>
              <w:spacing w:before="0" w:line="240" w:lineRule="auto"/>
              <w:jc w:val="center"/>
              <w:rPr>
                <w:rFonts w:eastAsia="Times New Roman"/>
                <w:b/>
                <w:bCs/>
                <w:i/>
                <w:iCs/>
                <w:color w:val="000000"/>
                <w:sz w:val="16"/>
                <w:szCs w:val="16"/>
                <w:lang w:val="en-US" w:eastAsia="el-GR"/>
              </w:rPr>
            </w:pPr>
            <w:r w:rsidRPr="00646DDA">
              <w:rPr>
                <w:rFonts w:eastAsia="Times New Roman"/>
                <w:b/>
                <w:bCs/>
                <w:i/>
                <w:iCs/>
                <w:color w:val="000000"/>
                <w:sz w:val="16"/>
                <w:szCs w:val="16"/>
                <w:lang w:val="en-US"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315CFDB6"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577DF579"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163F124E"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CADEAAB"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07105BAB"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199975C8" w14:textId="77777777" w:rsidR="00E75022" w:rsidRPr="00646DDA" w:rsidRDefault="00E75022" w:rsidP="00E75022">
            <w:pPr>
              <w:spacing w:before="0" w:line="240" w:lineRule="auto"/>
              <w:jc w:val="left"/>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2F483826" w14:textId="77777777" w:rsidR="00E75022" w:rsidRPr="00646DDA" w:rsidRDefault="00E75022" w:rsidP="00E75022">
            <w:pPr>
              <w:spacing w:before="0" w:line="240" w:lineRule="auto"/>
              <w:jc w:val="center"/>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009ED004" w14:textId="77777777" w:rsidR="00E75022" w:rsidRPr="00646DDA" w:rsidRDefault="00E75022" w:rsidP="00E75022">
            <w:pPr>
              <w:spacing w:before="0" w:line="240" w:lineRule="auto"/>
              <w:jc w:val="center"/>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679EE47F" w14:textId="77777777" w:rsidR="00E75022" w:rsidRPr="00646DDA" w:rsidRDefault="00E75022" w:rsidP="00E75022">
            <w:pPr>
              <w:spacing w:before="0" w:line="240" w:lineRule="auto"/>
              <w:jc w:val="center"/>
              <w:rPr>
                <w:rFonts w:eastAsia="Times New Roman"/>
                <w:b/>
                <w:bCs/>
                <w:color w:val="000000"/>
                <w:sz w:val="16"/>
                <w:szCs w:val="16"/>
                <w:lang w:val="en-US" w:eastAsia="el-GR"/>
              </w:rPr>
            </w:pPr>
            <w:r w:rsidRPr="00646DDA">
              <w:rPr>
                <w:rFonts w:eastAsia="Times New Roman"/>
                <w:b/>
                <w:bCs/>
                <w:color w:val="000000"/>
                <w:sz w:val="16"/>
                <w:szCs w:val="16"/>
                <w:lang w:val="en-US" w:eastAsia="el-GR"/>
              </w:rPr>
              <w:t> </w:t>
            </w:r>
          </w:p>
        </w:tc>
      </w:tr>
      <w:tr w:rsidR="00E75022" w:rsidRPr="00646DDA" w14:paraId="7A516D21"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8058C29"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Διεθνείς επιστημονικές συν-δημοσιεύσεις ανά εκατομμύριο πληθυσμού</w:t>
            </w:r>
          </w:p>
        </w:tc>
        <w:tc>
          <w:tcPr>
            <w:tcW w:w="738" w:type="pct"/>
            <w:tcBorders>
              <w:top w:val="nil"/>
              <w:left w:val="nil"/>
              <w:bottom w:val="single" w:sz="4" w:space="0" w:color="808080"/>
              <w:right w:val="single" w:sz="4" w:space="0" w:color="808080"/>
            </w:tcBorders>
            <w:shd w:val="clear" w:color="auto" w:fill="auto"/>
            <w:vAlign w:val="center"/>
            <w:hideMark/>
          </w:tcPr>
          <w:p w14:paraId="07DEECF2"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International scientific co-publications per million population</w:t>
            </w:r>
          </w:p>
        </w:tc>
        <w:tc>
          <w:tcPr>
            <w:tcW w:w="374" w:type="pct"/>
            <w:tcBorders>
              <w:top w:val="nil"/>
              <w:left w:val="nil"/>
              <w:bottom w:val="single" w:sz="4" w:space="0" w:color="808080"/>
              <w:right w:val="single" w:sz="4" w:space="0" w:color="808080"/>
            </w:tcBorders>
            <w:shd w:val="clear" w:color="auto" w:fill="auto"/>
            <w:vAlign w:val="center"/>
            <w:hideMark/>
          </w:tcPr>
          <w:p w14:paraId="0E34B0B2"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Δημοσιεύσεις ανά εκατομμύριο πληθυσμού</w:t>
            </w:r>
          </w:p>
        </w:tc>
        <w:tc>
          <w:tcPr>
            <w:tcW w:w="204" w:type="pct"/>
            <w:tcBorders>
              <w:top w:val="nil"/>
              <w:left w:val="nil"/>
              <w:bottom w:val="single" w:sz="4" w:space="0" w:color="808080"/>
              <w:right w:val="single" w:sz="4" w:space="0" w:color="808080"/>
            </w:tcBorders>
            <w:shd w:val="clear" w:color="auto" w:fill="auto"/>
            <w:vAlign w:val="center"/>
            <w:hideMark/>
          </w:tcPr>
          <w:p w14:paraId="166B59A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620</w:t>
            </w:r>
          </w:p>
        </w:tc>
        <w:tc>
          <w:tcPr>
            <w:tcW w:w="194" w:type="pct"/>
            <w:tcBorders>
              <w:top w:val="nil"/>
              <w:left w:val="nil"/>
              <w:bottom w:val="single" w:sz="4" w:space="0" w:color="808080"/>
              <w:right w:val="single" w:sz="4" w:space="0" w:color="808080"/>
            </w:tcBorders>
            <w:shd w:val="clear" w:color="auto" w:fill="auto"/>
            <w:vAlign w:val="center"/>
            <w:hideMark/>
          </w:tcPr>
          <w:p w14:paraId="2F5B565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363</w:t>
            </w:r>
          </w:p>
        </w:tc>
        <w:tc>
          <w:tcPr>
            <w:tcW w:w="230" w:type="pct"/>
            <w:tcBorders>
              <w:top w:val="nil"/>
              <w:left w:val="nil"/>
              <w:bottom w:val="single" w:sz="4" w:space="0" w:color="808080"/>
              <w:right w:val="single" w:sz="8" w:space="0" w:color="808080"/>
            </w:tcBorders>
            <w:shd w:val="clear" w:color="auto" w:fill="auto"/>
            <w:vAlign w:val="center"/>
            <w:hideMark/>
          </w:tcPr>
          <w:p w14:paraId="5E0B9541"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170,8%</w:t>
            </w:r>
          </w:p>
        </w:tc>
        <w:tc>
          <w:tcPr>
            <w:tcW w:w="204" w:type="pct"/>
            <w:tcBorders>
              <w:top w:val="nil"/>
              <w:left w:val="nil"/>
              <w:bottom w:val="single" w:sz="4" w:space="0" w:color="808080"/>
              <w:right w:val="single" w:sz="4" w:space="0" w:color="808080"/>
            </w:tcBorders>
            <w:shd w:val="clear" w:color="auto" w:fill="auto"/>
            <w:vAlign w:val="center"/>
            <w:hideMark/>
          </w:tcPr>
          <w:p w14:paraId="7D69B60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549</w:t>
            </w:r>
          </w:p>
        </w:tc>
        <w:tc>
          <w:tcPr>
            <w:tcW w:w="207" w:type="pct"/>
            <w:tcBorders>
              <w:top w:val="nil"/>
              <w:left w:val="nil"/>
              <w:bottom w:val="single" w:sz="4" w:space="0" w:color="808080"/>
              <w:right w:val="single" w:sz="4" w:space="0" w:color="808080"/>
            </w:tcBorders>
            <w:shd w:val="clear" w:color="auto" w:fill="auto"/>
            <w:vAlign w:val="center"/>
            <w:hideMark/>
          </w:tcPr>
          <w:p w14:paraId="5B7A0FF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459</w:t>
            </w:r>
          </w:p>
        </w:tc>
        <w:tc>
          <w:tcPr>
            <w:tcW w:w="261" w:type="pct"/>
            <w:tcBorders>
              <w:top w:val="nil"/>
              <w:left w:val="nil"/>
              <w:bottom w:val="single" w:sz="4" w:space="0" w:color="808080"/>
              <w:right w:val="single" w:sz="8" w:space="0" w:color="808080"/>
            </w:tcBorders>
            <w:shd w:val="clear" w:color="auto" w:fill="auto"/>
            <w:vAlign w:val="center"/>
            <w:hideMark/>
          </w:tcPr>
          <w:p w14:paraId="74C2C799"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119,6%</w:t>
            </w:r>
          </w:p>
        </w:tc>
        <w:tc>
          <w:tcPr>
            <w:tcW w:w="204" w:type="pct"/>
            <w:tcBorders>
              <w:top w:val="nil"/>
              <w:left w:val="nil"/>
              <w:bottom w:val="single" w:sz="4" w:space="0" w:color="808080"/>
              <w:right w:val="single" w:sz="4" w:space="0" w:color="808080"/>
            </w:tcBorders>
            <w:shd w:val="clear" w:color="auto" w:fill="auto"/>
            <w:vAlign w:val="center"/>
            <w:hideMark/>
          </w:tcPr>
          <w:p w14:paraId="6F702F1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591</w:t>
            </w:r>
          </w:p>
        </w:tc>
        <w:tc>
          <w:tcPr>
            <w:tcW w:w="207" w:type="pct"/>
            <w:tcBorders>
              <w:top w:val="nil"/>
              <w:left w:val="nil"/>
              <w:bottom w:val="single" w:sz="4" w:space="0" w:color="808080"/>
              <w:right w:val="single" w:sz="4" w:space="0" w:color="808080"/>
            </w:tcBorders>
            <w:shd w:val="clear" w:color="auto" w:fill="auto"/>
            <w:vAlign w:val="center"/>
            <w:hideMark/>
          </w:tcPr>
          <w:p w14:paraId="3DCC798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496</w:t>
            </w:r>
          </w:p>
        </w:tc>
        <w:tc>
          <w:tcPr>
            <w:tcW w:w="261" w:type="pct"/>
            <w:tcBorders>
              <w:top w:val="nil"/>
              <w:left w:val="nil"/>
              <w:bottom w:val="single" w:sz="4" w:space="0" w:color="808080"/>
              <w:right w:val="single" w:sz="8" w:space="0" w:color="808080"/>
            </w:tcBorders>
            <w:shd w:val="clear" w:color="auto" w:fill="auto"/>
            <w:vAlign w:val="center"/>
            <w:hideMark/>
          </w:tcPr>
          <w:p w14:paraId="685EEB9C"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119,2%</w:t>
            </w:r>
          </w:p>
        </w:tc>
        <w:tc>
          <w:tcPr>
            <w:tcW w:w="395" w:type="pct"/>
            <w:tcBorders>
              <w:top w:val="nil"/>
              <w:left w:val="nil"/>
              <w:bottom w:val="single" w:sz="4" w:space="0" w:color="808080"/>
              <w:right w:val="single" w:sz="4" w:space="0" w:color="808080"/>
            </w:tcBorders>
            <w:shd w:val="clear" w:color="auto" w:fill="auto"/>
            <w:vAlign w:val="center"/>
            <w:hideMark/>
          </w:tcPr>
          <w:p w14:paraId="1C81A90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608</w:t>
            </w:r>
          </w:p>
        </w:tc>
        <w:tc>
          <w:tcPr>
            <w:tcW w:w="254" w:type="pct"/>
            <w:tcBorders>
              <w:top w:val="nil"/>
              <w:left w:val="nil"/>
              <w:bottom w:val="single" w:sz="4" w:space="0" w:color="808080"/>
              <w:right w:val="single" w:sz="4" w:space="0" w:color="808080"/>
            </w:tcBorders>
            <w:shd w:val="clear" w:color="auto" w:fill="auto"/>
            <w:vAlign w:val="center"/>
            <w:hideMark/>
          </w:tcPr>
          <w:p w14:paraId="353E0D7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517</w:t>
            </w:r>
          </w:p>
        </w:tc>
        <w:tc>
          <w:tcPr>
            <w:tcW w:w="369" w:type="pct"/>
            <w:tcBorders>
              <w:top w:val="nil"/>
              <w:left w:val="nil"/>
              <w:bottom w:val="single" w:sz="4" w:space="0" w:color="808080"/>
              <w:right w:val="single" w:sz="8" w:space="0" w:color="808080"/>
            </w:tcBorders>
            <w:shd w:val="clear" w:color="auto" w:fill="auto"/>
            <w:vAlign w:val="center"/>
            <w:hideMark/>
          </w:tcPr>
          <w:p w14:paraId="28986B19"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117,6%</w:t>
            </w:r>
          </w:p>
        </w:tc>
      </w:tr>
      <w:tr w:rsidR="00E75022" w:rsidRPr="00646DDA" w14:paraId="2196A2D5" w14:textId="77777777" w:rsidTr="00E75022">
        <w:trPr>
          <w:trHeight w:val="96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0D47D0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Επιστημονικές δημοσιεύσεις μεταξύ των πλέον αναφερομένων δημοσιεύσεων (10%) σε όλο τον κόσμο ως ποσοστό του συνόλου των επιστημονικών δημοσιεύσεων της χώρας</w:t>
            </w:r>
          </w:p>
        </w:tc>
        <w:tc>
          <w:tcPr>
            <w:tcW w:w="738" w:type="pct"/>
            <w:tcBorders>
              <w:top w:val="nil"/>
              <w:left w:val="nil"/>
              <w:bottom w:val="single" w:sz="4" w:space="0" w:color="808080"/>
              <w:right w:val="single" w:sz="4" w:space="0" w:color="808080"/>
            </w:tcBorders>
            <w:shd w:val="clear" w:color="auto" w:fill="auto"/>
            <w:vAlign w:val="center"/>
            <w:hideMark/>
          </w:tcPr>
          <w:p w14:paraId="12CD6111"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Scientific publications among the top-10% most cited publications worldwide as percentage of total scientific publications of the country</w:t>
            </w:r>
          </w:p>
        </w:tc>
        <w:tc>
          <w:tcPr>
            <w:tcW w:w="374" w:type="pct"/>
            <w:tcBorders>
              <w:top w:val="nil"/>
              <w:left w:val="nil"/>
              <w:bottom w:val="single" w:sz="4" w:space="0" w:color="808080"/>
              <w:right w:val="single" w:sz="4" w:space="0" w:color="808080"/>
            </w:tcBorders>
            <w:shd w:val="clear" w:color="auto" w:fill="auto"/>
            <w:vAlign w:val="center"/>
            <w:hideMark/>
          </w:tcPr>
          <w:p w14:paraId="6C1195C0"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79AAD90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9,20</w:t>
            </w:r>
          </w:p>
        </w:tc>
        <w:tc>
          <w:tcPr>
            <w:tcW w:w="194" w:type="pct"/>
            <w:tcBorders>
              <w:top w:val="nil"/>
              <w:left w:val="nil"/>
              <w:bottom w:val="single" w:sz="4" w:space="0" w:color="808080"/>
              <w:right w:val="single" w:sz="4" w:space="0" w:color="808080"/>
            </w:tcBorders>
            <w:shd w:val="clear" w:color="auto" w:fill="auto"/>
            <w:vAlign w:val="center"/>
            <w:hideMark/>
          </w:tcPr>
          <w:p w14:paraId="2A54487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11,00</w:t>
            </w:r>
          </w:p>
        </w:tc>
        <w:tc>
          <w:tcPr>
            <w:tcW w:w="230" w:type="pct"/>
            <w:tcBorders>
              <w:top w:val="nil"/>
              <w:left w:val="nil"/>
              <w:bottom w:val="single" w:sz="4" w:space="0" w:color="808080"/>
              <w:right w:val="single" w:sz="8" w:space="0" w:color="808080"/>
            </w:tcBorders>
            <w:shd w:val="clear" w:color="auto" w:fill="auto"/>
            <w:vAlign w:val="center"/>
            <w:hideMark/>
          </w:tcPr>
          <w:p w14:paraId="7E6BF6BB"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83,6%</w:t>
            </w:r>
          </w:p>
        </w:tc>
        <w:tc>
          <w:tcPr>
            <w:tcW w:w="204" w:type="pct"/>
            <w:tcBorders>
              <w:top w:val="nil"/>
              <w:left w:val="nil"/>
              <w:bottom w:val="single" w:sz="4" w:space="0" w:color="808080"/>
              <w:right w:val="single" w:sz="4" w:space="0" w:color="808080"/>
            </w:tcBorders>
            <w:shd w:val="clear" w:color="auto" w:fill="auto"/>
            <w:vAlign w:val="center"/>
            <w:hideMark/>
          </w:tcPr>
          <w:p w14:paraId="0EE5626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9,00</w:t>
            </w:r>
          </w:p>
        </w:tc>
        <w:tc>
          <w:tcPr>
            <w:tcW w:w="207" w:type="pct"/>
            <w:tcBorders>
              <w:top w:val="nil"/>
              <w:left w:val="nil"/>
              <w:bottom w:val="single" w:sz="4" w:space="0" w:color="808080"/>
              <w:right w:val="single" w:sz="4" w:space="0" w:color="808080"/>
            </w:tcBorders>
            <w:shd w:val="clear" w:color="auto" w:fill="auto"/>
            <w:vAlign w:val="center"/>
            <w:hideMark/>
          </w:tcPr>
          <w:p w14:paraId="10FD475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10,50</w:t>
            </w:r>
          </w:p>
        </w:tc>
        <w:tc>
          <w:tcPr>
            <w:tcW w:w="261" w:type="pct"/>
            <w:tcBorders>
              <w:top w:val="nil"/>
              <w:left w:val="nil"/>
              <w:bottom w:val="single" w:sz="4" w:space="0" w:color="808080"/>
              <w:right w:val="single" w:sz="8" w:space="0" w:color="808080"/>
            </w:tcBorders>
            <w:shd w:val="clear" w:color="auto" w:fill="auto"/>
            <w:vAlign w:val="center"/>
            <w:hideMark/>
          </w:tcPr>
          <w:p w14:paraId="5FA77FDE"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85,7%</w:t>
            </w:r>
          </w:p>
        </w:tc>
        <w:tc>
          <w:tcPr>
            <w:tcW w:w="204" w:type="pct"/>
            <w:tcBorders>
              <w:top w:val="nil"/>
              <w:left w:val="nil"/>
              <w:bottom w:val="single" w:sz="4" w:space="0" w:color="808080"/>
              <w:right w:val="single" w:sz="4" w:space="0" w:color="808080"/>
            </w:tcBorders>
            <w:shd w:val="clear" w:color="auto" w:fill="auto"/>
            <w:vAlign w:val="center"/>
            <w:hideMark/>
          </w:tcPr>
          <w:p w14:paraId="37E1539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8,90</w:t>
            </w:r>
          </w:p>
        </w:tc>
        <w:tc>
          <w:tcPr>
            <w:tcW w:w="207" w:type="pct"/>
            <w:tcBorders>
              <w:top w:val="nil"/>
              <w:left w:val="nil"/>
              <w:bottom w:val="single" w:sz="4" w:space="0" w:color="808080"/>
              <w:right w:val="single" w:sz="4" w:space="0" w:color="808080"/>
            </w:tcBorders>
            <w:shd w:val="clear" w:color="auto" w:fill="auto"/>
            <w:vAlign w:val="center"/>
            <w:hideMark/>
          </w:tcPr>
          <w:p w14:paraId="5A51CAC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10,60</w:t>
            </w:r>
          </w:p>
        </w:tc>
        <w:tc>
          <w:tcPr>
            <w:tcW w:w="261" w:type="pct"/>
            <w:tcBorders>
              <w:top w:val="nil"/>
              <w:left w:val="nil"/>
              <w:bottom w:val="single" w:sz="4" w:space="0" w:color="808080"/>
              <w:right w:val="single" w:sz="8" w:space="0" w:color="808080"/>
            </w:tcBorders>
            <w:shd w:val="clear" w:color="auto" w:fill="auto"/>
            <w:vAlign w:val="center"/>
            <w:hideMark/>
          </w:tcPr>
          <w:p w14:paraId="0EDD5A90"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84,0%</w:t>
            </w:r>
          </w:p>
        </w:tc>
        <w:tc>
          <w:tcPr>
            <w:tcW w:w="395" w:type="pct"/>
            <w:tcBorders>
              <w:top w:val="nil"/>
              <w:left w:val="nil"/>
              <w:bottom w:val="single" w:sz="4" w:space="0" w:color="808080"/>
              <w:right w:val="single" w:sz="4" w:space="0" w:color="808080"/>
            </w:tcBorders>
            <w:shd w:val="clear" w:color="auto" w:fill="auto"/>
            <w:vAlign w:val="center"/>
            <w:hideMark/>
          </w:tcPr>
          <w:p w14:paraId="5CE7FC1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9,00</w:t>
            </w:r>
          </w:p>
        </w:tc>
        <w:tc>
          <w:tcPr>
            <w:tcW w:w="254" w:type="pct"/>
            <w:tcBorders>
              <w:top w:val="nil"/>
              <w:left w:val="nil"/>
              <w:bottom w:val="single" w:sz="4" w:space="0" w:color="808080"/>
              <w:right w:val="single" w:sz="4" w:space="0" w:color="808080"/>
            </w:tcBorders>
            <w:shd w:val="clear" w:color="auto" w:fill="auto"/>
            <w:vAlign w:val="center"/>
            <w:hideMark/>
          </w:tcPr>
          <w:p w14:paraId="4ABFA80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10,60</w:t>
            </w:r>
          </w:p>
        </w:tc>
        <w:tc>
          <w:tcPr>
            <w:tcW w:w="369" w:type="pct"/>
            <w:tcBorders>
              <w:top w:val="nil"/>
              <w:left w:val="nil"/>
              <w:bottom w:val="single" w:sz="4" w:space="0" w:color="808080"/>
              <w:right w:val="single" w:sz="8" w:space="0" w:color="808080"/>
            </w:tcBorders>
            <w:shd w:val="clear" w:color="auto" w:fill="auto"/>
            <w:vAlign w:val="center"/>
            <w:hideMark/>
          </w:tcPr>
          <w:p w14:paraId="359EA116"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84,9%</w:t>
            </w:r>
          </w:p>
        </w:tc>
      </w:tr>
      <w:tr w:rsidR="00E75022" w:rsidRPr="00646DDA" w14:paraId="7E92A4D2"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AF1970D"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Διδακτορικού επιπέδου φοιτητές από χώρες εκτός ΕΕ ως ποσοστό του συνόλου των φοιτητών διδακτορικού διπλώματος</w:t>
            </w:r>
          </w:p>
        </w:tc>
        <w:tc>
          <w:tcPr>
            <w:tcW w:w="738" w:type="pct"/>
            <w:tcBorders>
              <w:top w:val="nil"/>
              <w:left w:val="nil"/>
              <w:bottom w:val="single" w:sz="4" w:space="0" w:color="808080"/>
              <w:right w:val="single" w:sz="4" w:space="0" w:color="808080"/>
            </w:tcBorders>
            <w:shd w:val="clear" w:color="auto" w:fill="auto"/>
            <w:vAlign w:val="center"/>
            <w:hideMark/>
          </w:tcPr>
          <w:p w14:paraId="113CA71E"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Foreign doctorate students as percentage of all doctorate students</w:t>
            </w:r>
          </w:p>
        </w:tc>
        <w:tc>
          <w:tcPr>
            <w:tcW w:w="374" w:type="pct"/>
            <w:tcBorders>
              <w:top w:val="nil"/>
              <w:left w:val="nil"/>
              <w:bottom w:val="single" w:sz="4" w:space="0" w:color="808080"/>
              <w:right w:val="single" w:sz="4" w:space="0" w:color="808080"/>
            </w:tcBorders>
            <w:shd w:val="clear" w:color="auto" w:fill="auto"/>
            <w:vAlign w:val="center"/>
            <w:hideMark/>
          </w:tcPr>
          <w:p w14:paraId="5EE3D1C2"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64F2F19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1,00</w:t>
            </w:r>
          </w:p>
        </w:tc>
        <w:tc>
          <w:tcPr>
            <w:tcW w:w="194" w:type="pct"/>
            <w:tcBorders>
              <w:top w:val="nil"/>
              <w:left w:val="nil"/>
              <w:bottom w:val="single" w:sz="4" w:space="0" w:color="808080"/>
              <w:right w:val="single" w:sz="4" w:space="0" w:color="808080"/>
            </w:tcBorders>
            <w:shd w:val="clear" w:color="auto" w:fill="auto"/>
            <w:vAlign w:val="center"/>
            <w:hideMark/>
          </w:tcPr>
          <w:p w14:paraId="572B203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25,00</w:t>
            </w:r>
          </w:p>
        </w:tc>
        <w:tc>
          <w:tcPr>
            <w:tcW w:w="230" w:type="pct"/>
            <w:tcBorders>
              <w:top w:val="nil"/>
              <w:left w:val="nil"/>
              <w:bottom w:val="single" w:sz="4" w:space="0" w:color="808080"/>
              <w:right w:val="single" w:sz="8" w:space="0" w:color="808080"/>
            </w:tcBorders>
            <w:shd w:val="clear" w:color="auto" w:fill="auto"/>
            <w:vAlign w:val="center"/>
            <w:hideMark/>
          </w:tcPr>
          <w:p w14:paraId="2C7EFF0C"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4,0%</w:t>
            </w:r>
          </w:p>
        </w:tc>
        <w:tc>
          <w:tcPr>
            <w:tcW w:w="204" w:type="pct"/>
            <w:tcBorders>
              <w:top w:val="nil"/>
              <w:left w:val="nil"/>
              <w:bottom w:val="single" w:sz="4" w:space="0" w:color="808080"/>
              <w:right w:val="single" w:sz="4" w:space="0" w:color="808080"/>
            </w:tcBorders>
            <w:shd w:val="clear" w:color="auto" w:fill="auto"/>
            <w:vAlign w:val="center"/>
            <w:hideMark/>
          </w:tcPr>
          <w:p w14:paraId="1F0B43E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Μ/Δ</w:t>
            </w:r>
          </w:p>
        </w:tc>
        <w:tc>
          <w:tcPr>
            <w:tcW w:w="207" w:type="pct"/>
            <w:tcBorders>
              <w:top w:val="nil"/>
              <w:left w:val="nil"/>
              <w:bottom w:val="single" w:sz="4" w:space="0" w:color="808080"/>
              <w:right w:val="single" w:sz="4" w:space="0" w:color="808080"/>
            </w:tcBorders>
            <w:shd w:val="clear" w:color="auto" w:fill="auto"/>
            <w:vAlign w:val="center"/>
            <w:hideMark/>
          </w:tcPr>
          <w:p w14:paraId="0E37E46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17,80</w:t>
            </w:r>
          </w:p>
        </w:tc>
        <w:tc>
          <w:tcPr>
            <w:tcW w:w="261" w:type="pct"/>
            <w:tcBorders>
              <w:top w:val="nil"/>
              <w:left w:val="nil"/>
              <w:bottom w:val="single" w:sz="4" w:space="0" w:color="808080"/>
              <w:right w:val="single" w:sz="8" w:space="0" w:color="808080"/>
            </w:tcBorders>
            <w:shd w:val="clear" w:color="auto" w:fill="auto"/>
            <w:vAlign w:val="center"/>
            <w:hideMark/>
          </w:tcPr>
          <w:p w14:paraId="11414EAF"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#VALUE!</w:t>
            </w:r>
          </w:p>
        </w:tc>
        <w:tc>
          <w:tcPr>
            <w:tcW w:w="204" w:type="pct"/>
            <w:tcBorders>
              <w:top w:val="nil"/>
              <w:left w:val="nil"/>
              <w:bottom w:val="single" w:sz="4" w:space="0" w:color="808080"/>
              <w:right w:val="single" w:sz="4" w:space="0" w:color="808080"/>
            </w:tcBorders>
            <w:shd w:val="clear" w:color="auto" w:fill="auto"/>
            <w:vAlign w:val="center"/>
            <w:hideMark/>
          </w:tcPr>
          <w:p w14:paraId="1174433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Μ/Δ</w:t>
            </w:r>
          </w:p>
        </w:tc>
        <w:tc>
          <w:tcPr>
            <w:tcW w:w="207" w:type="pct"/>
            <w:tcBorders>
              <w:top w:val="nil"/>
              <w:left w:val="nil"/>
              <w:bottom w:val="single" w:sz="4" w:space="0" w:color="808080"/>
              <w:right w:val="single" w:sz="4" w:space="0" w:color="808080"/>
            </w:tcBorders>
            <w:shd w:val="clear" w:color="auto" w:fill="auto"/>
            <w:vAlign w:val="center"/>
            <w:hideMark/>
          </w:tcPr>
          <w:p w14:paraId="3442DB2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25,6</w:t>
            </w:r>
          </w:p>
        </w:tc>
        <w:tc>
          <w:tcPr>
            <w:tcW w:w="261" w:type="pct"/>
            <w:tcBorders>
              <w:top w:val="nil"/>
              <w:left w:val="nil"/>
              <w:bottom w:val="single" w:sz="4" w:space="0" w:color="808080"/>
              <w:right w:val="single" w:sz="8" w:space="0" w:color="808080"/>
            </w:tcBorders>
            <w:shd w:val="clear" w:color="auto" w:fill="auto"/>
            <w:vAlign w:val="center"/>
            <w:hideMark/>
          </w:tcPr>
          <w:p w14:paraId="03DD9EDE"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#VALUE!</w:t>
            </w:r>
          </w:p>
        </w:tc>
        <w:tc>
          <w:tcPr>
            <w:tcW w:w="395" w:type="pct"/>
            <w:tcBorders>
              <w:top w:val="nil"/>
              <w:left w:val="nil"/>
              <w:bottom w:val="single" w:sz="4" w:space="0" w:color="808080"/>
              <w:right w:val="single" w:sz="4" w:space="0" w:color="808080"/>
            </w:tcBorders>
            <w:shd w:val="clear" w:color="auto" w:fill="auto"/>
            <w:vAlign w:val="center"/>
            <w:hideMark/>
          </w:tcPr>
          <w:p w14:paraId="6824534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Μ/Δ</w:t>
            </w:r>
          </w:p>
        </w:tc>
        <w:tc>
          <w:tcPr>
            <w:tcW w:w="254" w:type="pct"/>
            <w:tcBorders>
              <w:top w:val="nil"/>
              <w:left w:val="nil"/>
              <w:bottom w:val="single" w:sz="4" w:space="0" w:color="808080"/>
              <w:right w:val="single" w:sz="4" w:space="0" w:color="808080"/>
            </w:tcBorders>
            <w:shd w:val="clear" w:color="auto" w:fill="auto"/>
            <w:vAlign w:val="center"/>
            <w:hideMark/>
          </w:tcPr>
          <w:p w14:paraId="549AF60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26,1</w:t>
            </w:r>
          </w:p>
        </w:tc>
        <w:tc>
          <w:tcPr>
            <w:tcW w:w="369" w:type="pct"/>
            <w:tcBorders>
              <w:top w:val="nil"/>
              <w:left w:val="nil"/>
              <w:bottom w:val="single" w:sz="4" w:space="0" w:color="808080"/>
              <w:right w:val="single" w:sz="8" w:space="0" w:color="808080"/>
            </w:tcBorders>
            <w:shd w:val="clear" w:color="auto" w:fill="auto"/>
            <w:vAlign w:val="center"/>
            <w:hideMark/>
          </w:tcPr>
          <w:p w14:paraId="57DE19DA"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#VALUE!</w:t>
            </w:r>
          </w:p>
        </w:tc>
      </w:tr>
      <w:tr w:rsidR="00E75022" w:rsidRPr="00646DDA" w14:paraId="490F3E75"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5ACA0A5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Καινοτομία φιλική προς το περιβάλλον</w:t>
            </w:r>
          </w:p>
        </w:tc>
        <w:tc>
          <w:tcPr>
            <w:tcW w:w="738" w:type="pct"/>
            <w:tcBorders>
              <w:top w:val="nil"/>
              <w:left w:val="nil"/>
              <w:bottom w:val="single" w:sz="4" w:space="0" w:color="808080"/>
              <w:right w:val="single" w:sz="4" w:space="0" w:color="808080"/>
            </w:tcBorders>
            <w:shd w:val="clear" w:color="auto" w:fill="auto"/>
            <w:vAlign w:val="center"/>
            <w:hideMark/>
          </w:tcPr>
          <w:p w14:paraId="13FAB35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Innovation-frendly environement</w:t>
            </w:r>
          </w:p>
        </w:tc>
        <w:tc>
          <w:tcPr>
            <w:tcW w:w="374" w:type="pct"/>
            <w:tcBorders>
              <w:top w:val="nil"/>
              <w:left w:val="nil"/>
              <w:bottom w:val="single" w:sz="4" w:space="0" w:color="808080"/>
              <w:right w:val="single" w:sz="4" w:space="0" w:color="808080"/>
            </w:tcBorders>
            <w:shd w:val="clear" w:color="000000" w:fill="BFBFBF"/>
            <w:vAlign w:val="center"/>
            <w:hideMark/>
          </w:tcPr>
          <w:p w14:paraId="13BF22B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6A3A7F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6F6F6E4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20E6281B"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389D61F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08C3DF2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D54AB4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143B303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3DB55FA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72239A4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5AE2855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3F23061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3DADA13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427443EB"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8DBE92A"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Διείσδυση ευρυζωνικών συνδέσεων</w:t>
            </w:r>
          </w:p>
        </w:tc>
        <w:tc>
          <w:tcPr>
            <w:tcW w:w="738" w:type="pct"/>
            <w:tcBorders>
              <w:top w:val="nil"/>
              <w:left w:val="nil"/>
              <w:bottom w:val="single" w:sz="4" w:space="0" w:color="808080"/>
              <w:right w:val="single" w:sz="4" w:space="0" w:color="808080"/>
            </w:tcBorders>
            <w:shd w:val="clear" w:color="auto" w:fill="auto"/>
            <w:vAlign w:val="center"/>
            <w:hideMark/>
          </w:tcPr>
          <w:p w14:paraId="578CE83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Broadband penetration - ΝEW</w:t>
            </w:r>
          </w:p>
        </w:tc>
        <w:tc>
          <w:tcPr>
            <w:tcW w:w="374" w:type="pct"/>
            <w:tcBorders>
              <w:top w:val="nil"/>
              <w:left w:val="nil"/>
              <w:bottom w:val="single" w:sz="4" w:space="0" w:color="808080"/>
              <w:right w:val="single" w:sz="4" w:space="0" w:color="808080"/>
            </w:tcBorders>
            <w:shd w:val="clear" w:color="auto" w:fill="auto"/>
            <w:vAlign w:val="center"/>
            <w:hideMark/>
          </w:tcPr>
          <w:p w14:paraId="53B57EC4"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000000" w:fill="BFBFBF"/>
            <w:vAlign w:val="center"/>
            <w:hideMark/>
          </w:tcPr>
          <w:p w14:paraId="74CCF78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7641A79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4FC78E98"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35B63A5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AE9866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BD70DD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643ACFD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2,00</w:t>
            </w:r>
          </w:p>
        </w:tc>
        <w:tc>
          <w:tcPr>
            <w:tcW w:w="207" w:type="pct"/>
            <w:tcBorders>
              <w:top w:val="nil"/>
              <w:left w:val="nil"/>
              <w:bottom w:val="single" w:sz="4" w:space="0" w:color="808080"/>
              <w:right w:val="single" w:sz="4" w:space="0" w:color="808080"/>
            </w:tcBorders>
            <w:shd w:val="clear" w:color="auto" w:fill="auto"/>
            <w:vAlign w:val="center"/>
            <w:hideMark/>
          </w:tcPr>
          <w:p w14:paraId="3F434F2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13,00</w:t>
            </w:r>
          </w:p>
        </w:tc>
        <w:tc>
          <w:tcPr>
            <w:tcW w:w="261" w:type="pct"/>
            <w:tcBorders>
              <w:top w:val="nil"/>
              <w:left w:val="nil"/>
              <w:bottom w:val="single" w:sz="4" w:space="0" w:color="808080"/>
              <w:right w:val="single" w:sz="8" w:space="0" w:color="808080"/>
            </w:tcBorders>
            <w:shd w:val="clear" w:color="auto" w:fill="auto"/>
            <w:vAlign w:val="center"/>
            <w:hideMark/>
          </w:tcPr>
          <w:p w14:paraId="144171C7"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15,4%</w:t>
            </w:r>
          </w:p>
        </w:tc>
        <w:tc>
          <w:tcPr>
            <w:tcW w:w="395" w:type="pct"/>
            <w:tcBorders>
              <w:top w:val="nil"/>
              <w:left w:val="nil"/>
              <w:bottom w:val="single" w:sz="4" w:space="0" w:color="808080"/>
              <w:right w:val="single" w:sz="4" w:space="0" w:color="808080"/>
            </w:tcBorders>
            <w:shd w:val="clear" w:color="auto" w:fill="auto"/>
            <w:vAlign w:val="center"/>
            <w:hideMark/>
          </w:tcPr>
          <w:p w14:paraId="2DB69F8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5,00</w:t>
            </w:r>
          </w:p>
        </w:tc>
        <w:tc>
          <w:tcPr>
            <w:tcW w:w="254" w:type="pct"/>
            <w:tcBorders>
              <w:top w:val="nil"/>
              <w:left w:val="nil"/>
              <w:bottom w:val="single" w:sz="4" w:space="0" w:color="808080"/>
              <w:right w:val="single" w:sz="4" w:space="0" w:color="808080"/>
            </w:tcBorders>
            <w:shd w:val="clear" w:color="auto" w:fill="auto"/>
            <w:vAlign w:val="center"/>
            <w:hideMark/>
          </w:tcPr>
          <w:p w14:paraId="52120B4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16,00</w:t>
            </w:r>
          </w:p>
        </w:tc>
        <w:tc>
          <w:tcPr>
            <w:tcW w:w="369" w:type="pct"/>
            <w:tcBorders>
              <w:top w:val="nil"/>
              <w:left w:val="nil"/>
              <w:bottom w:val="single" w:sz="4" w:space="0" w:color="808080"/>
              <w:right w:val="single" w:sz="8" w:space="0" w:color="808080"/>
            </w:tcBorders>
            <w:shd w:val="clear" w:color="auto" w:fill="auto"/>
            <w:vAlign w:val="center"/>
            <w:hideMark/>
          </w:tcPr>
          <w:p w14:paraId="19468BF7"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31,3%</w:t>
            </w:r>
          </w:p>
        </w:tc>
      </w:tr>
      <w:tr w:rsidR="00E75022" w:rsidRPr="00646DDA" w14:paraId="3246E692"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015E6943"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Επιχειρηματικότητα ευκαιρίας</w:t>
            </w:r>
          </w:p>
        </w:tc>
        <w:tc>
          <w:tcPr>
            <w:tcW w:w="738" w:type="pct"/>
            <w:tcBorders>
              <w:top w:val="nil"/>
              <w:left w:val="nil"/>
              <w:bottom w:val="single" w:sz="4" w:space="0" w:color="808080"/>
              <w:right w:val="single" w:sz="4" w:space="0" w:color="808080"/>
            </w:tcBorders>
            <w:shd w:val="clear" w:color="auto" w:fill="auto"/>
            <w:vAlign w:val="center"/>
            <w:hideMark/>
          </w:tcPr>
          <w:p w14:paraId="1DF8EF7B"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Opportunity-driven entrepreneurship (Motivational index) - NEW</w:t>
            </w:r>
          </w:p>
        </w:tc>
        <w:tc>
          <w:tcPr>
            <w:tcW w:w="374" w:type="pct"/>
            <w:tcBorders>
              <w:top w:val="nil"/>
              <w:left w:val="nil"/>
              <w:bottom w:val="single" w:sz="4" w:space="0" w:color="808080"/>
              <w:right w:val="single" w:sz="4" w:space="0" w:color="808080"/>
            </w:tcBorders>
            <w:shd w:val="clear" w:color="auto" w:fill="auto"/>
            <w:vAlign w:val="center"/>
            <w:hideMark/>
          </w:tcPr>
          <w:p w14:paraId="720807BD"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000000" w:fill="BFBFBF"/>
            <w:vAlign w:val="center"/>
            <w:hideMark/>
          </w:tcPr>
          <w:p w14:paraId="391DE2F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4A9A202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15CFADD8"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5B4CE3C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FCA240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78D3F96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7712CED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1,20</w:t>
            </w:r>
          </w:p>
        </w:tc>
        <w:tc>
          <w:tcPr>
            <w:tcW w:w="207" w:type="pct"/>
            <w:tcBorders>
              <w:top w:val="nil"/>
              <w:left w:val="nil"/>
              <w:bottom w:val="single" w:sz="4" w:space="0" w:color="808080"/>
              <w:right w:val="single" w:sz="4" w:space="0" w:color="808080"/>
            </w:tcBorders>
            <w:shd w:val="clear" w:color="auto" w:fill="auto"/>
            <w:vAlign w:val="center"/>
            <w:hideMark/>
          </w:tcPr>
          <w:p w14:paraId="2796B8D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3,10</w:t>
            </w:r>
          </w:p>
        </w:tc>
        <w:tc>
          <w:tcPr>
            <w:tcW w:w="261" w:type="pct"/>
            <w:tcBorders>
              <w:top w:val="nil"/>
              <w:left w:val="nil"/>
              <w:bottom w:val="single" w:sz="4" w:space="0" w:color="808080"/>
              <w:right w:val="single" w:sz="8" w:space="0" w:color="808080"/>
            </w:tcBorders>
            <w:shd w:val="clear" w:color="auto" w:fill="auto"/>
            <w:vAlign w:val="center"/>
            <w:hideMark/>
          </w:tcPr>
          <w:p w14:paraId="5C3E1819"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38,7%</w:t>
            </w:r>
          </w:p>
        </w:tc>
        <w:tc>
          <w:tcPr>
            <w:tcW w:w="395" w:type="pct"/>
            <w:tcBorders>
              <w:top w:val="nil"/>
              <w:left w:val="nil"/>
              <w:bottom w:val="single" w:sz="4" w:space="0" w:color="808080"/>
              <w:right w:val="single" w:sz="4" w:space="0" w:color="808080"/>
            </w:tcBorders>
            <w:shd w:val="clear" w:color="auto" w:fill="auto"/>
            <w:vAlign w:val="center"/>
            <w:hideMark/>
          </w:tcPr>
          <w:p w14:paraId="552F6AE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1,50</w:t>
            </w:r>
          </w:p>
        </w:tc>
        <w:tc>
          <w:tcPr>
            <w:tcW w:w="254" w:type="pct"/>
            <w:tcBorders>
              <w:top w:val="nil"/>
              <w:left w:val="nil"/>
              <w:bottom w:val="single" w:sz="4" w:space="0" w:color="808080"/>
              <w:right w:val="single" w:sz="4" w:space="0" w:color="808080"/>
            </w:tcBorders>
            <w:shd w:val="clear" w:color="auto" w:fill="auto"/>
            <w:vAlign w:val="center"/>
            <w:hideMark/>
          </w:tcPr>
          <w:p w14:paraId="1725B28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3,30</w:t>
            </w:r>
          </w:p>
        </w:tc>
        <w:tc>
          <w:tcPr>
            <w:tcW w:w="369" w:type="pct"/>
            <w:tcBorders>
              <w:top w:val="nil"/>
              <w:left w:val="nil"/>
              <w:bottom w:val="single" w:sz="4" w:space="0" w:color="808080"/>
              <w:right w:val="single" w:sz="8" w:space="0" w:color="808080"/>
            </w:tcBorders>
            <w:shd w:val="clear" w:color="auto" w:fill="auto"/>
            <w:vAlign w:val="center"/>
            <w:hideMark/>
          </w:tcPr>
          <w:p w14:paraId="1C3EDA3C"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45,5%</w:t>
            </w:r>
          </w:p>
        </w:tc>
      </w:tr>
      <w:tr w:rsidR="00E75022" w:rsidRPr="00646DDA" w14:paraId="605B6687"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508406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Χρηματοδότηση και υποστήριξη</w:t>
            </w:r>
          </w:p>
        </w:tc>
        <w:tc>
          <w:tcPr>
            <w:tcW w:w="738" w:type="pct"/>
            <w:tcBorders>
              <w:top w:val="nil"/>
              <w:left w:val="nil"/>
              <w:bottom w:val="single" w:sz="4" w:space="0" w:color="808080"/>
              <w:right w:val="single" w:sz="4" w:space="0" w:color="808080"/>
            </w:tcBorders>
            <w:shd w:val="clear" w:color="auto" w:fill="auto"/>
            <w:vAlign w:val="center"/>
            <w:hideMark/>
          </w:tcPr>
          <w:p w14:paraId="089BE00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Finance and support</w:t>
            </w:r>
          </w:p>
        </w:tc>
        <w:tc>
          <w:tcPr>
            <w:tcW w:w="374" w:type="pct"/>
            <w:tcBorders>
              <w:top w:val="nil"/>
              <w:left w:val="nil"/>
              <w:bottom w:val="single" w:sz="4" w:space="0" w:color="808080"/>
              <w:right w:val="single" w:sz="4" w:space="0" w:color="808080"/>
            </w:tcBorders>
            <w:shd w:val="clear" w:color="000000" w:fill="BFBFBF"/>
            <w:vAlign w:val="center"/>
            <w:hideMark/>
          </w:tcPr>
          <w:p w14:paraId="5EEE24E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710A091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290B44B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30572107"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199AE48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663D1655"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08EA32E"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B16EF8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09F0FE3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7D565A5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74D41F2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08BB344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10D1EC1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2DC9A264"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D793504"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Δαπάνες Ε&amp;Α στο δημόσιο τομέα ως ποσοστό του ΑΕΠ</w:t>
            </w:r>
          </w:p>
        </w:tc>
        <w:tc>
          <w:tcPr>
            <w:tcW w:w="738" w:type="pct"/>
            <w:tcBorders>
              <w:top w:val="nil"/>
              <w:left w:val="nil"/>
              <w:bottom w:val="single" w:sz="4" w:space="0" w:color="808080"/>
              <w:right w:val="single" w:sz="4" w:space="0" w:color="808080"/>
            </w:tcBorders>
            <w:shd w:val="clear" w:color="auto" w:fill="auto"/>
            <w:vAlign w:val="center"/>
            <w:hideMark/>
          </w:tcPr>
          <w:p w14:paraId="1DF3AA7B"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R&amp;D expenditure in the public sector as percentage of GDP</w:t>
            </w:r>
          </w:p>
        </w:tc>
        <w:tc>
          <w:tcPr>
            <w:tcW w:w="374" w:type="pct"/>
            <w:tcBorders>
              <w:top w:val="nil"/>
              <w:left w:val="nil"/>
              <w:bottom w:val="single" w:sz="4" w:space="0" w:color="808080"/>
              <w:right w:val="single" w:sz="4" w:space="0" w:color="808080"/>
            </w:tcBorders>
            <w:shd w:val="clear" w:color="auto" w:fill="auto"/>
            <w:vAlign w:val="center"/>
            <w:hideMark/>
          </w:tcPr>
          <w:p w14:paraId="27DFE3DD"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53354B1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0,50</w:t>
            </w:r>
          </w:p>
        </w:tc>
        <w:tc>
          <w:tcPr>
            <w:tcW w:w="194" w:type="pct"/>
            <w:tcBorders>
              <w:top w:val="nil"/>
              <w:left w:val="nil"/>
              <w:bottom w:val="single" w:sz="4" w:space="0" w:color="808080"/>
              <w:right w:val="single" w:sz="4" w:space="0" w:color="808080"/>
            </w:tcBorders>
            <w:shd w:val="clear" w:color="auto" w:fill="auto"/>
            <w:vAlign w:val="center"/>
            <w:hideMark/>
          </w:tcPr>
          <w:p w14:paraId="3E8E4E8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0,72</w:t>
            </w:r>
          </w:p>
        </w:tc>
        <w:tc>
          <w:tcPr>
            <w:tcW w:w="230" w:type="pct"/>
            <w:tcBorders>
              <w:top w:val="nil"/>
              <w:left w:val="nil"/>
              <w:bottom w:val="single" w:sz="4" w:space="0" w:color="808080"/>
              <w:right w:val="single" w:sz="8" w:space="0" w:color="808080"/>
            </w:tcBorders>
            <w:shd w:val="clear" w:color="auto" w:fill="auto"/>
            <w:vAlign w:val="center"/>
            <w:hideMark/>
          </w:tcPr>
          <w:p w14:paraId="74667796"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69,4%</w:t>
            </w:r>
          </w:p>
        </w:tc>
        <w:tc>
          <w:tcPr>
            <w:tcW w:w="204" w:type="pct"/>
            <w:tcBorders>
              <w:top w:val="nil"/>
              <w:left w:val="nil"/>
              <w:bottom w:val="single" w:sz="4" w:space="0" w:color="808080"/>
              <w:right w:val="single" w:sz="4" w:space="0" w:color="808080"/>
            </w:tcBorders>
            <w:shd w:val="clear" w:color="auto" w:fill="auto"/>
            <w:vAlign w:val="center"/>
            <w:hideMark/>
          </w:tcPr>
          <w:p w14:paraId="1A06B5B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0,54</w:t>
            </w:r>
          </w:p>
        </w:tc>
        <w:tc>
          <w:tcPr>
            <w:tcW w:w="207" w:type="pct"/>
            <w:tcBorders>
              <w:top w:val="nil"/>
              <w:left w:val="nil"/>
              <w:bottom w:val="single" w:sz="4" w:space="0" w:color="808080"/>
              <w:right w:val="single" w:sz="4" w:space="0" w:color="808080"/>
            </w:tcBorders>
            <w:shd w:val="clear" w:color="auto" w:fill="auto"/>
            <w:vAlign w:val="center"/>
            <w:hideMark/>
          </w:tcPr>
          <w:p w14:paraId="0E753F6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0,72</w:t>
            </w:r>
          </w:p>
        </w:tc>
        <w:tc>
          <w:tcPr>
            <w:tcW w:w="261" w:type="pct"/>
            <w:tcBorders>
              <w:top w:val="nil"/>
              <w:left w:val="nil"/>
              <w:bottom w:val="single" w:sz="4" w:space="0" w:color="808080"/>
              <w:right w:val="single" w:sz="8" w:space="0" w:color="808080"/>
            </w:tcBorders>
            <w:shd w:val="clear" w:color="auto" w:fill="auto"/>
            <w:vAlign w:val="center"/>
            <w:hideMark/>
          </w:tcPr>
          <w:p w14:paraId="430E7F81"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75,0%</w:t>
            </w:r>
          </w:p>
        </w:tc>
        <w:tc>
          <w:tcPr>
            <w:tcW w:w="204" w:type="pct"/>
            <w:tcBorders>
              <w:top w:val="nil"/>
              <w:left w:val="nil"/>
              <w:bottom w:val="single" w:sz="4" w:space="0" w:color="808080"/>
              <w:right w:val="single" w:sz="4" w:space="0" w:color="808080"/>
            </w:tcBorders>
            <w:shd w:val="clear" w:color="auto" w:fill="auto"/>
            <w:vAlign w:val="center"/>
            <w:hideMark/>
          </w:tcPr>
          <w:p w14:paraId="1E3E41F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0,63</w:t>
            </w:r>
          </w:p>
        </w:tc>
        <w:tc>
          <w:tcPr>
            <w:tcW w:w="207" w:type="pct"/>
            <w:tcBorders>
              <w:top w:val="nil"/>
              <w:left w:val="nil"/>
              <w:bottom w:val="single" w:sz="4" w:space="0" w:color="808080"/>
              <w:right w:val="single" w:sz="4" w:space="0" w:color="808080"/>
            </w:tcBorders>
            <w:shd w:val="clear" w:color="auto" w:fill="auto"/>
            <w:vAlign w:val="center"/>
            <w:hideMark/>
          </w:tcPr>
          <w:p w14:paraId="5575933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0,71</w:t>
            </w:r>
          </w:p>
        </w:tc>
        <w:tc>
          <w:tcPr>
            <w:tcW w:w="261" w:type="pct"/>
            <w:tcBorders>
              <w:top w:val="nil"/>
              <w:left w:val="nil"/>
              <w:bottom w:val="single" w:sz="4" w:space="0" w:color="808080"/>
              <w:right w:val="single" w:sz="8" w:space="0" w:color="808080"/>
            </w:tcBorders>
            <w:shd w:val="clear" w:color="auto" w:fill="auto"/>
            <w:vAlign w:val="center"/>
            <w:hideMark/>
          </w:tcPr>
          <w:p w14:paraId="1A9DBA2A"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88,7%</w:t>
            </w:r>
          </w:p>
        </w:tc>
        <w:tc>
          <w:tcPr>
            <w:tcW w:w="395" w:type="pct"/>
            <w:tcBorders>
              <w:top w:val="nil"/>
              <w:left w:val="nil"/>
              <w:bottom w:val="single" w:sz="4" w:space="0" w:color="808080"/>
              <w:right w:val="single" w:sz="4" w:space="0" w:color="808080"/>
            </w:tcBorders>
            <w:shd w:val="clear" w:color="auto" w:fill="auto"/>
            <w:vAlign w:val="center"/>
            <w:hideMark/>
          </w:tcPr>
          <w:p w14:paraId="2FFBA98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0,57</w:t>
            </w:r>
          </w:p>
        </w:tc>
        <w:tc>
          <w:tcPr>
            <w:tcW w:w="254" w:type="pct"/>
            <w:tcBorders>
              <w:top w:val="nil"/>
              <w:left w:val="nil"/>
              <w:bottom w:val="single" w:sz="4" w:space="0" w:color="808080"/>
              <w:right w:val="single" w:sz="4" w:space="0" w:color="808080"/>
            </w:tcBorders>
            <w:shd w:val="clear" w:color="auto" w:fill="auto"/>
            <w:vAlign w:val="center"/>
            <w:hideMark/>
          </w:tcPr>
          <w:p w14:paraId="64A3C32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w:t>
            </w:r>
          </w:p>
        </w:tc>
        <w:tc>
          <w:tcPr>
            <w:tcW w:w="369" w:type="pct"/>
            <w:tcBorders>
              <w:top w:val="nil"/>
              <w:left w:val="nil"/>
              <w:bottom w:val="single" w:sz="4" w:space="0" w:color="808080"/>
              <w:right w:val="single" w:sz="8" w:space="0" w:color="808080"/>
            </w:tcBorders>
            <w:shd w:val="clear" w:color="auto" w:fill="auto"/>
            <w:vAlign w:val="center"/>
            <w:hideMark/>
          </w:tcPr>
          <w:p w14:paraId="7982E64A"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81,4%</w:t>
            </w:r>
          </w:p>
        </w:tc>
      </w:tr>
      <w:tr w:rsidR="00E75022" w:rsidRPr="00646DDA" w14:paraId="730B91C4"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B679365"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Επιχειρηματικά κεφάλαια (πρώιμο στάδιο, επέκτασης και αντικατάστασης) ως ποσοστό του ΑΕΠ</w:t>
            </w:r>
          </w:p>
        </w:tc>
        <w:tc>
          <w:tcPr>
            <w:tcW w:w="738" w:type="pct"/>
            <w:tcBorders>
              <w:top w:val="nil"/>
              <w:left w:val="nil"/>
              <w:bottom w:val="single" w:sz="4" w:space="0" w:color="808080"/>
              <w:right w:val="single" w:sz="4" w:space="0" w:color="808080"/>
            </w:tcBorders>
            <w:shd w:val="clear" w:color="auto" w:fill="auto"/>
            <w:vAlign w:val="center"/>
            <w:hideMark/>
          </w:tcPr>
          <w:p w14:paraId="3F8E64F4"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Venture capital expenditures as percentage of GDP</w:t>
            </w:r>
          </w:p>
        </w:tc>
        <w:tc>
          <w:tcPr>
            <w:tcW w:w="374" w:type="pct"/>
            <w:tcBorders>
              <w:top w:val="nil"/>
              <w:left w:val="nil"/>
              <w:bottom w:val="single" w:sz="4" w:space="0" w:color="808080"/>
              <w:right w:val="single" w:sz="4" w:space="0" w:color="808080"/>
            </w:tcBorders>
            <w:shd w:val="clear" w:color="auto" w:fill="auto"/>
            <w:vAlign w:val="center"/>
            <w:hideMark/>
          </w:tcPr>
          <w:p w14:paraId="54C3C79F"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75CDF69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0,00</w:t>
            </w:r>
          </w:p>
        </w:tc>
        <w:tc>
          <w:tcPr>
            <w:tcW w:w="194" w:type="pct"/>
            <w:tcBorders>
              <w:top w:val="nil"/>
              <w:left w:val="nil"/>
              <w:bottom w:val="single" w:sz="4" w:space="0" w:color="808080"/>
              <w:right w:val="single" w:sz="4" w:space="0" w:color="808080"/>
            </w:tcBorders>
            <w:shd w:val="clear" w:color="auto" w:fill="auto"/>
            <w:vAlign w:val="center"/>
            <w:hideMark/>
          </w:tcPr>
          <w:p w14:paraId="7979611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0,06</w:t>
            </w:r>
          </w:p>
        </w:tc>
        <w:tc>
          <w:tcPr>
            <w:tcW w:w="230" w:type="pct"/>
            <w:tcBorders>
              <w:top w:val="nil"/>
              <w:left w:val="nil"/>
              <w:bottom w:val="single" w:sz="4" w:space="0" w:color="808080"/>
              <w:right w:val="single" w:sz="8" w:space="0" w:color="808080"/>
            </w:tcBorders>
            <w:shd w:val="clear" w:color="auto" w:fill="auto"/>
            <w:vAlign w:val="center"/>
            <w:hideMark/>
          </w:tcPr>
          <w:p w14:paraId="408F44D1"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0,0%</w:t>
            </w:r>
          </w:p>
        </w:tc>
        <w:tc>
          <w:tcPr>
            <w:tcW w:w="204" w:type="pct"/>
            <w:tcBorders>
              <w:top w:val="nil"/>
              <w:left w:val="nil"/>
              <w:bottom w:val="single" w:sz="4" w:space="0" w:color="808080"/>
              <w:right w:val="single" w:sz="4" w:space="0" w:color="808080"/>
            </w:tcBorders>
            <w:shd w:val="clear" w:color="auto" w:fill="auto"/>
            <w:vAlign w:val="center"/>
            <w:hideMark/>
          </w:tcPr>
          <w:p w14:paraId="534FD11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0,001</w:t>
            </w:r>
          </w:p>
        </w:tc>
        <w:tc>
          <w:tcPr>
            <w:tcW w:w="207" w:type="pct"/>
            <w:tcBorders>
              <w:top w:val="nil"/>
              <w:left w:val="nil"/>
              <w:bottom w:val="single" w:sz="4" w:space="0" w:color="808080"/>
              <w:right w:val="single" w:sz="4" w:space="0" w:color="808080"/>
            </w:tcBorders>
            <w:shd w:val="clear" w:color="auto" w:fill="auto"/>
            <w:vAlign w:val="center"/>
            <w:hideMark/>
          </w:tcPr>
          <w:p w14:paraId="3814CD3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0,063</w:t>
            </w:r>
          </w:p>
        </w:tc>
        <w:tc>
          <w:tcPr>
            <w:tcW w:w="261" w:type="pct"/>
            <w:tcBorders>
              <w:top w:val="nil"/>
              <w:left w:val="nil"/>
              <w:bottom w:val="single" w:sz="4" w:space="0" w:color="808080"/>
              <w:right w:val="single" w:sz="8" w:space="0" w:color="808080"/>
            </w:tcBorders>
            <w:shd w:val="clear" w:color="auto" w:fill="auto"/>
            <w:vAlign w:val="center"/>
            <w:hideMark/>
          </w:tcPr>
          <w:p w14:paraId="1111DF33"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1,6%</w:t>
            </w:r>
          </w:p>
        </w:tc>
        <w:tc>
          <w:tcPr>
            <w:tcW w:w="204" w:type="pct"/>
            <w:tcBorders>
              <w:top w:val="nil"/>
              <w:left w:val="nil"/>
              <w:bottom w:val="single" w:sz="4" w:space="0" w:color="808080"/>
              <w:right w:val="single" w:sz="4" w:space="0" w:color="808080"/>
            </w:tcBorders>
            <w:shd w:val="clear" w:color="auto" w:fill="auto"/>
            <w:vAlign w:val="center"/>
            <w:hideMark/>
          </w:tcPr>
          <w:p w14:paraId="75AC52A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0,001</w:t>
            </w:r>
          </w:p>
        </w:tc>
        <w:tc>
          <w:tcPr>
            <w:tcW w:w="207" w:type="pct"/>
            <w:tcBorders>
              <w:top w:val="nil"/>
              <w:left w:val="nil"/>
              <w:bottom w:val="single" w:sz="4" w:space="0" w:color="808080"/>
              <w:right w:val="single" w:sz="4" w:space="0" w:color="808080"/>
            </w:tcBorders>
            <w:shd w:val="clear" w:color="auto" w:fill="auto"/>
            <w:vAlign w:val="center"/>
            <w:hideMark/>
          </w:tcPr>
          <w:p w14:paraId="6EECF5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0,063</w:t>
            </w:r>
          </w:p>
        </w:tc>
        <w:tc>
          <w:tcPr>
            <w:tcW w:w="261" w:type="pct"/>
            <w:tcBorders>
              <w:top w:val="nil"/>
              <w:left w:val="nil"/>
              <w:bottom w:val="single" w:sz="4" w:space="0" w:color="808080"/>
              <w:right w:val="single" w:sz="8" w:space="0" w:color="808080"/>
            </w:tcBorders>
            <w:shd w:val="clear" w:color="auto" w:fill="auto"/>
            <w:vAlign w:val="center"/>
            <w:hideMark/>
          </w:tcPr>
          <w:p w14:paraId="138ED3E0"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1,6%</w:t>
            </w:r>
          </w:p>
        </w:tc>
        <w:tc>
          <w:tcPr>
            <w:tcW w:w="395" w:type="pct"/>
            <w:tcBorders>
              <w:top w:val="nil"/>
              <w:left w:val="nil"/>
              <w:bottom w:val="single" w:sz="4" w:space="0" w:color="808080"/>
              <w:right w:val="single" w:sz="4" w:space="0" w:color="808080"/>
            </w:tcBorders>
            <w:shd w:val="clear" w:color="auto" w:fill="auto"/>
            <w:vAlign w:val="center"/>
            <w:hideMark/>
          </w:tcPr>
          <w:p w14:paraId="6962E40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0,001</w:t>
            </w:r>
          </w:p>
        </w:tc>
        <w:tc>
          <w:tcPr>
            <w:tcW w:w="254" w:type="pct"/>
            <w:tcBorders>
              <w:top w:val="nil"/>
              <w:left w:val="nil"/>
              <w:bottom w:val="single" w:sz="4" w:space="0" w:color="808080"/>
              <w:right w:val="single" w:sz="4" w:space="0" w:color="808080"/>
            </w:tcBorders>
            <w:shd w:val="clear" w:color="auto" w:fill="auto"/>
            <w:vAlign w:val="center"/>
            <w:hideMark/>
          </w:tcPr>
          <w:p w14:paraId="11D3E95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0,116</w:t>
            </w:r>
          </w:p>
        </w:tc>
        <w:tc>
          <w:tcPr>
            <w:tcW w:w="369" w:type="pct"/>
            <w:tcBorders>
              <w:top w:val="nil"/>
              <w:left w:val="nil"/>
              <w:bottom w:val="single" w:sz="4" w:space="0" w:color="808080"/>
              <w:right w:val="single" w:sz="8" w:space="0" w:color="808080"/>
            </w:tcBorders>
            <w:shd w:val="clear" w:color="auto" w:fill="auto"/>
            <w:vAlign w:val="center"/>
            <w:hideMark/>
          </w:tcPr>
          <w:p w14:paraId="09AAA86A"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0,9%</w:t>
            </w:r>
          </w:p>
        </w:tc>
      </w:tr>
      <w:tr w:rsidR="00E75022" w:rsidRPr="00646DDA" w14:paraId="7A684D54"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DE4134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II. ΔΕΙΚΤΕΣ ΔΡΑΣΤΗΡΙΟΤΗΤΑΣ ΕΠΙΧΕΙΡΗΣΕΩΝ</w:t>
            </w:r>
          </w:p>
        </w:tc>
        <w:tc>
          <w:tcPr>
            <w:tcW w:w="738" w:type="pct"/>
            <w:tcBorders>
              <w:top w:val="nil"/>
              <w:left w:val="nil"/>
              <w:bottom w:val="single" w:sz="4" w:space="0" w:color="808080"/>
              <w:right w:val="single" w:sz="4" w:space="0" w:color="808080"/>
            </w:tcBorders>
            <w:shd w:val="clear" w:color="auto" w:fill="auto"/>
            <w:vAlign w:val="center"/>
            <w:hideMark/>
          </w:tcPr>
          <w:p w14:paraId="51C537A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74" w:type="pct"/>
            <w:tcBorders>
              <w:top w:val="nil"/>
              <w:left w:val="nil"/>
              <w:bottom w:val="single" w:sz="4" w:space="0" w:color="808080"/>
              <w:right w:val="single" w:sz="4" w:space="0" w:color="808080"/>
            </w:tcBorders>
            <w:shd w:val="clear" w:color="auto" w:fill="auto"/>
            <w:vAlign w:val="center"/>
            <w:hideMark/>
          </w:tcPr>
          <w:p w14:paraId="15F4005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4CBDF62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auto" w:fill="auto"/>
            <w:vAlign w:val="center"/>
            <w:hideMark/>
          </w:tcPr>
          <w:p w14:paraId="2E99FDC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auto" w:fill="auto"/>
            <w:vAlign w:val="center"/>
            <w:hideMark/>
          </w:tcPr>
          <w:p w14:paraId="64A8B40C" w14:textId="77777777" w:rsidR="00E75022" w:rsidRPr="00646DDA" w:rsidRDefault="00E75022" w:rsidP="00E75022">
            <w:pPr>
              <w:spacing w:before="0" w:line="240" w:lineRule="auto"/>
              <w:jc w:val="left"/>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37100F85"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vAlign w:val="center"/>
            <w:hideMark/>
          </w:tcPr>
          <w:p w14:paraId="7E302F0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vAlign w:val="center"/>
            <w:hideMark/>
          </w:tcPr>
          <w:p w14:paraId="1988942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27A884F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vAlign w:val="center"/>
            <w:hideMark/>
          </w:tcPr>
          <w:p w14:paraId="0702E28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vAlign w:val="center"/>
            <w:hideMark/>
          </w:tcPr>
          <w:p w14:paraId="14B9689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auto" w:fill="auto"/>
            <w:vAlign w:val="center"/>
            <w:hideMark/>
          </w:tcPr>
          <w:p w14:paraId="27EDC23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auto" w:fill="auto"/>
            <w:vAlign w:val="center"/>
            <w:hideMark/>
          </w:tcPr>
          <w:p w14:paraId="673FB62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auto" w:fill="auto"/>
            <w:vAlign w:val="center"/>
            <w:hideMark/>
          </w:tcPr>
          <w:p w14:paraId="123AF22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61C67DD6"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0E6B923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Επενδύσεις επιχειρήσεων</w:t>
            </w:r>
          </w:p>
        </w:tc>
        <w:tc>
          <w:tcPr>
            <w:tcW w:w="738" w:type="pct"/>
            <w:tcBorders>
              <w:top w:val="nil"/>
              <w:left w:val="nil"/>
              <w:bottom w:val="single" w:sz="4" w:space="0" w:color="808080"/>
              <w:right w:val="single" w:sz="4" w:space="0" w:color="808080"/>
            </w:tcBorders>
            <w:shd w:val="clear" w:color="auto" w:fill="auto"/>
            <w:vAlign w:val="center"/>
            <w:hideMark/>
          </w:tcPr>
          <w:p w14:paraId="4FD4333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xml:space="preserve">Firm Investments </w:t>
            </w:r>
          </w:p>
        </w:tc>
        <w:tc>
          <w:tcPr>
            <w:tcW w:w="374" w:type="pct"/>
            <w:tcBorders>
              <w:top w:val="nil"/>
              <w:left w:val="nil"/>
              <w:bottom w:val="single" w:sz="4" w:space="0" w:color="808080"/>
              <w:right w:val="single" w:sz="4" w:space="0" w:color="808080"/>
            </w:tcBorders>
            <w:shd w:val="clear" w:color="000000" w:fill="BFBFBF"/>
            <w:vAlign w:val="center"/>
            <w:hideMark/>
          </w:tcPr>
          <w:p w14:paraId="1ABEE2B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80D20E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1AB36F1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70B9C242"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15E565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3B220A1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23EAC63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0C2F0FE"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51A3FEEA"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1B772B2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45BF5BC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593178C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59F331B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6DEC0338"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6D6647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Δαπάνες για Ε&amp;Α στον τομέα των επιχειρήσεων ως ποσοστό του ΑΕΠ</w:t>
            </w:r>
          </w:p>
        </w:tc>
        <w:tc>
          <w:tcPr>
            <w:tcW w:w="738" w:type="pct"/>
            <w:tcBorders>
              <w:top w:val="nil"/>
              <w:left w:val="nil"/>
              <w:bottom w:val="single" w:sz="4" w:space="0" w:color="808080"/>
              <w:right w:val="single" w:sz="4" w:space="0" w:color="808080"/>
            </w:tcBorders>
            <w:shd w:val="clear" w:color="auto" w:fill="auto"/>
            <w:vAlign w:val="center"/>
            <w:hideMark/>
          </w:tcPr>
          <w:p w14:paraId="39D90E62"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R&amp;D expenditure in the business sector as percentage of GDP</w:t>
            </w:r>
          </w:p>
        </w:tc>
        <w:tc>
          <w:tcPr>
            <w:tcW w:w="374" w:type="pct"/>
            <w:tcBorders>
              <w:top w:val="nil"/>
              <w:left w:val="nil"/>
              <w:bottom w:val="single" w:sz="4" w:space="0" w:color="808080"/>
              <w:right w:val="single" w:sz="4" w:space="0" w:color="808080"/>
            </w:tcBorders>
            <w:shd w:val="clear" w:color="auto" w:fill="auto"/>
            <w:vAlign w:val="center"/>
            <w:hideMark/>
          </w:tcPr>
          <w:p w14:paraId="5709A7AE"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2872B58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0,27</w:t>
            </w:r>
          </w:p>
        </w:tc>
        <w:tc>
          <w:tcPr>
            <w:tcW w:w="194" w:type="pct"/>
            <w:tcBorders>
              <w:top w:val="nil"/>
              <w:left w:val="nil"/>
              <w:bottom w:val="single" w:sz="4" w:space="0" w:color="808080"/>
              <w:right w:val="single" w:sz="4" w:space="0" w:color="808080"/>
            </w:tcBorders>
            <w:shd w:val="clear" w:color="auto" w:fill="auto"/>
            <w:vAlign w:val="center"/>
            <w:hideMark/>
          </w:tcPr>
          <w:p w14:paraId="53A9A99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1,29</w:t>
            </w:r>
          </w:p>
        </w:tc>
        <w:tc>
          <w:tcPr>
            <w:tcW w:w="230" w:type="pct"/>
            <w:tcBorders>
              <w:top w:val="nil"/>
              <w:left w:val="nil"/>
              <w:bottom w:val="single" w:sz="4" w:space="0" w:color="808080"/>
              <w:right w:val="single" w:sz="8" w:space="0" w:color="808080"/>
            </w:tcBorders>
            <w:shd w:val="clear" w:color="auto" w:fill="auto"/>
            <w:vAlign w:val="center"/>
            <w:hideMark/>
          </w:tcPr>
          <w:p w14:paraId="2EDB171D"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20,9%</w:t>
            </w:r>
          </w:p>
        </w:tc>
        <w:tc>
          <w:tcPr>
            <w:tcW w:w="204" w:type="pct"/>
            <w:tcBorders>
              <w:top w:val="nil"/>
              <w:left w:val="nil"/>
              <w:bottom w:val="single" w:sz="4" w:space="0" w:color="808080"/>
              <w:right w:val="single" w:sz="4" w:space="0" w:color="808080"/>
            </w:tcBorders>
            <w:shd w:val="clear" w:color="auto" w:fill="auto"/>
            <w:vAlign w:val="center"/>
            <w:hideMark/>
          </w:tcPr>
          <w:p w14:paraId="26127B8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0,28</w:t>
            </w:r>
          </w:p>
        </w:tc>
        <w:tc>
          <w:tcPr>
            <w:tcW w:w="207" w:type="pct"/>
            <w:tcBorders>
              <w:top w:val="nil"/>
              <w:left w:val="nil"/>
              <w:bottom w:val="single" w:sz="4" w:space="0" w:color="808080"/>
              <w:right w:val="single" w:sz="4" w:space="0" w:color="808080"/>
            </w:tcBorders>
            <w:shd w:val="clear" w:color="auto" w:fill="auto"/>
            <w:vAlign w:val="center"/>
            <w:hideMark/>
          </w:tcPr>
          <w:p w14:paraId="2E1A4C5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w:t>
            </w:r>
          </w:p>
        </w:tc>
        <w:tc>
          <w:tcPr>
            <w:tcW w:w="261" w:type="pct"/>
            <w:tcBorders>
              <w:top w:val="nil"/>
              <w:left w:val="nil"/>
              <w:bottom w:val="single" w:sz="4" w:space="0" w:color="808080"/>
              <w:right w:val="single" w:sz="8" w:space="0" w:color="808080"/>
            </w:tcBorders>
            <w:shd w:val="clear" w:color="auto" w:fill="auto"/>
            <w:vAlign w:val="center"/>
            <w:hideMark/>
          </w:tcPr>
          <w:p w14:paraId="41EEFB4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21,5%</w:t>
            </w:r>
          </w:p>
        </w:tc>
        <w:tc>
          <w:tcPr>
            <w:tcW w:w="204" w:type="pct"/>
            <w:tcBorders>
              <w:top w:val="nil"/>
              <w:left w:val="nil"/>
              <w:bottom w:val="single" w:sz="4" w:space="0" w:color="808080"/>
              <w:right w:val="single" w:sz="4" w:space="0" w:color="808080"/>
            </w:tcBorders>
            <w:shd w:val="clear" w:color="auto" w:fill="auto"/>
            <w:vAlign w:val="center"/>
            <w:hideMark/>
          </w:tcPr>
          <w:p w14:paraId="082A6E3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0,32</w:t>
            </w:r>
          </w:p>
        </w:tc>
        <w:tc>
          <w:tcPr>
            <w:tcW w:w="207" w:type="pct"/>
            <w:tcBorders>
              <w:top w:val="nil"/>
              <w:left w:val="nil"/>
              <w:bottom w:val="single" w:sz="4" w:space="0" w:color="808080"/>
              <w:right w:val="single" w:sz="4" w:space="0" w:color="808080"/>
            </w:tcBorders>
            <w:shd w:val="clear" w:color="auto" w:fill="auto"/>
            <w:vAlign w:val="center"/>
            <w:hideMark/>
          </w:tcPr>
          <w:p w14:paraId="5ED3204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w:t>
            </w:r>
          </w:p>
        </w:tc>
        <w:tc>
          <w:tcPr>
            <w:tcW w:w="261" w:type="pct"/>
            <w:tcBorders>
              <w:top w:val="nil"/>
              <w:left w:val="nil"/>
              <w:bottom w:val="single" w:sz="4" w:space="0" w:color="808080"/>
              <w:right w:val="single" w:sz="8" w:space="0" w:color="808080"/>
            </w:tcBorders>
            <w:shd w:val="clear" w:color="auto" w:fill="auto"/>
            <w:vAlign w:val="center"/>
            <w:hideMark/>
          </w:tcPr>
          <w:p w14:paraId="6489232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24,6%</w:t>
            </w:r>
          </w:p>
        </w:tc>
        <w:tc>
          <w:tcPr>
            <w:tcW w:w="395" w:type="pct"/>
            <w:tcBorders>
              <w:top w:val="nil"/>
              <w:left w:val="nil"/>
              <w:bottom w:val="single" w:sz="4" w:space="0" w:color="808080"/>
              <w:right w:val="single" w:sz="4" w:space="0" w:color="808080"/>
            </w:tcBorders>
            <w:shd w:val="clear" w:color="auto" w:fill="auto"/>
            <w:vAlign w:val="center"/>
            <w:hideMark/>
          </w:tcPr>
          <w:p w14:paraId="7C1631D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0,43</w:t>
            </w:r>
          </w:p>
        </w:tc>
        <w:tc>
          <w:tcPr>
            <w:tcW w:w="254" w:type="pct"/>
            <w:tcBorders>
              <w:top w:val="nil"/>
              <w:left w:val="nil"/>
              <w:bottom w:val="single" w:sz="4" w:space="0" w:color="808080"/>
              <w:right w:val="single" w:sz="4" w:space="0" w:color="808080"/>
            </w:tcBorders>
            <w:shd w:val="clear" w:color="auto" w:fill="auto"/>
            <w:vAlign w:val="center"/>
            <w:hideMark/>
          </w:tcPr>
          <w:p w14:paraId="7A83A29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1,32</w:t>
            </w:r>
          </w:p>
        </w:tc>
        <w:tc>
          <w:tcPr>
            <w:tcW w:w="369" w:type="pct"/>
            <w:tcBorders>
              <w:top w:val="nil"/>
              <w:left w:val="nil"/>
              <w:bottom w:val="single" w:sz="4" w:space="0" w:color="808080"/>
              <w:right w:val="single" w:sz="8" w:space="0" w:color="808080"/>
            </w:tcBorders>
            <w:shd w:val="clear" w:color="auto" w:fill="auto"/>
            <w:vAlign w:val="center"/>
            <w:hideMark/>
          </w:tcPr>
          <w:p w14:paraId="27010A11"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32,6%</w:t>
            </w:r>
          </w:p>
        </w:tc>
      </w:tr>
      <w:tr w:rsidR="00E75022" w:rsidRPr="00646DDA" w14:paraId="2448E478"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2445B68"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Δαπάνες των επιχειρήσεων για καινοτομία, εξαιρουμένων των δαπανών Ε&amp;Α, ως ποσοστό του κύκλου εργασιών</w:t>
            </w:r>
          </w:p>
        </w:tc>
        <w:tc>
          <w:tcPr>
            <w:tcW w:w="738" w:type="pct"/>
            <w:tcBorders>
              <w:top w:val="nil"/>
              <w:left w:val="nil"/>
              <w:bottom w:val="single" w:sz="4" w:space="0" w:color="808080"/>
              <w:right w:val="single" w:sz="4" w:space="0" w:color="808080"/>
            </w:tcBorders>
            <w:shd w:val="clear" w:color="auto" w:fill="auto"/>
            <w:vAlign w:val="center"/>
            <w:hideMark/>
          </w:tcPr>
          <w:p w14:paraId="63735329"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Non-R&amp;D innovation expenditure as percentage of total turnover</w:t>
            </w:r>
          </w:p>
        </w:tc>
        <w:tc>
          <w:tcPr>
            <w:tcW w:w="374" w:type="pct"/>
            <w:tcBorders>
              <w:top w:val="nil"/>
              <w:left w:val="nil"/>
              <w:bottom w:val="single" w:sz="4" w:space="0" w:color="808080"/>
              <w:right w:val="single" w:sz="4" w:space="0" w:color="808080"/>
            </w:tcBorders>
            <w:shd w:val="clear" w:color="auto" w:fill="auto"/>
            <w:vAlign w:val="center"/>
            <w:hideMark/>
          </w:tcPr>
          <w:p w14:paraId="5A4A3671"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6C17722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0,87</w:t>
            </w:r>
          </w:p>
        </w:tc>
        <w:tc>
          <w:tcPr>
            <w:tcW w:w="194" w:type="pct"/>
            <w:tcBorders>
              <w:top w:val="nil"/>
              <w:left w:val="nil"/>
              <w:bottom w:val="single" w:sz="4" w:space="0" w:color="808080"/>
              <w:right w:val="single" w:sz="4" w:space="0" w:color="808080"/>
            </w:tcBorders>
            <w:shd w:val="clear" w:color="auto" w:fill="auto"/>
            <w:vAlign w:val="center"/>
            <w:hideMark/>
          </w:tcPr>
          <w:p w14:paraId="5A82371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0,69</w:t>
            </w:r>
          </w:p>
        </w:tc>
        <w:tc>
          <w:tcPr>
            <w:tcW w:w="230" w:type="pct"/>
            <w:tcBorders>
              <w:top w:val="nil"/>
              <w:left w:val="nil"/>
              <w:bottom w:val="single" w:sz="4" w:space="0" w:color="808080"/>
              <w:right w:val="single" w:sz="8" w:space="0" w:color="808080"/>
            </w:tcBorders>
            <w:shd w:val="clear" w:color="auto" w:fill="auto"/>
            <w:vAlign w:val="center"/>
            <w:hideMark/>
          </w:tcPr>
          <w:p w14:paraId="5088B57D"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126,1%</w:t>
            </w:r>
          </w:p>
        </w:tc>
        <w:tc>
          <w:tcPr>
            <w:tcW w:w="204" w:type="pct"/>
            <w:tcBorders>
              <w:top w:val="nil"/>
              <w:left w:val="nil"/>
              <w:bottom w:val="single" w:sz="4" w:space="0" w:color="808080"/>
              <w:right w:val="single" w:sz="4" w:space="0" w:color="808080"/>
            </w:tcBorders>
            <w:shd w:val="clear" w:color="auto" w:fill="auto"/>
            <w:vAlign w:val="center"/>
            <w:hideMark/>
          </w:tcPr>
          <w:p w14:paraId="27A75C7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0,87</w:t>
            </w:r>
          </w:p>
        </w:tc>
        <w:tc>
          <w:tcPr>
            <w:tcW w:w="207" w:type="pct"/>
            <w:tcBorders>
              <w:top w:val="nil"/>
              <w:left w:val="nil"/>
              <w:bottom w:val="single" w:sz="4" w:space="0" w:color="808080"/>
              <w:right w:val="single" w:sz="4" w:space="0" w:color="808080"/>
            </w:tcBorders>
            <w:shd w:val="clear" w:color="auto" w:fill="auto"/>
            <w:vAlign w:val="center"/>
            <w:hideMark/>
          </w:tcPr>
          <w:p w14:paraId="5A933C3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0,69</w:t>
            </w:r>
          </w:p>
        </w:tc>
        <w:tc>
          <w:tcPr>
            <w:tcW w:w="261" w:type="pct"/>
            <w:tcBorders>
              <w:top w:val="nil"/>
              <w:left w:val="nil"/>
              <w:bottom w:val="single" w:sz="4" w:space="0" w:color="808080"/>
              <w:right w:val="single" w:sz="8" w:space="0" w:color="808080"/>
            </w:tcBorders>
            <w:shd w:val="clear" w:color="auto" w:fill="auto"/>
            <w:vAlign w:val="center"/>
            <w:hideMark/>
          </w:tcPr>
          <w:p w14:paraId="5D78DA0C"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126,1%</w:t>
            </w:r>
          </w:p>
        </w:tc>
        <w:tc>
          <w:tcPr>
            <w:tcW w:w="204" w:type="pct"/>
            <w:tcBorders>
              <w:top w:val="nil"/>
              <w:left w:val="nil"/>
              <w:bottom w:val="single" w:sz="4" w:space="0" w:color="808080"/>
              <w:right w:val="single" w:sz="4" w:space="0" w:color="808080"/>
            </w:tcBorders>
            <w:shd w:val="clear" w:color="auto" w:fill="auto"/>
            <w:vAlign w:val="center"/>
            <w:hideMark/>
          </w:tcPr>
          <w:p w14:paraId="0051EBA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0,76</w:t>
            </w:r>
          </w:p>
        </w:tc>
        <w:tc>
          <w:tcPr>
            <w:tcW w:w="207" w:type="pct"/>
            <w:tcBorders>
              <w:top w:val="nil"/>
              <w:left w:val="nil"/>
              <w:bottom w:val="single" w:sz="4" w:space="0" w:color="808080"/>
              <w:right w:val="single" w:sz="4" w:space="0" w:color="808080"/>
            </w:tcBorders>
            <w:shd w:val="clear" w:color="auto" w:fill="auto"/>
            <w:vAlign w:val="center"/>
            <w:hideMark/>
          </w:tcPr>
          <w:p w14:paraId="61CB4C9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0,76</w:t>
            </w:r>
          </w:p>
        </w:tc>
        <w:tc>
          <w:tcPr>
            <w:tcW w:w="261" w:type="pct"/>
            <w:tcBorders>
              <w:top w:val="nil"/>
              <w:left w:val="nil"/>
              <w:bottom w:val="single" w:sz="4" w:space="0" w:color="808080"/>
              <w:right w:val="single" w:sz="8" w:space="0" w:color="808080"/>
            </w:tcBorders>
            <w:shd w:val="clear" w:color="auto" w:fill="auto"/>
            <w:vAlign w:val="center"/>
            <w:hideMark/>
          </w:tcPr>
          <w:p w14:paraId="4F457F7D"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100,0%</w:t>
            </w:r>
          </w:p>
        </w:tc>
        <w:tc>
          <w:tcPr>
            <w:tcW w:w="395" w:type="pct"/>
            <w:tcBorders>
              <w:top w:val="nil"/>
              <w:left w:val="nil"/>
              <w:bottom w:val="single" w:sz="4" w:space="0" w:color="808080"/>
              <w:right w:val="single" w:sz="4" w:space="0" w:color="808080"/>
            </w:tcBorders>
            <w:shd w:val="clear" w:color="auto" w:fill="auto"/>
            <w:vAlign w:val="center"/>
            <w:hideMark/>
          </w:tcPr>
          <w:p w14:paraId="3838CFB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0,76</w:t>
            </w:r>
          </w:p>
        </w:tc>
        <w:tc>
          <w:tcPr>
            <w:tcW w:w="254" w:type="pct"/>
            <w:tcBorders>
              <w:top w:val="nil"/>
              <w:left w:val="nil"/>
              <w:bottom w:val="single" w:sz="4" w:space="0" w:color="808080"/>
              <w:right w:val="single" w:sz="4" w:space="0" w:color="808080"/>
            </w:tcBorders>
            <w:shd w:val="clear" w:color="auto" w:fill="auto"/>
            <w:vAlign w:val="center"/>
            <w:hideMark/>
          </w:tcPr>
          <w:p w14:paraId="7684F87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0,76</w:t>
            </w:r>
          </w:p>
        </w:tc>
        <w:tc>
          <w:tcPr>
            <w:tcW w:w="369" w:type="pct"/>
            <w:tcBorders>
              <w:top w:val="nil"/>
              <w:left w:val="nil"/>
              <w:bottom w:val="single" w:sz="4" w:space="0" w:color="808080"/>
              <w:right w:val="single" w:sz="8" w:space="0" w:color="808080"/>
            </w:tcBorders>
            <w:shd w:val="clear" w:color="auto" w:fill="auto"/>
            <w:vAlign w:val="center"/>
            <w:hideMark/>
          </w:tcPr>
          <w:p w14:paraId="663BEEE6"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100,0%</w:t>
            </w:r>
          </w:p>
        </w:tc>
      </w:tr>
      <w:tr w:rsidR="00E75022" w:rsidRPr="00646DDA" w14:paraId="1EDA6E26"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B718D30"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Επιχειρήσεις που παρέχουν εκπαίδευση αναβάθμισης ικανοτήτων ΤΠΕ στο προσωπικό τους</w:t>
            </w:r>
          </w:p>
        </w:tc>
        <w:tc>
          <w:tcPr>
            <w:tcW w:w="738" w:type="pct"/>
            <w:tcBorders>
              <w:top w:val="nil"/>
              <w:left w:val="nil"/>
              <w:bottom w:val="single" w:sz="4" w:space="0" w:color="808080"/>
              <w:right w:val="single" w:sz="4" w:space="0" w:color="808080"/>
            </w:tcBorders>
            <w:shd w:val="clear" w:color="auto" w:fill="auto"/>
            <w:vAlign w:val="center"/>
            <w:hideMark/>
          </w:tcPr>
          <w:p w14:paraId="6E4229C0"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Enterprises providing training to develop or upgrade ICT skills of their personnel -</w:t>
            </w:r>
            <w:r w:rsidRPr="00646DDA">
              <w:rPr>
                <w:rFonts w:eastAsia="Times New Roman"/>
                <w:b/>
                <w:bCs/>
                <w:color w:val="000000"/>
                <w:sz w:val="16"/>
                <w:szCs w:val="16"/>
                <w:lang w:val="en-US" w:eastAsia="el-GR"/>
              </w:rPr>
              <w:t>NEW</w:t>
            </w:r>
          </w:p>
        </w:tc>
        <w:tc>
          <w:tcPr>
            <w:tcW w:w="374" w:type="pct"/>
            <w:tcBorders>
              <w:top w:val="nil"/>
              <w:left w:val="nil"/>
              <w:bottom w:val="single" w:sz="4" w:space="0" w:color="808080"/>
              <w:right w:val="single" w:sz="4" w:space="0" w:color="808080"/>
            </w:tcBorders>
            <w:shd w:val="clear" w:color="auto" w:fill="auto"/>
            <w:vAlign w:val="center"/>
            <w:hideMark/>
          </w:tcPr>
          <w:p w14:paraId="7B48973E"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000000" w:fill="BFBFBF"/>
            <w:vAlign w:val="center"/>
            <w:hideMark/>
          </w:tcPr>
          <w:p w14:paraId="2ADF265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4DCE214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77DFACE8"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5AF933B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542FCC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15E848B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0B39857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15,00</w:t>
            </w:r>
          </w:p>
        </w:tc>
        <w:tc>
          <w:tcPr>
            <w:tcW w:w="207" w:type="pct"/>
            <w:tcBorders>
              <w:top w:val="nil"/>
              <w:left w:val="nil"/>
              <w:bottom w:val="single" w:sz="4" w:space="0" w:color="808080"/>
              <w:right w:val="single" w:sz="4" w:space="0" w:color="808080"/>
            </w:tcBorders>
            <w:shd w:val="clear" w:color="auto" w:fill="auto"/>
            <w:vAlign w:val="center"/>
            <w:hideMark/>
          </w:tcPr>
          <w:p w14:paraId="38C1236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22,00</w:t>
            </w:r>
          </w:p>
        </w:tc>
        <w:tc>
          <w:tcPr>
            <w:tcW w:w="261" w:type="pct"/>
            <w:tcBorders>
              <w:top w:val="nil"/>
              <w:left w:val="nil"/>
              <w:bottom w:val="single" w:sz="4" w:space="0" w:color="808080"/>
              <w:right w:val="single" w:sz="8" w:space="0" w:color="808080"/>
            </w:tcBorders>
            <w:shd w:val="clear" w:color="auto" w:fill="auto"/>
            <w:vAlign w:val="center"/>
            <w:hideMark/>
          </w:tcPr>
          <w:p w14:paraId="64782113"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68,2%</w:t>
            </w:r>
          </w:p>
        </w:tc>
        <w:tc>
          <w:tcPr>
            <w:tcW w:w="395" w:type="pct"/>
            <w:tcBorders>
              <w:top w:val="nil"/>
              <w:left w:val="nil"/>
              <w:bottom w:val="single" w:sz="4" w:space="0" w:color="808080"/>
              <w:right w:val="single" w:sz="4" w:space="0" w:color="808080"/>
            </w:tcBorders>
            <w:shd w:val="clear" w:color="auto" w:fill="auto"/>
            <w:vAlign w:val="center"/>
            <w:hideMark/>
          </w:tcPr>
          <w:p w14:paraId="6F99BD0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12,00</w:t>
            </w:r>
          </w:p>
        </w:tc>
        <w:tc>
          <w:tcPr>
            <w:tcW w:w="254" w:type="pct"/>
            <w:tcBorders>
              <w:top w:val="nil"/>
              <w:left w:val="nil"/>
              <w:bottom w:val="single" w:sz="4" w:space="0" w:color="808080"/>
              <w:right w:val="single" w:sz="4" w:space="0" w:color="808080"/>
            </w:tcBorders>
            <w:shd w:val="clear" w:color="auto" w:fill="auto"/>
            <w:vAlign w:val="center"/>
            <w:hideMark/>
          </w:tcPr>
          <w:p w14:paraId="77F4A6C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21,00</w:t>
            </w:r>
          </w:p>
        </w:tc>
        <w:tc>
          <w:tcPr>
            <w:tcW w:w="369" w:type="pct"/>
            <w:tcBorders>
              <w:top w:val="nil"/>
              <w:left w:val="nil"/>
              <w:bottom w:val="single" w:sz="4" w:space="0" w:color="808080"/>
              <w:right w:val="single" w:sz="8" w:space="0" w:color="808080"/>
            </w:tcBorders>
            <w:shd w:val="clear" w:color="auto" w:fill="auto"/>
            <w:vAlign w:val="center"/>
            <w:hideMark/>
          </w:tcPr>
          <w:p w14:paraId="7FB005C6"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57,1%</w:t>
            </w:r>
          </w:p>
        </w:tc>
      </w:tr>
      <w:tr w:rsidR="00E75022" w:rsidRPr="00646DDA" w14:paraId="1B6CD093"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3CC06CF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Διασυνδέσεις και επιχειρηματικότητα</w:t>
            </w:r>
          </w:p>
        </w:tc>
        <w:tc>
          <w:tcPr>
            <w:tcW w:w="738" w:type="pct"/>
            <w:tcBorders>
              <w:top w:val="nil"/>
              <w:left w:val="nil"/>
              <w:bottom w:val="single" w:sz="4" w:space="0" w:color="808080"/>
              <w:right w:val="single" w:sz="4" w:space="0" w:color="808080"/>
            </w:tcBorders>
            <w:shd w:val="clear" w:color="auto" w:fill="auto"/>
            <w:vAlign w:val="center"/>
            <w:hideMark/>
          </w:tcPr>
          <w:p w14:paraId="3D210C4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LinKages</w:t>
            </w:r>
          </w:p>
        </w:tc>
        <w:tc>
          <w:tcPr>
            <w:tcW w:w="374" w:type="pct"/>
            <w:tcBorders>
              <w:top w:val="nil"/>
              <w:left w:val="nil"/>
              <w:bottom w:val="single" w:sz="4" w:space="0" w:color="808080"/>
              <w:right w:val="single" w:sz="4" w:space="0" w:color="808080"/>
            </w:tcBorders>
            <w:shd w:val="clear" w:color="000000" w:fill="BFBFBF"/>
            <w:vAlign w:val="center"/>
            <w:hideMark/>
          </w:tcPr>
          <w:p w14:paraId="37E1FE9A"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73F133D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075F579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6FAF04A7"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852769A"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7E9CB63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D06D4F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6A23D25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7B48C3DE"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318F164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5957958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100FA10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42A051B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370FB0A4"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388A561E"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ΜΜΕ που καινοτομούν εσωτερικά ως ποσοστό των ΜΜΕ</w:t>
            </w:r>
          </w:p>
        </w:tc>
        <w:tc>
          <w:tcPr>
            <w:tcW w:w="738" w:type="pct"/>
            <w:tcBorders>
              <w:top w:val="nil"/>
              <w:left w:val="nil"/>
              <w:bottom w:val="single" w:sz="4" w:space="0" w:color="808080"/>
              <w:right w:val="single" w:sz="4" w:space="0" w:color="808080"/>
            </w:tcBorders>
            <w:shd w:val="clear" w:color="auto" w:fill="auto"/>
            <w:vAlign w:val="center"/>
            <w:hideMark/>
          </w:tcPr>
          <w:p w14:paraId="2E169803"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eastAsia="el-GR"/>
              </w:rPr>
              <w:t xml:space="preserve"> </w:t>
            </w:r>
            <w:r w:rsidRPr="00646DDA">
              <w:rPr>
                <w:rFonts w:eastAsia="Times New Roman"/>
                <w:color w:val="000000"/>
                <w:sz w:val="16"/>
                <w:szCs w:val="16"/>
                <w:lang w:val="en-US" w:eastAsia="el-GR"/>
              </w:rPr>
              <w:t>SMEs innovating in-house as percentage of all SMEs</w:t>
            </w:r>
          </w:p>
        </w:tc>
        <w:tc>
          <w:tcPr>
            <w:tcW w:w="374" w:type="pct"/>
            <w:tcBorders>
              <w:top w:val="nil"/>
              <w:left w:val="nil"/>
              <w:bottom w:val="single" w:sz="4" w:space="0" w:color="808080"/>
              <w:right w:val="single" w:sz="4" w:space="0" w:color="808080"/>
            </w:tcBorders>
            <w:shd w:val="clear" w:color="auto" w:fill="auto"/>
            <w:vAlign w:val="center"/>
            <w:hideMark/>
          </w:tcPr>
          <w:p w14:paraId="33D28022"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2D8A786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26,6</w:t>
            </w:r>
          </w:p>
        </w:tc>
        <w:tc>
          <w:tcPr>
            <w:tcW w:w="194" w:type="pct"/>
            <w:tcBorders>
              <w:top w:val="nil"/>
              <w:left w:val="nil"/>
              <w:bottom w:val="single" w:sz="4" w:space="0" w:color="808080"/>
              <w:right w:val="single" w:sz="4" w:space="0" w:color="808080"/>
            </w:tcBorders>
            <w:shd w:val="clear" w:color="auto" w:fill="auto"/>
            <w:vAlign w:val="center"/>
            <w:hideMark/>
          </w:tcPr>
          <w:p w14:paraId="343A28B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28,7</w:t>
            </w:r>
          </w:p>
        </w:tc>
        <w:tc>
          <w:tcPr>
            <w:tcW w:w="230" w:type="pct"/>
            <w:tcBorders>
              <w:top w:val="nil"/>
              <w:left w:val="nil"/>
              <w:bottom w:val="single" w:sz="4" w:space="0" w:color="808080"/>
              <w:right w:val="single" w:sz="8" w:space="0" w:color="808080"/>
            </w:tcBorders>
            <w:shd w:val="clear" w:color="auto" w:fill="auto"/>
            <w:vAlign w:val="center"/>
            <w:hideMark/>
          </w:tcPr>
          <w:p w14:paraId="3639B746"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92,7%</w:t>
            </w:r>
          </w:p>
        </w:tc>
        <w:tc>
          <w:tcPr>
            <w:tcW w:w="204" w:type="pct"/>
            <w:tcBorders>
              <w:top w:val="nil"/>
              <w:left w:val="nil"/>
              <w:bottom w:val="single" w:sz="4" w:space="0" w:color="808080"/>
              <w:right w:val="single" w:sz="4" w:space="0" w:color="808080"/>
            </w:tcBorders>
            <w:shd w:val="clear" w:color="auto" w:fill="auto"/>
            <w:vAlign w:val="center"/>
            <w:hideMark/>
          </w:tcPr>
          <w:p w14:paraId="5F38BF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26,6</w:t>
            </w:r>
          </w:p>
        </w:tc>
        <w:tc>
          <w:tcPr>
            <w:tcW w:w="207" w:type="pct"/>
            <w:tcBorders>
              <w:top w:val="nil"/>
              <w:left w:val="nil"/>
              <w:bottom w:val="single" w:sz="4" w:space="0" w:color="808080"/>
              <w:right w:val="single" w:sz="4" w:space="0" w:color="808080"/>
            </w:tcBorders>
            <w:shd w:val="clear" w:color="auto" w:fill="auto"/>
            <w:vAlign w:val="center"/>
            <w:hideMark/>
          </w:tcPr>
          <w:p w14:paraId="1F13135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28,7</w:t>
            </w:r>
          </w:p>
        </w:tc>
        <w:tc>
          <w:tcPr>
            <w:tcW w:w="261" w:type="pct"/>
            <w:tcBorders>
              <w:top w:val="nil"/>
              <w:left w:val="nil"/>
              <w:bottom w:val="single" w:sz="4" w:space="0" w:color="808080"/>
              <w:right w:val="single" w:sz="8" w:space="0" w:color="808080"/>
            </w:tcBorders>
            <w:shd w:val="clear" w:color="auto" w:fill="auto"/>
            <w:vAlign w:val="center"/>
            <w:hideMark/>
          </w:tcPr>
          <w:p w14:paraId="39D9599A"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92,7%</w:t>
            </w:r>
          </w:p>
        </w:tc>
        <w:tc>
          <w:tcPr>
            <w:tcW w:w="204" w:type="pct"/>
            <w:tcBorders>
              <w:top w:val="nil"/>
              <w:left w:val="nil"/>
              <w:bottom w:val="single" w:sz="4" w:space="0" w:color="808080"/>
              <w:right w:val="single" w:sz="4" w:space="0" w:color="808080"/>
            </w:tcBorders>
            <w:shd w:val="clear" w:color="auto" w:fill="auto"/>
            <w:vAlign w:val="center"/>
            <w:hideMark/>
          </w:tcPr>
          <w:p w14:paraId="624F4BD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31,40</w:t>
            </w:r>
          </w:p>
        </w:tc>
        <w:tc>
          <w:tcPr>
            <w:tcW w:w="207" w:type="pct"/>
            <w:tcBorders>
              <w:top w:val="nil"/>
              <w:left w:val="nil"/>
              <w:bottom w:val="single" w:sz="4" w:space="0" w:color="808080"/>
              <w:right w:val="single" w:sz="4" w:space="0" w:color="808080"/>
            </w:tcBorders>
            <w:shd w:val="clear" w:color="auto" w:fill="auto"/>
            <w:vAlign w:val="center"/>
            <w:hideMark/>
          </w:tcPr>
          <w:p w14:paraId="171DBB0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28,80</w:t>
            </w:r>
          </w:p>
        </w:tc>
        <w:tc>
          <w:tcPr>
            <w:tcW w:w="261" w:type="pct"/>
            <w:tcBorders>
              <w:top w:val="nil"/>
              <w:left w:val="nil"/>
              <w:bottom w:val="single" w:sz="4" w:space="0" w:color="808080"/>
              <w:right w:val="single" w:sz="8" w:space="0" w:color="808080"/>
            </w:tcBorders>
            <w:shd w:val="clear" w:color="auto" w:fill="auto"/>
            <w:vAlign w:val="center"/>
            <w:hideMark/>
          </w:tcPr>
          <w:p w14:paraId="6A9D6E75"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109,0%</w:t>
            </w:r>
          </w:p>
        </w:tc>
        <w:tc>
          <w:tcPr>
            <w:tcW w:w="395" w:type="pct"/>
            <w:tcBorders>
              <w:top w:val="nil"/>
              <w:left w:val="nil"/>
              <w:bottom w:val="single" w:sz="4" w:space="0" w:color="808080"/>
              <w:right w:val="single" w:sz="4" w:space="0" w:color="808080"/>
            </w:tcBorders>
            <w:shd w:val="clear" w:color="auto" w:fill="auto"/>
            <w:vAlign w:val="center"/>
            <w:hideMark/>
          </w:tcPr>
          <w:p w14:paraId="34A37A1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31,4</w:t>
            </w:r>
          </w:p>
        </w:tc>
        <w:tc>
          <w:tcPr>
            <w:tcW w:w="254" w:type="pct"/>
            <w:tcBorders>
              <w:top w:val="nil"/>
              <w:left w:val="nil"/>
              <w:bottom w:val="single" w:sz="4" w:space="0" w:color="808080"/>
              <w:right w:val="single" w:sz="4" w:space="0" w:color="808080"/>
            </w:tcBorders>
            <w:shd w:val="clear" w:color="auto" w:fill="auto"/>
            <w:vAlign w:val="center"/>
            <w:hideMark/>
          </w:tcPr>
          <w:p w14:paraId="7E8E7F7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28,8</w:t>
            </w:r>
          </w:p>
        </w:tc>
        <w:tc>
          <w:tcPr>
            <w:tcW w:w="369" w:type="pct"/>
            <w:tcBorders>
              <w:top w:val="nil"/>
              <w:left w:val="nil"/>
              <w:bottom w:val="single" w:sz="4" w:space="0" w:color="808080"/>
              <w:right w:val="single" w:sz="8" w:space="0" w:color="808080"/>
            </w:tcBorders>
            <w:shd w:val="clear" w:color="auto" w:fill="auto"/>
            <w:vAlign w:val="center"/>
            <w:hideMark/>
          </w:tcPr>
          <w:p w14:paraId="3BBC04C4"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109,0%</w:t>
            </w:r>
          </w:p>
        </w:tc>
      </w:tr>
      <w:tr w:rsidR="00E75022" w:rsidRPr="00646DDA" w14:paraId="7AC84263"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FF84A75"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Καινοτόμες ΜΜΕ που συνεργάζονται με άλλες ως ποσοστό των ΜΜΕ</w:t>
            </w:r>
          </w:p>
        </w:tc>
        <w:tc>
          <w:tcPr>
            <w:tcW w:w="738" w:type="pct"/>
            <w:tcBorders>
              <w:top w:val="nil"/>
              <w:left w:val="nil"/>
              <w:bottom w:val="single" w:sz="4" w:space="0" w:color="808080"/>
              <w:right w:val="single" w:sz="4" w:space="0" w:color="808080"/>
            </w:tcBorders>
            <w:shd w:val="clear" w:color="auto" w:fill="auto"/>
            <w:vAlign w:val="center"/>
            <w:hideMark/>
          </w:tcPr>
          <w:p w14:paraId="234D6444"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Innovative SMEs co-operating with others (percentage of all SMEs)</w:t>
            </w:r>
          </w:p>
        </w:tc>
        <w:tc>
          <w:tcPr>
            <w:tcW w:w="374" w:type="pct"/>
            <w:tcBorders>
              <w:top w:val="nil"/>
              <w:left w:val="nil"/>
              <w:bottom w:val="single" w:sz="4" w:space="0" w:color="808080"/>
              <w:right w:val="single" w:sz="4" w:space="0" w:color="808080"/>
            </w:tcBorders>
            <w:shd w:val="clear" w:color="auto" w:fill="auto"/>
            <w:vAlign w:val="center"/>
            <w:hideMark/>
          </w:tcPr>
          <w:p w14:paraId="6B0C3E9F"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4FCB434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12,4</w:t>
            </w:r>
          </w:p>
        </w:tc>
        <w:tc>
          <w:tcPr>
            <w:tcW w:w="194" w:type="pct"/>
            <w:tcBorders>
              <w:top w:val="nil"/>
              <w:left w:val="nil"/>
              <w:bottom w:val="single" w:sz="4" w:space="0" w:color="808080"/>
              <w:right w:val="single" w:sz="4" w:space="0" w:color="808080"/>
            </w:tcBorders>
            <w:shd w:val="clear" w:color="auto" w:fill="auto"/>
            <w:vAlign w:val="center"/>
            <w:hideMark/>
          </w:tcPr>
          <w:p w14:paraId="43E0319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10,3</w:t>
            </w:r>
          </w:p>
        </w:tc>
        <w:tc>
          <w:tcPr>
            <w:tcW w:w="230" w:type="pct"/>
            <w:tcBorders>
              <w:top w:val="nil"/>
              <w:left w:val="nil"/>
              <w:bottom w:val="single" w:sz="4" w:space="0" w:color="808080"/>
              <w:right w:val="single" w:sz="8" w:space="0" w:color="808080"/>
            </w:tcBorders>
            <w:shd w:val="clear" w:color="auto" w:fill="auto"/>
            <w:vAlign w:val="center"/>
            <w:hideMark/>
          </w:tcPr>
          <w:p w14:paraId="0ADB35F1"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120,4%</w:t>
            </w:r>
          </w:p>
        </w:tc>
        <w:tc>
          <w:tcPr>
            <w:tcW w:w="204" w:type="pct"/>
            <w:tcBorders>
              <w:top w:val="nil"/>
              <w:left w:val="nil"/>
              <w:bottom w:val="single" w:sz="4" w:space="0" w:color="808080"/>
              <w:right w:val="single" w:sz="4" w:space="0" w:color="808080"/>
            </w:tcBorders>
            <w:shd w:val="clear" w:color="auto" w:fill="auto"/>
            <w:vAlign w:val="center"/>
            <w:hideMark/>
          </w:tcPr>
          <w:p w14:paraId="16B107F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12,4</w:t>
            </w:r>
          </w:p>
        </w:tc>
        <w:tc>
          <w:tcPr>
            <w:tcW w:w="207" w:type="pct"/>
            <w:tcBorders>
              <w:top w:val="nil"/>
              <w:left w:val="nil"/>
              <w:bottom w:val="single" w:sz="4" w:space="0" w:color="808080"/>
              <w:right w:val="single" w:sz="4" w:space="0" w:color="808080"/>
            </w:tcBorders>
            <w:shd w:val="clear" w:color="auto" w:fill="auto"/>
            <w:vAlign w:val="center"/>
            <w:hideMark/>
          </w:tcPr>
          <w:p w14:paraId="208C398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10,3</w:t>
            </w:r>
          </w:p>
        </w:tc>
        <w:tc>
          <w:tcPr>
            <w:tcW w:w="261" w:type="pct"/>
            <w:tcBorders>
              <w:top w:val="nil"/>
              <w:left w:val="nil"/>
              <w:bottom w:val="single" w:sz="4" w:space="0" w:color="808080"/>
              <w:right w:val="single" w:sz="8" w:space="0" w:color="808080"/>
            </w:tcBorders>
            <w:shd w:val="clear" w:color="auto" w:fill="auto"/>
            <w:vAlign w:val="center"/>
            <w:hideMark/>
          </w:tcPr>
          <w:p w14:paraId="3E887205"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120,4%</w:t>
            </w:r>
          </w:p>
        </w:tc>
        <w:tc>
          <w:tcPr>
            <w:tcW w:w="204" w:type="pct"/>
            <w:tcBorders>
              <w:top w:val="nil"/>
              <w:left w:val="nil"/>
              <w:bottom w:val="single" w:sz="4" w:space="0" w:color="808080"/>
              <w:right w:val="single" w:sz="4" w:space="0" w:color="808080"/>
            </w:tcBorders>
            <w:shd w:val="clear" w:color="auto" w:fill="auto"/>
            <w:vAlign w:val="center"/>
            <w:hideMark/>
          </w:tcPr>
          <w:p w14:paraId="138B129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14,80</w:t>
            </w:r>
          </w:p>
        </w:tc>
        <w:tc>
          <w:tcPr>
            <w:tcW w:w="207" w:type="pct"/>
            <w:tcBorders>
              <w:top w:val="nil"/>
              <w:left w:val="nil"/>
              <w:bottom w:val="single" w:sz="4" w:space="0" w:color="808080"/>
              <w:right w:val="single" w:sz="4" w:space="0" w:color="808080"/>
            </w:tcBorders>
            <w:shd w:val="clear" w:color="auto" w:fill="auto"/>
            <w:vAlign w:val="center"/>
            <w:hideMark/>
          </w:tcPr>
          <w:p w14:paraId="59541BF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11,20</w:t>
            </w:r>
          </w:p>
        </w:tc>
        <w:tc>
          <w:tcPr>
            <w:tcW w:w="261" w:type="pct"/>
            <w:tcBorders>
              <w:top w:val="nil"/>
              <w:left w:val="nil"/>
              <w:bottom w:val="single" w:sz="4" w:space="0" w:color="808080"/>
              <w:right w:val="single" w:sz="8" w:space="0" w:color="808080"/>
            </w:tcBorders>
            <w:shd w:val="clear" w:color="auto" w:fill="auto"/>
            <w:vAlign w:val="center"/>
            <w:hideMark/>
          </w:tcPr>
          <w:p w14:paraId="0AC1C407"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132,1%</w:t>
            </w:r>
          </w:p>
        </w:tc>
        <w:tc>
          <w:tcPr>
            <w:tcW w:w="395" w:type="pct"/>
            <w:tcBorders>
              <w:top w:val="nil"/>
              <w:left w:val="nil"/>
              <w:bottom w:val="single" w:sz="4" w:space="0" w:color="808080"/>
              <w:right w:val="single" w:sz="4" w:space="0" w:color="808080"/>
            </w:tcBorders>
            <w:shd w:val="clear" w:color="auto" w:fill="auto"/>
            <w:vAlign w:val="center"/>
            <w:hideMark/>
          </w:tcPr>
          <w:p w14:paraId="4689E63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14,8</w:t>
            </w:r>
          </w:p>
        </w:tc>
        <w:tc>
          <w:tcPr>
            <w:tcW w:w="254" w:type="pct"/>
            <w:tcBorders>
              <w:top w:val="nil"/>
              <w:left w:val="nil"/>
              <w:bottom w:val="single" w:sz="4" w:space="0" w:color="808080"/>
              <w:right w:val="single" w:sz="4" w:space="0" w:color="808080"/>
            </w:tcBorders>
            <w:shd w:val="clear" w:color="auto" w:fill="auto"/>
            <w:vAlign w:val="center"/>
            <w:hideMark/>
          </w:tcPr>
          <w:p w14:paraId="33524D4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11,2</w:t>
            </w:r>
          </w:p>
        </w:tc>
        <w:tc>
          <w:tcPr>
            <w:tcW w:w="369" w:type="pct"/>
            <w:tcBorders>
              <w:top w:val="nil"/>
              <w:left w:val="nil"/>
              <w:bottom w:val="single" w:sz="4" w:space="0" w:color="808080"/>
              <w:right w:val="single" w:sz="8" w:space="0" w:color="808080"/>
            </w:tcBorders>
            <w:shd w:val="clear" w:color="auto" w:fill="auto"/>
            <w:vAlign w:val="center"/>
            <w:hideMark/>
          </w:tcPr>
          <w:p w14:paraId="776BB9EA"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132,1%</w:t>
            </w:r>
          </w:p>
        </w:tc>
      </w:tr>
      <w:tr w:rsidR="00E75022" w:rsidRPr="00646DDA" w14:paraId="79A9A7E0"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FA7BDE2"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lastRenderedPageBreak/>
              <w:t>Δημόσιες-ιδιωτικές συν-δημοσιεύσεις ανά εκατομμύριο πληθυσμού</w:t>
            </w:r>
          </w:p>
        </w:tc>
        <w:tc>
          <w:tcPr>
            <w:tcW w:w="738" w:type="pct"/>
            <w:tcBorders>
              <w:top w:val="nil"/>
              <w:left w:val="nil"/>
              <w:bottom w:val="single" w:sz="4" w:space="0" w:color="808080"/>
              <w:right w:val="single" w:sz="4" w:space="0" w:color="808080"/>
            </w:tcBorders>
            <w:shd w:val="clear" w:color="auto" w:fill="auto"/>
            <w:vAlign w:val="center"/>
            <w:hideMark/>
          </w:tcPr>
          <w:p w14:paraId="112C72ED"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Public-private scientific co-publications per million population</w:t>
            </w:r>
          </w:p>
        </w:tc>
        <w:tc>
          <w:tcPr>
            <w:tcW w:w="374" w:type="pct"/>
            <w:tcBorders>
              <w:top w:val="nil"/>
              <w:left w:val="nil"/>
              <w:bottom w:val="single" w:sz="4" w:space="0" w:color="808080"/>
              <w:right w:val="single" w:sz="4" w:space="0" w:color="808080"/>
            </w:tcBorders>
            <w:shd w:val="clear" w:color="auto" w:fill="auto"/>
            <w:vAlign w:val="center"/>
            <w:hideMark/>
          </w:tcPr>
          <w:p w14:paraId="7141B042"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Δημοσιεύσεις ανά εκατομμύριο πληθυσμού</w:t>
            </w:r>
          </w:p>
        </w:tc>
        <w:tc>
          <w:tcPr>
            <w:tcW w:w="204" w:type="pct"/>
            <w:tcBorders>
              <w:top w:val="nil"/>
              <w:left w:val="nil"/>
              <w:bottom w:val="single" w:sz="4" w:space="0" w:color="808080"/>
              <w:right w:val="single" w:sz="4" w:space="0" w:color="808080"/>
            </w:tcBorders>
            <w:shd w:val="clear" w:color="auto" w:fill="auto"/>
            <w:vAlign w:val="center"/>
            <w:hideMark/>
          </w:tcPr>
          <w:p w14:paraId="0013BCB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16,5</w:t>
            </w:r>
          </w:p>
        </w:tc>
        <w:tc>
          <w:tcPr>
            <w:tcW w:w="194" w:type="pct"/>
            <w:tcBorders>
              <w:top w:val="nil"/>
              <w:left w:val="nil"/>
              <w:bottom w:val="single" w:sz="4" w:space="0" w:color="808080"/>
              <w:right w:val="single" w:sz="4" w:space="0" w:color="808080"/>
            </w:tcBorders>
            <w:shd w:val="clear" w:color="auto" w:fill="auto"/>
            <w:vAlign w:val="center"/>
            <w:hideMark/>
          </w:tcPr>
          <w:p w14:paraId="103C030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50,3</w:t>
            </w:r>
          </w:p>
        </w:tc>
        <w:tc>
          <w:tcPr>
            <w:tcW w:w="230" w:type="pct"/>
            <w:tcBorders>
              <w:top w:val="nil"/>
              <w:left w:val="nil"/>
              <w:bottom w:val="single" w:sz="4" w:space="0" w:color="808080"/>
              <w:right w:val="single" w:sz="8" w:space="0" w:color="808080"/>
            </w:tcBorders>
            <w:shd w:val="clear" w:color="auto" w:fill="auto"/>
            <w:vAlign w:val="center"/>
            <w:hideMark/>
          </w:tcPr>
          <w:p w14:paraId="694C62F4"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32,8%</w:t>
            </w:r>
          </w:p>
        </w:tc>
        <w:tc>
          <w:tcPr>
            <w:tcW w:w="204" w:type="pct"/>
            <w:tcBorders>
              <w:top w:val="nil"/>
              <w:left w:val="nil"/>
              <w:bottom w:val="single" w:sz="4" w:space="0" w:color="808080"/>
              <w:right w:val="single" w:sz="4" w:space="0" w:color="808080"/>
            </w:tcBorders>
            <w:shd w:val="clear" w:color="auto" w:fill="auto"/>
            <w:vAlign w:val="center"/>
            <w:hideMark/>
          </w:tcPr>
          <w:p w14:paraId="327D227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9,9</w:t>
            </w:r>
          </w:p>
        </w:tc>
        <w:tc>
          <w:tcPr>
            <w:tcW w:w="207" w:type="pct"/>
            <w:tcBorders>
              <w:top w:val="nil"/>
              <w:left w:val="nil"/>
              <w:bottom w:val="single" w:sz="4" w:space="0" w:color="808080"/>
              <w:right w:val="single" w:sz="4" w:space="0" w:color="808080"/>
            </w:tcBorders>
            <w:shd w:val="clear" w:color="auto" w:fill="auto"/>
            <w:vAlign w:val="center"/>
            <w:hideMark/>
          </w:tcPr>
          <w:p w14:paraId="05A0389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33,9</w:t>
            </w:r>
          </w:p>
        </w:tc>
        <w:tc>
          <w:tcPr>
            <w:tcW w:w="261" w:type="pct"/>
            <w:tcBorders>
              <w:top w:val="nil"/>
              <w:left w:val="nil"/>
              <w:bottom w:val="single" w:sz="4" w:space="0" w:color="808080"/>
              <w:right w:val="single" w:sz="8" w:space="0" w:color="808080"/>
            </w:tcBorders>
            <w:shd w:val="clear" w:color="auto" w:fill="auto"/>
            <w:vAlign w:val="center"/>
            <w:hideMark/>
          </w:tcPr>
          <w:p w14:paraId="6EA73737"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29,2%</w:t>
            </w:r>
          </w:p>
        </w:tc>
        <w:tc>
          <w:tcPr>
            <w:tcW w:w="204" w:type="pct"/>
            <w:tcBorders>
              <w:top w:val="nil"/>
              <w:left w:val="nil"/>
              <w:bottom w:val="single" w:sz="4" w:space="0" w:color="808080"/>
              <w:right w:val="single" w:sz="4" w:space="0" w:color="808080"/>
            </w:tcBorders>
            <w:shd w:val="clear" w:color="auto" w:fill="auto"/>
            <w:vAlign w:val="center"/>
            <w:hideMark/>
          </w:tcPr>
          <w:p w14:paraId="1FFE34B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7,9</w:t>
            </w:r>
          </w:p>
        </w:tc>
        <w:tc>
          <w:tcPr>
            <w:tcW w:w="207" w:type="pct"/>
            <w:tcBorders>
              <w:top w:val="nil"/>
              <w:left w:val="nil"/>
              <w:bottom w:val="single" w:sz="4" w:space="0" w:color="808080"/>
              <w:right w:val="single" w:sz="4" w:space="0" w:color="808080"/>
            </w:tcBorders>
            <w:shd w:val="clear" w:color="auto" w:fill="auto"/>
            <w:vAlign w:val="center"/>
            <w:hideMark/>
          </w:tcPr>
          <w:p w14:paraId="7638199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28,7</w:t>
            </w:r>
          </w:p>
        </w:tc>
        <w:tc>
          <w:tcPr>
            <w:tcW w:w="261" w:type="pct"/>
            <w:tcBorders>
              <w:top w:val="nil"/>
              <w:left w:val="nil"/>
              <w:bottom w:val="single" w:sz="4" w:space="0" w:color="808080"/>
              <w:right w:val="single" w:sz="8" w:space="0" w:color="808080"/>
            </w:tcBorders>
            <w:shd w:val="clear" w:color="auto" w:fill="auto"/>
            <w:vAlign w:val="center"/>
            <w:hideMark/>
          </w:tcPr>
          <w:p w14:paraId="613A343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27,5%</w:t>
            </w:r>
          </w:p>
        </w:tc>
        <w:tc>
          <w:tcPr>
            <w:tcW w:w="395" w:type="pct"/>
            <w:tcBorders>
              <w:top w:val="nil"/>
              <w:left w:val="nil"/>
              <w:bottom w:val="single" w:sz="4" w:space="0" w:color="808080"/>
              <w:right w:val="single" w:sz="4" w:space="0" w:color="808080"/>
            </w:tcBorders>
            <w:shd w:val="clear" w:color="auto" w:fill="auto"/>
            <w:vAlign w:val="center"/>
            <w:hideMark/>
          </w:tcPr>
          <w:p w14:paraId="10F1AF6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10,5</w:t>
            </w:r>
          </w:p>
        </w:tc>
        <w:tc>
          <w:tcPr>
            <w:tcW w:w="254" w:type="pct"/>
            <w:tcBorders>
              <w:top w:val="nil"/>
              <w:left w:val="nil"/>
              <w:bottom w:val="single" w:sz="4" w:space="0" w:color="808080"/>
              <w:right w:val="single" w:sz="4" w:space="0" w:color="808080"/>
            </w:tcBorders>
            <w:shd w:val="clear" w:color="auto" w:fill="auto"/>
            <w:vAlign w:val="center"/>
            <w:hideMark/>
          </w:tcPr>
          <w:p w14:paraId="22E27CE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40,9</w:t>
            </w:r>
          </w:p>
        </w:tc>
        <w:tc>
          <w:tcPr>
            <w:tcW w:w="369" w:type="pct"/>
            <w:tcBorders>
              <w:top w:val="nil"/>
              <w:left w:val="nil"/>
              <w:bottom w:val="single" w:sz="4" w:space="0" w:color="808080"/>
              <w:right w:val="single" w:sz="8" w:space="0" w:color="808080"/>
            </w:tcBorders>
            <w:shd w:val="clear" w:color="auto" w:fill="auto"/>
            <w:vAlign w:val="center"/>
            <w:hideMark/>
          </w:tcPr>
          <w:p w14:paraId="65DD6647"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25,7%</w:t>
            </w:r>
          </w:p>
        </w:tc>
      </w:tr>
      <w:tr w:rsidR="00E75022" w:rsidRPr="00646DDA" w14:paraId="58DB9B40"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C9A46C4"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Ιδιωτική συγχρηματοδότηση δημοσίων δαπανών Ε&amp;Α (ποσοστό ΑΕΠ)</w:t>
            </w:r>
          </w:p>
        </w:tc>
        <w:tc>
          <w:tcPr>
            <w:tcW w:w="738" w:type="pct"/>
            <w:tcBorders>
              <w:top w:val="nil"/>
              <w:left w:val="nil"/>
              <w:bottom w:val="single" w:sz="4" w:space="0" w:color="808080"/>
              <w:right w:val="single" w:sz="4" w:space="0" w:color="808080"/>
            </w:tcBorders>
            <w:shd w:val="clear" w:color="auto" w:fill="auto"/>
            <w:vAlign w:val="center"/>
            <w:hideMark/>
          </w:tcPr>
          <w:p w14:paraId="4599B9ED"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 xml:space="preserve">Private co-funding of public R&amp;D expenditures (percentage of GDP) - </w:t>
            </w:r>
            <w:r w:rsidRPr="00646DDA">
              <w:rPr>
                <w:rFonts w:eastAsia="Times New Roman"/>
                <w:b/>
                <w:bCs/>
                <w:color w:val="000000"/>
                <w:sz w:val="16"/>
                <w:szCs w:val="16"/>
                <w:lang w:val="en-US" w:eastAsia="el-GR"/>
              </w:rPr>
              <w:t>NEW</w:t>
            </w:r>
          </w:p>
        </w:tc>
        <w:tc>
          <w:tcPr>
            <w:tcW w:w="374" w:type="pct"/>
            <w:tcBorders>
              <w:top w:val="nil"/>
              <w:left w:val="nil"/>
              <w:bottom w:val="single" w:sz="4" w:space="0" w:color="808080"/>
              <w:right w:val="single" w:sz="4" w:space="0" w:color="808080"/>
            </w:tcBorders>
            <w:shd w:val="clear" w:color="auto" w:fill="auto"/>
            <w:vAlign w:val="center"/>
            <w:hideMark/>
          </w:tcPr>
          <w:p w14:paraId="357E8227"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000000" w:fill="BFBFBF"/>
            <w:vAlign w:val="center"/>
            <w:hideMark/>
          </w:tcPr>
          <w:p w14:paraId="5153EFD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1C2473C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3D7B6CDE"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430C61F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4D17B22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211A3F1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vAlign w:val="center"/>
            <w:hideMark/>
          </w:tcPr>
          <w:p w14:paraId="06F2FC5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0,04</w:t>
            </w:r>
          </w:p>
        </w:tc>
        <w:tc>
          <w:tcPr>
            <w:tcW w:w="207" w:type="pct"/>
            <w:tcBorders>
              <w:top w:val="nil"/>
              <w:left w:val="nil"/>
              <w:bottom w:val="single" w:sz="4" w:space="0" w:color="808080"/>
              <w:right w:val="single" w:sz="4" w:space="0" w:color="808080"/>
            </w:tcBorders>
            <w:shd w:val="clear" w:color="auto" w:fill="auto"/>
            <w:vAlign w:val="center"/>
            <w:hideMark/>
          </w:tcPr>
          <w:p w14:paraId="32C69AA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0,05</w:t>
            </w:r>
          </w:p>
        </w:tc>
        <w:tc>
          <w:tcPr>
            <w:tcW w:w="261" w:type="pct"/>
            <w:tcBorders>
              <w:top w:val="nil"/>
              <w:left w:val="nil"/>
              <w:bottom w:val="single" w:sz="4" w:space="0" w:color="808080"/>
              <w:right w:val="single" w:sz="8" w:space="0" w:color="808080"/>
            </w:tcBorders>
            <w:shd w:val="clear" w:color="auto" w:fill="auto"/>
            <w:vAlign w:val="center"/>
            <w:hideMark/>
          </w:tcPr>
          <w:p w14:paraId="0827A960"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80,0%</w:t>
            </w:r>
          </w:p>
        </w:tc>
        <w:tc>
          <w:tcPr>
            <w:tcW w:w="395" w:type="pct"/>
            <w:tcBorders>
              <w:top w:val="nil"/>
              <w:left w:val="nil"/>
              <w:bottom w:val="single" w:sz="4" w:space="0" w:color="808080"/>
              <w:right w:val="single" w:sz="4" w:space="0" w:color="808080"/>
            </w:tcBorders>
            <w:shd w:val="clear" w:color="auto" w:fill="auto"/>
            <w:vAlign w:val="center"/>
            <w:hideMark/>
          </w:tcPr>
          <w:p w14:paraId="74997DE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0,04</w:t>
            </w:r>
          </w:p>
        </w:tc>
        <w:tc>
          <w:tcPr>
            <w:tcW w:w="254" w:type="pct"/>
            <w:tcBorders>
              <w:top w:val="nil"/>
              <w:left w:val="nil"/>
              <w:bottom w:val="single" w:sz="4" w:space="0" w:color="808080"/>
              <w:right w:val="single" w:sz="4" w:space="0" w:color="808080"/>
            </w:tcBorders>
            <w:shd w:val="clear" w:color="auto" w:fill="auto"/>
            <w:vAlign w:val="center"/>
            <w:hideMark/>
          </w:tcPr>
          <w:p w14:paraId="3F7FB8F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0,05</w:t>
            </w:r>
          </w:p>
        </w:tc>
        <w:tc>
          <w:tcPr>
            <w:tcW w:w="369" w:type="pct"/>
            <w:tcBorders>
              <w:top w:val="nil"/>
              <w:left w:val="nil"/>
              <w:bottom w:val="single" w:sz="4" w:space="0" w:color="808080"/>
              <w:right w:val="single" w:sz="8" w:space="0" w:color="808080"/>
            </w:tcBorders>
            <w:shd w:val="clear" w:color="auto" w:fill="auto"/>
            <w:vAlign w:val="center"/>
            <w:hideMark/>
          </w:tcPr>
          <w:p w14:paraId="21E7E8D3"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80,0%</w:t>
            </w:r>
          </w:p>
        </w:tc>
      </w:tr>
      <w:tr w:rsidR="00E75022" w:rsidRPr="00646DDA" w14:paraId="6853E164"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BDFD3B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Διανοητικά περιουσιακά στοιχεία</w:t>
            </w:r>
          </w:p>
        </w:tc>
        <w:tc>
          <w:tcPr>
            <w:tcW w:w="738" w:type="pct"/>
            <w:tcBorders>
              <w:top w:val="nil"/>
              <w:left w:val="nil"/>
              <w:bottom w:val="single" w:sz="4" w:space="0" w:color="808080"/>
              <w:right w:val="single" w:sz="4" w:space="0" w:color="808080"/>
            </w:tcBorders>
            <w:shd w:val="clear" w:color="auto" w:fill="auto"/>
            <w:vAlign w:val="center"/>
            <w:hideMark/>
          </w:tcPr>
          <w:p w14:paraId="54CA2225"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Intellectual Assets</w:t>
            </w:r>
          </w:p>
        </w:tc>
        <w:tc>
          <w:tcPr>
            <w:tcW w:w="374" w:type="pct"/>
            <w:tcBorders>
              <w:top w:val="nil"/>
              <w:left w:val="nil"/>
              <w:bottom w:val="single" w:sz="4" w:space="0" w:color="808080"/>
              <w:right w:val="single" w:sz="4" w:space="0" w:color="808080"/>
            </w:tcBorders>
            <w:shd w:val="clear" w:color="000000" w:fill="BFBFBF"/>
            <w:vAlign w:val="center"/>
            <w:hideMark/>
          </w:tcPr>
          <w:p w14:paraId="698CB94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56AD092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4745CD2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5BDC27C9"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7EF22F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1C1D0226"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1FE829E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89D0C7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BF400E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4AD294C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0BA346E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11E2E76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48D32C3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1790B533"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4FAA7FF"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Αιτήσεις ευρεσιτεχνίας PCT ανά δισεκατομμύριο ΑΕγχΠ (σε ΜΑΔ €)</w:t>
            </w:r>
          </w:p>
        </w:tc>
        <w:tc>
          <w:tcPr>
            <w:tcW w:w="738" w:type="pct"/>
            <w:tcBorders>
              <w:top w:val="nil"/>
              <w:left w:val="nil"/>
              <w:bottom w:val="single" w:sz="4" w:space="0" w:color="808080"/>
              <w:right w:val="single" w:sz="4" w:space="0" w:color="808080"/>
            </w:tcBorders>
            <w:shd w:val="clear" w:color="auto" w:fill="auto"/>
            <w:vAlign w:val="center"/>
            <w:hideMark/>
          </w:tcPr>
          <w:p w14:paraId="4F0BC657"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PCT patent applications per billion GDP (in PPS€)</w:t>
            </w:r>
          </w:p>
        </w:tc>
        <w:tc>
          <w:tcPr>
            <w:tcW w:w="374" w:type="pct"/>
            <w:tcBorders>
              <w:top w:val="nil"/>
              <w:left w:val="nil"/>
              <w:bottom w:val="single" w:sz="4" w:space="0" w:color="808080"/>
              <w:right w:val="single" w:sz="4" w:space="0" w:color="808080"/>
            </w:tcBorders>
            <w:shd w:val="clear" w:color="auto" w:fill="auto"/>
            <w:vAlign w:val="center"/>
            <w:hideMark/>
          </w:tcPr>
          <w:p w14:paraId="11C4D63E"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ΜΑΔ €</w:t>
            </w:r>
          </w:p>
        </w:tc>
        <w:tc>
          <w:tcPr>
            <w:tcW w:w="204" w:type="pct"/>
            <w:tcBorders>
              <w:top w:val="nil"/>
              <w:left w:val="nil"/>
              <w:bottom w:val="single" w:sz="4" w:space="0" w:color="808080"/>
              <w:right w:val="single" w:sz="4" w:space="0" w:color="808080"/>
            </w:tcBorders>
            <w:shd w:val="clear" w:color="auto" w:fill="auto"/>
            <w:vAlign w:val="center"/>
            <w:hideMark/>
          </w:tcPr>
          <w:p w14:paraId="475BCBC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0,35</w:t>
            </w:r>
          </w:p>
        </w:tc>
        <w:tc>
          <w:tcPr>
            <w:tcW w:w="194" w:type="pct"/>
            <w:tcBorders>
              <w:top w:val="nil"/>
              <w:left w:val="nil"/>
              <w:bottom w:val="single" w:sz="4" w:space="0" w:color="808080"/>
              <w:right w:val="single" w:sz="4" w:space="0" w:color="808080"/>
            </w:tcBorders>
            <w:shd w:val="clear" w:color="auto" w:fill="auto"/>
            <w:vAlign w:val="center"/>
            <w:hideMark/>
          </w:tcPr>
          <w:p w14:paraId="27A6A2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3,78</w:t>
            </w:r>
          </w:p>
        </w:tc>
        <w:tc>
          <w:tcPr>
            <w:tcW w:w="230" w:type="pct"/>
            <w:tcBorders>
              <w:top w:val="nil"/>
              <w:left w:val="nil"/>
              <w:bottom w:val="single" w:sz="4" w:space="0" w:color="808080"/>
              <w:right w:val="single" w:sz="8" w:space="0" w:color="808080"/>
            </w:tcBorders>
            <w:shd w:val="clear" w:color="auto" w:fill="auto"/>
            <w:vAlign w:val="center"/>
            <w:hideMark/>
          </w:tcPr>
          <w:p w14:paraId="3EB06FCE"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9,3%</w:t>
            </w:r>
          </w:p>
        </w:tc>
        <w:tc>
          <w:tcPr>
            <w:tcW w:w="204" w:type="pct"/>
            <w:tcBorders>
              <w:top w:val="nil"/>
              <w:left w:val="nil"/>
              <w:bottom w:val="single" w:sz="4" w:space="0" w:color="808080"/>
              <w:right w:val="single" w:sz="4" w:space="0" w:color="808080"/>
            </w:tcBorders>
            <w:shd w:val="clear" w:color="auto" w:fill="auto"/>
            <w:vAlign w:val="center"/>
            <w:hideMark/>
          </w:tcPr>
          <w:p w14:paraId="11BE02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0,55</w:t>
            </w:r>
          </w:p>
        </w:tc>
        <w:tc>
          <w:tcPr>
            <w:tcW w:w="207" w:type="pct"/>
            <w:tcBorders>
              <w:top w:val="nil"/>
              <w:left w:val="nil"/>
              <w:bottom w:val="single" w:sz="4" w:space="0" w:color="808080"/>
              <w:right w:val="single" w:sz="4" w:space="0" w:color="808080"/>
            </w:tcBorders>
            <w:shd w:val="clear" w:color="auto" w:fill="auto"/>
            <w:vAlign w:val="center"/>
            <w:hideMark/>
          </w:tcPr>
          <w:p w14:paraId="416E4D8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3,53</w:t>
            </w:r>
          </w:p>
        </w:tc>
        <w:tc>
          <w:tcPr>
            <w:tcW w:w="261" w:type="pct"/>
            <w:tcBorders>
              <w:top w:val="nil"/>
              <w:left w:val="nil"/>
              <w:bottom w:val="single" w:sz="4" w:space="0" w:color="808080"/>
              <w:right w:val="single" w:sz="8" w:space="0" w:color="808080"/>
            </w:tcBorders>
            <w:shd w:val="clear" w:color="auto" w:fill="auto"/>
            <w:vAlign w:val="center"/>
            <w:hideMark/>
          </w:tcPr>
          <w:p w14:paraId="3FA22644"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15,6%</w:t>
            </w:r>
          </w:p>
        </w:tc>
        <w:tc>
          <w:tcPr>
            <w:tcW w:w="204" w:type="pct"/>
            <w:tcBorders>
              <w:top w:val="nil"/>
              <w:left w:val="nil"/>
              <w:bottom w:val="single" w:sz="4" w:space="0" w:color="808080"/>
              <w:right w:val="single" w:sz="4" w:space="0" w:color="808080"/>
            </w:tcBorders>
            <w:shd w:val="clear" w:color="auto" w:fill="auto"/>
            <w:vAlign w:val="center"/>
            <w:hideMark/>
          </w:tcPr>
          <w:p w14:paraId="4AA2C4D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0,55</w:t>
            </w:r>
          </w:p>
        </w:tc>
        <w:tc>
          <w:tcPr>
            <w:tcW w:w="207" w:type="pct"/>
            <w:tcBorders>
              <w:top w:val="nil"/>
              <w:left w:val="nil"/>
              <w:bottom w:val="single" w:sz="4" w:space="0" w:color="808080"/>
              <w:right w:val="single" w:sz="4" w:space="0" w:color="808080"/>
            </w:tcBorders>
            <w:shd w:val="clear" w:color="auto" w:fill="auto"/>
            <w:vAlign w:val="center"/>
            <w:hideMark/>
          </w:tcPr>
          <w:p w14:paraId="6166202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3,7</w:t>
            </w:r>
          </w:p>
        </w:tc>
        <w:tc>
          <w:tcPr>
            <w:tcW w:w="261" w:type="pct"/>
            <w:tcBorders>
              <w:top w:val="nil"/>
              <w:left w:val="nil"/>
              <w:bottom w:val="single" w:sz="4" w:space="0" w:color="808080"/>
              <w:right w:val="single" w:sz="8" w:space="0" w:color="808080"/>
            </w:tcBorders>
            <w:shd w:val="clear" w:color="auto" w:fill="auto"/>
            <w:vAlign w:val="center"/>
            <w:hideMark/>
          </w:tcPr>
          <w:p w14:paraId="25ED67C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14,9%</w:t>
            </w:r>
          </w:p>
        </w:tc>
        <w:tc>
          <w:tcPr>
            <w:tcW w:w="395" w:type="pct"/>
            <w:tcBorders>
              <w:top w:val="nil"/>
              <w:left w:val="nil"/>
              <w:bottom w:val="single" w:sz="4" w:space="0" w:color="808080"/>
              <w:right w:val="single" w:sz="4" w:space="0" w:color="808080"/>
            </w:tcBorders>
            <w:shd w:val="clear" w:color="auto" w:fill="auto"/>
            <w:vAlign w:val="center"/>
            <w:hideMark/>
          </w:tcPr>
          <w:p w14:paraId="1FB2A8F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0,49</w:t>
            </w:r>
          </w:p>
        </w:tc>
        <w:tc>
          <w:tcPr>
            <w:tcW w:w="254" w:type="pct"/>
            <w:tcBorders>
              <w:top w:val="nil"/>
              <w:left w:val="nil"/>
              <w:bottom w:val="single" w:sz="4" w:space="0" w:color="808080"/>
              <w:right w:val="single" w:sz="4" w:space="0" w:color="808080"/>
            </w:tcBorders>
            <w:shd w:val="clear" w:color="auto" w:fill="auto"/>
            <w:vAlign w:val="center"/>
            <w:hideMark/>
          </w:tcPr>
          <w:p w14:paraId="2409C32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3,53</w:t>
            </w:r>
          </w:p>
        </w:tc>
        <w:tc>
          <w:tcPr>
            <w:tcW w:w="369" w:type="pct"/>
            <w:tcBorders>
              <w:top w:val="nil"/>
              <w:left w:val="nil"/>
              <w:bottom w:val="single" w:sz="4" w:space="0" w:color="808080"/>
              <w:right w:val="single" w:sz="8" w:space="0" w:color="808080"/>
            </w:tcBorders>
            <w:shd w:val="clear" w:color="auto" w:fill="auto"/>
            <w:vAlign w:val="center"/>
            <w:hideMark/>
          </w:tcPr>
          <w:p w14:paraId="258FC54C"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13,9%</w:t>
            </w:r>
          </w:p>
        </w:tc>
      </w:tr>
      <w:tr w:rsidR="00E75022" w:rsidRPr="00646DDA" w14:paraId="4182C4CF"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5842F09"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Αιτήσεις ευρεσιτεχνίας PCT σε κοινωνικές προκλήσεις ανά δισεκατομμύριο ΑΕγχΠ (σε ΜΑΔ €)</w:t>
            </w:r>
          </w:p>
        </w:tc>
        <w:tc>
          <w:tcPr>
            <w:tcW w:w="738" w:type="pct"/>
            <w:tcBorders>
              <w:top w:val="nil"/>
              <w:left w:val="nil"/>
              <w:bottom w:val="single" w:sz="4" w:space="0" w:color="808080"/>
              <w:right w:val="single" w:sz="4" w:space="0" w:color="808080"/>
            </w:tcBorders>
            <w:shd w:val="clear" w:color="auto" w:fill="auto"/>
            <w:vAlign w:val="center"/>
            <w:hideMark/>
          </w:tcPr>
          <w:p w14:paraId="5B0D2703"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PCT patent applications in societal challenges per billion GDP (in PPS€)</w:t>
            </w:r>
          </w:p>
        </w:tc>
        <w:tc>
          <w:tcPr>
            <w:tcW w:w="374" w:type="pct"/>
            <w:tcBorders>
              <w:top w:val="nil"/>
              <w:left w:val="nil"/>
              <w:bottom w:val="single" w:sz="4" w:space="0" w:color="808080"/>
              <w:right w:val="single" w:sz="4" w:space="0" w:color="808080"/>
            </w:tcBorders>
            <w:shd w:val="clear" w:color="auto" w:fill="auto"/>
            <w:vAlign w:val="center"/>
            <w:hideMark/>
          </w:tcPr>
          <w:p w14:paraId="229E8784"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ΜΑΔ €</w:t>
            </w:r>
          </w:p>
        </w:tc>
        <w:tc>
          <w:tcPr>
            <w:tcW w:w="204" w:type="pct"/>
            <w:tcBorders>
              <w:top w:val="nil"/>
              <w:left w:val="nil"/>
              <w:bottom w:val="single" w:sz="4" w:space="0" w:color="808080"/>
              <w:right w:val="single" w:sz="4" w:space="0" w:color="808080"/>
            </w:tcBorders>
            <w:shd w:val="clear" w:color="auto" w:fill="auto"/>
            <w:vAlign w:val="center"/>
            <w:hideMark/>
          </w:tcPr>
          <w:p w14:paraId="36C19C3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0,14</w:t>
            </w:r>
          </w:p>
        </w:tc>
        <w:tc>
          <w:tcPr>
            <w:tcW w:w="194" w:type="pct"/>
            <w:tcBorders>
              <w:top w:val="nil"/>
              <w:left w:val="nil"/>
              <w:bottom w:val="single" w:sz="4" w:space="0" w:color="808080"/>
              <w:right w:val="single" w:sz="4" w:space="0" w:color="808080"/>
            </w:tcBorders>
            <w:shd w:val="clear" w:color="auto" w:fill="auto"/>
            <w:vAlign w:val="center"/>
            <w:hideMark/>
          </w:tcPr>
          <w:p w14:paraId="3C93760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0,98</w:t>
            </w:r>
          </w:p>
        </w:tc>
        <w:tc>
          <w:tcPr>
            <w:tcW w:w="230" w:type="pct"/>
            <w:tcBorders>
              <w:top w:val="nil"/>
              <w:left w:val="nil"/>
              <w:bottom w:val="single" w:sz="4" w:space="0" w:color="808080"/>
              <w:right w:val="single" w:sz="8" w:space="0" w:color="808080"/>
            </w:tcBorders>
            <w:shd w:val="clear" w:color="auto" w:fill="auto"/>
            <w:vAlign w:val="center"/>
            <w:hideMark/>
          </w:tcPr>
          <w:p w14:paraId="0022AD6E"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14,3%</w:t>
            </w:r>
          </w:p>
        </w:tc>
        <w:tc>
          <w:tcPr>
            <w:tcW w:w="204" w:type="pct"/>
            <w:tcBorders>
              <w:top w:val="nil"/>
              <w:left w:val="nil"/>
              <w:bottom w:val="single" w:sz="4" w:space="0" w:color="808080"/>
              <w:right w:val="single" w:sz="4" w:space="0" w:color="808080"/>
            </w:tcBorders>
            <w:shd w:val="clear" w:color="auto" w:fill="auto"/>
            <w:vAlign w:val="center"/>
            <w:hideMark/>
          </w:tcPr>
          <w:p w14:paraId="4D63F6C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0,13</w:t>
            </w:r>
          </w:p>
        </w:tc>
        <w:tc>
          <w:tcPr>
            <w:tcW w:w="207" w:type="pct"/>
            <w:tcBorders>
              <w:top w:val="nil"/>
              <w:left w:val="nil"/>
              <w:bottom w:val="single" w:sz="4" w:space="0" w:color="808080"/>
              <w:right w:val="single" w:sz="4" w:space="0" w:color="808080"/>
            </w:tcBorders>
            <w:shd w:val="clear" w:color="auto" w:fill="auto"/>
            <w:vAlign w:val="center"/>
            <w:hideMark/>
          </w:tcPr>
          <w:p w14:paraId="0EFE20E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1,01</w:t>
            </w:r>
          </w:p>
        </w:tc>
        <w:tc>
          <w:tcPr>
            <w:tcW w:w="261" w:type="pct"/>
            <w:tcBorders>
              <w:top w:val="nil"/>
              <w:left w:val="nil"/>
              <w:bottom w:val="single" w:sz="4" w:space="0" w:color="808080"/>
              <w:right w:val="single" w:sz="8" w:space="0" w:color="808080"/>
            </w:tcBorders>
            <w:shd w:val="clear" w:color="auto" w:fill="auto"/>
            <w:vAlign w:val="center"/>
            <w:hideMark/>
          </w:tcPr>
          <w:p w14:paraId="46404D00"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12,9%</w:t>
            </w:r>
          </w:p>
        </w:tc>
        <w:tc>
          <w:tcPr>
            <w:tcW w:w="204" w:type="pct"/>
            <w:tcBorders>
              <w:top w:val="nil"/>
              <w:left w:val="nil"/>
              <w:bottom w:val="single" w:sz="4" w:space="0" w:color="808080"/>
              <w:right w:val="single" w:sz="4" w:space="0" w:color="808080"/>
            </w:tcBorders>
            <w:shd w:val="clear" w:color="000000" w:fill="BFBFBF"/>
            <w:vAlign w:val="center"/>
            <w:hideMark/>
          </w:tcPr>
          <w:p w14:paraId="2BD6DD1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6CED220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60407DB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25233DB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5403F28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367BAC0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67E8D263"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50C50B3F"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Κοινοτικά σήματα ανά δισεκατομμύριο ΑΕγχΠ (σε ΜΑΔ €)</w:t>
            </w:r>
          </w:p>
        </w:tc>
        <w:tc>
          <w:tcPr>
            <w:tcW w:w="738" w:type="pct"/>
            <w:tcBorders>
              <w:top w:val="nil"/>
              <w:left w:val="nil"/>
              <w:bottom w:val="single" w:sz="4" w:space="0" w:color="808080"/>
              <w:right w:val="single" w:sz="4" w:space="0" w:color="808080"/>
            </w:tcBorders>
            <w:shd w:val="clear" w:color="auto" w:fill="auto"/>
            <w:vAlign w:val="center"/>
            <w:hideMark/>
          </w:tcPr>
          <w:p w14:paraId="324D45C1"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Trademark applications per billion GDP (in PPS€)</w:t>
            </w:r>
          </w:p>
        </w:tc>
        <w:tc>
          <w:tcPr>
            <w:tcW w:w="374" w:type="pct"/>
            <w:tcBorders>
              <w:top w:val="nil"/>
              <w:left w:val="nil"/>
              <w:bottom w:val="single" w:sz="4" w:space="0" w:color="808080"/>
              <w:right w:val="single" w:sz="4" w:space="0" w:color="808080"/>
            </w:tcBorders>
            <w:shd w:val="clear" w:color="auto" w:fill="auto"/>
            <w:vAlign w:val="center"/>
            <w:hideMark/>
          </w:tcPr>
          <w:p w14:paraId="5979DD18"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ΜΑΔ €</w:t>
            </w:r>
          </w:p>
        </w:tc>
        <w:tc>
          <w:tcPr>
            <w:tcW w:w="204" w:type="pct"/>
            <w:tcBorders>
              <w:top w:val="nil"/>
              <w:left w:val="nil"/>
              <w:bottom w:val="single" w:sz="4" w:space="0" w:color="808080"/>
              <w:right w:val="single" w:sz="4" w:space="0" w:color="808080"/>
            </w:tcBorders>
            <w:shd w:val="clear" w:color="auto" w:fill="auto"/>
            <w:vAlign w:val="center"/>
            <w:hideMark/>
          </w:tcPr>
          <w:p w14:paraId="3323D5B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2,73</w:t>
            </w:r>
          </w:p>
        </w:tc>
        <w:tc>
          <w:tcPr>
            <w:tcW w:w="194" w:type="pct"/>
            <w:tcBorders>
              <w:top w:val="nil"/>
              <w:left w:val="nil"/>
              <w:bottom w:val="single" w:sz="4" w:space="0" w:color="808080"/>
              <w:right w:val="single" w:sz="4" w:space="0" w:color="808080"/>
            </w:tcBorders>
            <w:shd w:val="clear" w:color="auto" w:fill="auto"/>
            <w:vAlign w:val="center"/>
            <w:hideMark/>
          </w:tcPr>
          <w:p w14:paraId="00CA617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5,83</w:t>
            </w:r>
          </w:p>
        </w:tc>
        <w:tc>
          <w:tcPr>
            <w:tcW w:w="230" w:type="pct"/>
            <w:tcBorders>
              <w:top w:val="nil"/>
              <w:left w:val="nil"/>
              <w:bottom w:val="single" w:sz="4" w:space="0" w:color="808080"/>
              <w:right w:val="single" w:sz="8" w:space="0" w:color="808080"/>
            </w:tcBorders>
            <w:shd w:val="clear" w:color="auto" w:fill="auto"/>
            <w:vAlign w:val="center"/>
            <w:hideMark/>
          </w:tcPr>
          <w:p w14:paraId="6F0ABEFD"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46,8%</w:t>
            </w:r>
          </w:p>
        </w:tc>
        <w:tc>
          <w:tcPr>
            <w:tcW w:w="204" w:type="pct"/>
            <w:tcBorders>
              <w:top w:val="nil"/>
              <w:left w:val="nil"/>
              <w:bottom w:val="single" w:sz="4" w:space="0" w:color="808080"/>
              <w:right w:val="single" w:sz="4" w:space="0" w:color="808080"/>
            </w:tcBorders>
            <w:shd w:val="clear" w:color="auto" w:fill="auto"/>
            <w:vAlign w:val="center"/>
            <w:hideMark/>
          </w:tcPr>
          <w:p w14:paraId="0A4DF42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3,66</w:t>
            </w:r>
          </w:p>
        </w:tc>
        <w:tc>
          <w:tcPr>
            <w:tcW w:w="207" w:type="pct"/>
            <w:tcBorders>
              <w:top w:val="nil"/>
              <w:left w:val="nil"/>
              <w:bottom w:val="single" w:sz="4" w:space="0" w:color="808080"/>
              <w:right w:val="single" w:sz="4" w:space="0" w:color="808080"/>
            </w:tcBorders>
            <w:shd w:val="clear" w:color="auto" w:fill="auto"/>
            <w:vAlign w:val="center"/>
            <w:hideMark/>
          </w:tcPr>
          <w:p w14:paraId="6B9C9ED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6,09</w:t>
            </w:r>
          </w:p>
        </w:tc>
        <w:tc>
          <w:tcPr>
            <w:tcW w:w="261" w:type="pct"/>
            <w:tcBorders>
              <w:top w:val="nil"/>
              <w:left w:val="nil"/>
              <w:bottom w:val="single" w:sz="4" w:space="0" w:color="808080"/>
              <w:right w:val="single" w:sz="8" w:space="0" w:color="808080"/>
            </w:tcBorders>
            <w:shd w:val="clear" w:color="auto" w:fill="auto"/>
            <w:vAlign w:val="center"/>
            <w:hideMark/>
          </w:tcPr>
          <w:p w14:paraId="72865EB1"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60,1%</w:t>
            </w:r>
          </w:p>
        </w:tc>
        <w:tc>
          <w:tcPr>
            <w:tcW w:w="204" w:type="pct"/>
            <w:tcBorders>
              <w:top w:val="nil"/>
              <w:left w:val="nil"/>
              <w:bottom w:val="single" w:sz="4" w:space="0" w:color="808080"/>
              <w:right w:val="single" w:sz="4" w:space="0" w:color="808080"/>
            </w:tcBorders>
            <w:shd w:val="clear" w:color="auto" w:fill="auto"/>
            <w:vAlign w:val="center"/>
            <w:hideMark/>
          </w:tcPr>
          <w:p w14:paraId="27EB9C5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4,58</w:t>
            </w:r>
          </w:p>
        </w:tc>
        <w:tc>
          <w:tcPr>
            <w:tcW w:w="207" w:type="pct"/>
            <w:tcBorders>
              <w:top w:val="nil"/>
              <w:left w:val="nil"/>
              <w:bottom w:val="single" w:sz="4" w:space="0" w:color="808080"/>
              <w:right w:val="single" w:sz="4" w:space="0" w:color="808080"/>
            </w:tcBorders>
            <w:shd w:val="clear" w:color="auto" w:fill="auto"/>
            <w:vAlign w:val="center"/>
            <w:hideMark/>
          </w:tcPr>
          <w:p w14:paraId="14D8BE8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7,6</w:t>
            </w:r>
          </w:p>
        </w:tc>
        <w:tc>
          <w:tcPr>
            <w:tcW w:w="261" w:type="pct"/>
            <w:tcBorders>
              <w:top w:val="nil"/>
              <w:left w:val="nil"/>
              <w:bottom w:val="single" w:sz="4" w:space="0" w:color="808080"/>
              <w:right w:val="single" w:sz="8" w:space="0" w:color="808080"/>
            </w:tcBorders>
            <w:shd w:val="clear" w:color="auto" w:fill="auto"/>
            <w:vAlign w:val="center"/>
            <w:hideMark/>
          </w:tcPr>
          <w:p w14:paraId="5A12C2A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60,3%</w:t>
            </w:r>
          </w:p>
        </w:tc>
        <w:tc>
          <w:tcPr>
            <w:tcW w:w="395" w:type="pct"/>
            <w:tcBorders>
              <w:top w:val="nil"/>
              <w:left w:val="nil"/>
              <w:bottom w:val="single" w:sz="4" w:space="0" w:color="808080"/>
              <w:right w:val="single" w:sz="4" w:space="0" w:color="808080"/>
            </w:tcBorders>
            <w:shd w:val="clear" w:color="auto" w:fill="auto"/>
            <w:vAlign w:val="center"/>
            <w:hideMark/>
          </w:tcPr>
          <w:p w14:paraId="1CC2203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4,92</w:t>
            </w:r>
          </w:p>
        </w:tc>
        <w:tc>
          <w:tcPr>
            <w:tcW w:w="254" w:type="pct"/>
            <w:tcBorders>
              <w:top w:val="nil"/>
              <w:left w:val="nil"/>
              <w:bottom w:val="single" w:sz="4" w:space="0" w:color="808080"/>
              <w:right w:val="single" w:sz="4" w:space="0" w:color="808080"/>
            </w:tcBorders>
            <w:shd w:val="clear" w:color="auto" w:fill="auto"/>
            <w:vAlign w:val="center"/>
            <w:hideMark/>
          </w:tcPr>
          <w:p w14:paraId="5E5AA38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7,86</w:t>
            </w:r>
          </w:p>
        </w:tc>
        <w:tc>
          <w:tcPr>
            <w:tcW w:w="369" w:type="pct"/>
            <w:tcBorders>
              <w:top w:val="nil"/>
              <w:left w:val="nil"/>
              <w:bottom w:val="single" w:sz="4" w:space="0" w:color="808080"/>
              <w:right w:val="single" w:sz="8" w:space="0" w:color="808080"/>
            </w:tcBorders>
            <w:shd w:val="clear" w:color="auto" w:fill="auto"/>
            <w:vAlign w:val="center"/>
            <w:hideMark/>
          </w:tcPr>
          <w:p w14:paraId="563FC802"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62,6%</w:t>
            </w:r>
          </w:p>
        </w:tc>
      </w:tr>
      <w:tr w:rsidR="00E75022" w:rsidRPr="00646DDA" w14:paraId="2A24702E"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9DBFBC0"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Κοινοτικά σχέδια ανά δισεκατομμύριο ΑΕγχΠ (σε ΜΑΔ €)</w:t>
            </w:r>
          </w:p>
        </w:tc>
        <w:tc>
          <w:tcPr>
            <w:tcW w:w="738" w:type="pct"/>
            <w:tcBorders>
              <w:top w:val="nil"/>
              <w:left w:val="nil"/>
              <w:bottom w:val="single" w:sz="4" w:space="0" w:color="808080"/>
              <w:right w:val="single" w:sz="4" w:space="0" w:color="808080"/>
            </w:tcBorders>
            <w:shd w:val="clear" w:color="auto" w:fill="auto"/>
            <w:vAlign w:val="center"/>
            <w:hideMark/>
          </w:tcPr>
          <w:p w14:paraId="3755E225"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Design applications per billion GDP (in PPS€)</w:t>
            </w:r>
          </w:p>
        </w:tc>
        <w:tc>
          <w:tcPr>
            <w:tcW w:w="374" w:type="pct"/>
            <w:tcBorders>
              <w:top w:val="nil"/>
              <w:left w:val="nil"/>
              <w:bottom w:val="single" w:sz="4" w:space="0" w:color="808080"/>
              <w:right w:val="single" w:sz="4" w:space="0" w:color="808080"/>
            </w:tcBorders>
            <w:shd w:val="clear" w:color="auto" w:fill="auto"/>
            <w:vAlign w:val="center"/>
            <w:hideMark/>
          </w:tcPr>
          <w:p w14:paraId="74D186C5"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ΜΑΔ €</w:t>
            </w:r>
          </w:p>
        </w:tc>
        <w:tc>
          <w:tcPr>
            <w:tcW w:w="204" w:type="pct"/>
            <w:tcBorders>
              <w:top w:val="nil"/>
              <w:left w:val="nil"/>
              <w:bottom w:val="single" w:sz="4" w:space="0" w:color="808080"/>
              <w:right w:val="single" w:sz="4" w:space="0" w:color="808080"/>
            </w:tcBorders>
            <w:shd w:val="clear" w:color="auto" w:fill="auto"/>
            <w:vAlign w:val="center"/>
            <w:hideMark/>
          </w:tcPr>
          <w:p w14:paraId="252C31E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0,24</w:t>
            </w:r>
          </w:p>
        </w:tc>
        <w:tc>
          <w:tcPr>
            <w:tcW w:w="194" w:type="pct"/>
            <w:tcBorders>
              <w:top w:val="nil"/>
              <w:left w:val="nil"/>
              <w:bottom w:val="single" w:sz="4" w:space="0" w:color="808080"/>
              <w:right w:val="single" w:sz="4" w:space="0" w:color="808080"/>
            </w:tcBorders>
            <w:shd w:val="clear" w:color="auto" w:fill="auto"/>
            <w:vAlign w:val="center"/>
            <w:hideMark/>
          </w:tcPr>
          <w:p w14:paraId="2B83019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1,13</w:t>
            </w:r>
          </w:p>
        </w:tc>
        <w:tc>
          <w:tcPr>
            <w:tcW w:w="230" w:type="pct"/>
            <w:tcBorders>
              <w:top w:val="nil"/>
              <w:left w:val="nil"/>
              <w:bottom w:val="single" w:sz="4" w:space="0" w:color="808080"/>
              <w:right w:val="single" w:sz="8" w:space="0" w:color="808080"/>
            </w:tcBorders>
            <w:shd w:val="clear" w:color="auto" w:fill="auto"/>
            <w:vAlign w:val="center"/>
            <w:hideMark/>
          </w:tcPr>
          <w:p w14:paraId="5BE20C06"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21,2%</w:t>
            </w:r>
          </w:p>
        </w:tc>
        <w:tc>
          <w:tcPr>
            <w:tcW w:w="204" w:type="pct"/>
            <w:tcBorders>
              <w:top w:val="nil"/>
              <w:left w:val="nil"/>
              <w:bottom w:val="single" w:sz="4" w:space="0" w:color="808080"/>
              <w:right w:val="single" w:sz="4" w:space="0" w:color="808080"/>
            </w:tcBorders>
            <w:shd w:val="clear" w:color="auto" w:fill="auto"/>
            <w:vAlign w:val="center"/>
            <w:hideMark/>
          </w:tcPr>
          <w:p w14:paraId="09F4252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0,98</w:t>
            </w:r>
          </w:p>
        </w:tc>
        <w:tc>
          <w:tcPr>
            <w:tcW w:w="207" w:type="pct"/>
            <w:tcBorders>
              <w:top w:val="nil"/>
              <w:left w:val="nil"/>
              <w:bottom w:val="single" w:sz="4" w:space="0" w:color="808080"/>
              <w:right w:val="single" w:sz="4" w:space="0" w:color="808080"/>
            </w:tcBorders>
            <w:shd w:val="clear" w:color="auto" w:fill="auto"/>
            <w:vAlign w:val="center"/>
            <w:hideMark/>
          </w:tcPr>
          <w:p w14:paraId="76426DB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4,44</w:t>
            </w:r>
          </w:p>
        </w:tc>
        <w:tc>
          <w:tcPr>
            <w:tcW w:w="261" w:type="pct"/>
            <w:tcBorders>
              <w:top w:val="nil"/>
              <w:left w:val="nil"/>
              <w:bottom w:val="single" w:sz="4" w:space="0" w:color="808080"/>
              <w:right w:val="single" w:sz="8" w:space="0" w:color="808080"/>
            </w:tcBorders>
            <w:shd w:val="clear" w:color="auto" w:fill="auto"/>
            <w:vAlign w:val="center"/>
            <w:hideMark/>
          </w:tcPr>
          <w:p w14:paraId="6D77B47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22,1%</w:t>
            </w:r>
          </w:p>
        </w:tc>
        <w:tc>
          <w:tcPr>
            <w:tcW w:w="204" w:type="pct"/>
            <w:tcBorders>
              <w:top w:val="nil"/>
              <w:left w:val="nil"/>
              <w:bottom w:val="single" w:sz="4" w:space="0" w:color="808080"/>
              <w:right w:val="single" w:sz="4" w:space="0" w:color="808080"/>
            </w:tcBorders>
            <w:shd w:val="clear" w:color="auto" w:fill="auto"/>
            <w:vAlign w:val="center"/>
            <w:hideMark/>
          </w:tcPr>
          <w:p w14:paraId="2452E88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1,30</w:t>
            </w:r>
          </w:p>
        </w:tc>
        <w:tc>
          <w:tcPr>
            <w:tcW w:w="207" w:type="pct"/>
            <w:tcBorders>
              <w:top w:val="nil"/>
              <w:left w:val="nil"/>
              <w:bottom w:val="single" w:sz="4" w:space="0" w:color="808080"/>
              <w:right w:val="single" w:sz="4" w:space="0" w:color="808080"/>
            </w:tcBorders>
            <w:shd w:val="clear" w:color="auto" w:fill="auto"/>
            <w:vAlign w:val="center"/>
            <w:hideMark/>
          </w:tcPr>
          <w:p w14:paraId="1BAEB4B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4,33</w:t>
            </w:r>
          </w:p>
        </w:tc>
        <w:tc>
          <w:tcPr>
            <w:tcW w:w="261" w:type="pct"/>
            <w:tcBorders>
              <w:top w:val="nil"/>
              <w:left w:val="nil"/>
              <w:bottom w:val="single" w:sz="4" w:space="0" w:color="808080"/>
              <w:right w:val="single" w:sz="8" w:space="0" w:color="808080"/>
            </w:tcBorders>
            <w:shd w:val="clear" w:color="auto" w:fill="auto"/>
            <w:vAlign w:val="center"/>
            <w:hideMark/>
          </w:tcPr>
          <w:p w14:paraId="1858BDFC"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30,0%</w:t>
            </w:r>
          </w:p>
        </w:tc>
        <w:tc>
          <w:tcPr>
            <w:tcW w:w="395" w:type="pct"/>
            <w:tcBorders>
              <w:top w:val="nil"/>
              <w:left w:val="nil"/>
              <w:bottom w:val="single" w:sz="4" w:space="0" w:color="808080"/>
              <w:right w:val="single" w:sz="4" w:space="0" w:color="808080"/>
            </w:tcBorders>
            <w:shd w:val="clear" w:color="auto" w:fill="auto"/>
            <w:vAlign w:val="center"/>
            <w:hideMark/>
          </w:tcPr>
          <w:p w14:paraId="1F7D21A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1,22</w:t>
            </w:r>
          </w:p>
        </w:tc>
        <w:tc>
          <w:tcPr>
            <w:tcW w:w="254" w:type="pct"/>
            <w:tcBorders>
              <w:top w:val="nil"/>
              <w:left w:val="nil"/>
              <w:bottom w:val="single" w:sz="4" w:space="0" w:color="808080"/>
              <w:right w:val="single" w:sz="4" w:space="0" w:color="808080"/>
            </w:tcBorders>
            <w:shd w:val="clear" w:color="auto" w:fill="auto"/>
            <w:vAlign w:val="center"/>
            <w:hideMark/>
          </w:tcPr>
          <w:p w14:paraId="1E81950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4,44</w:t>
            </w:r>
          </w:p>
        </w:tc>
        <w:tc>
          <w:tcPr>
            <w:tcW w:w="369" w:type="pct"/>
            <w:tcBorders>
              <w:top w:val="nil"/>
              <w:left w:val="nil"/>
              <w:bottom w:val="single" w:sz="4" w:space="0" w:color="808080"/>
              <w:right w:val="single" w:sz="8" w:space="0" w:color="808080"/>
            </w:tcBorders>
            <w:shd w:val="clear" w:color="auto" w:fill="auto"/>
            <w:vAlign w:val="center"/>
            <w:hideMark/>
          </w:tcPr>
          <w:p w14:paraId="6C3E392D"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27,5%</w:t>
            </w:r>
          </w:p>
        </w:tc>
      </w:tr>
      <w:tr w:rsidR="00E75022" w:rsidRPr="00646DDA" w14:paraId="5494B3D1" w14:textId="77777777" w:rsidTr="00E75022">
        <w:trPr>
          <w:trHeight w:val="240"/>
        </w:trPr>
        <w:tc>
          <w:tcPr>
            <w:tcW w:w="898" w:type="pct"/>
            <w:tcBorders>
              <w:top w:val="nil"/>
              <w:left w:val="single" w:sz="8" w:space="0" w:color="808080"/>
              <w:bottom w:val="single" w:sz="4" w:space="0" w:color="808080"/>
              <w:right w:val="single" w:sz="4" w:space="0" w:color="808080"/>
            </w:tcBorders>
            <w:shd w:val="clear" w:color="auto" w:fill="auto"/>
            <w:noWrap/>
            <w:vAlign w:val="center"/>
            <w:hideMark/>
          </w:tcPr>
          <w:p w14:paraId="52F05FD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III. ΔΕΙΚΤΕΣ ΑΠΟΤΕΛΕΣΜΑΤΩΝ</w:t>
            </w:r>
          </w:p>
        </w:tc>
        <w:tc>
          <w:tcPr>
            <w:tcW w:w="738" w:type="pct"/>
            <w:tcBorders>
              <w:top w:val="nil"/>
              <w:left w:val="nil"/>
              <w:bottom w:val="single" w:sz="4" w:space="0" w:color="808080"/>
              <w:right w:val="single" w:sz="4" w:space="0" w:color="808080"/>
            </w:tcBorders>
            <w:shd w:val="clear" w:color="auto" w:fill="auto"/>
            <w:noWrap/>
            <w:vAlign w:val="center"/>
            <w:hideMark/>
          </w:tcPr>
          <w:p w14:paraId="6A9A823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74" w:type="pct"/>
            <w:tcBorders>
              <w:top w:val="nil"/>
              <w:left w:val="nil"/>
              <w:bottom w:val="single" w:sz="4" w:space="0" w:color="808080"/>
              <w:right w:val="single" w:sz="4" w:space="0" w:color="808080"/>
            </w:tcBorders>
            <w:shd w:val="clear" w:color="auto" w:fill="auto"/>
            <w:noWrap/>
            <w:vAlign w:val="center"/>
            <w:hideMark/>
          </w:tcPr>
          <w:p w14:paraId="4483600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noWrap/>
            <w:vAlign w:val="center"/>
            <w:hideMark/>
          </w:tcPr>
          <w:p w14:paraId="7F07249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auto" w:fill="auto"/>
            <w:noWrap/>
            <w:vAlign w:val="center"/>
            <w:hideMark/>
          </w:tcPr>
          <w:p w14:paraId="5014667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auto" w:fill="auto"/>
            <w:noWrap/>
            <w:vAlign w:val="center"/>
            <w:hideMark/>
          </w:tcPr>
          <w:p w14:paraId="39AC9FF4" w14:textId="77777777" w:rsidR="00E75022" w:rsidRPr="00646DDA" w:rsidRDefault="00E75022" w:rsidP="00E75022">
            <w:pPr>
              <w:spacing w:before="0" w:line="240" w:lineRule="auto"/>
              <w:jc w:val="left"/>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noWrap/>
            <w:vAlign w:val="center"/>
            <w:hideMark/>
          </w:tcPr>
          <w:p w14:paraId="2E81259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noWrap/>
            <w:vAlign w:val="center"/>
            <w:hideMark/>
          </w:tcPr>
          <w:p w14:paraId="2B8CC6F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noWrap/>
            <w:vAlign w:val="center"/>
            <w:hideMark/>
          </w:tcPr>
          <w:p w14:paraId="52B8A2ED"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auto" w:fill="auto"/>
            <w:noWrap/>
            <w:vAlign w:val="center"/>
            <w:hideMark/>
          </w:tcPr>
          <w:p w14:paraId="104F51B7"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auto" w:fill="auto"/>
            <w:noWrap/>
            <w:vAlign w:val="center"/>
            <w:hideMark/>
          </w:tcPr>
          <w:p w14:paraId="4DFE975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auto" w:fill="auto"/>
            <w:noWrap/>
            <w:vAlign w:val="center"/>
            <w:hideMark/>
          </w:tcPr>
          <w:p w14:paraId="3B01F2B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auto" w:fill="auto"/>
            <w:noWrap/>
            <w:vAlign w:val="center"/>
            <w:hideMark/>
          </w:tcPr>
          <w:p w14:paraId="54C8990A"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auto" w:fill="auto"/>
            <w:noWrap/>
            <w:vAlign w:val="center"/>
            <w:hideMark/>
          </w:tcPr>
          <w:p w14:paraId="2EA3F09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auto" w:fill="auto"/>
            <w:noWrap/>
            <w:vAlign w:val="center"/>
            <w:hideMark/>
          </w:tcPr>
          <w:p w14:paraId="6250E60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4A18D9CA"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7C331A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Καινοτόμοι οργανισμοί</w:t>
            </w:r>
          </w:p>
        </w:tc>
        <w:tc>
          <w:tcPr>
            <w:tcW w:w="738" w:type="pct"/>
            <w:tcBorders>
              <w:top w:val="nil"/>
              <w:left w:val="nil"/>
              <w:bottom w:val="single" w:sz="4" w:space="0" w:color="808080"/>
              <w:right w:val="single" w:sz="4" w:space="0" w:color="808080"/>
            </w:tcBorders>
            <w:shd w:val="clear" w:color="auto" w:fill="auto"/>
            <w:vAlign w:val="center"/>
            <w:hideMark/>
          </w:tcPr>
          <w:p w14:paraId="46543CD1"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Innovators</w:t>
            </w:r>
          </w:p>
        </w:tc>
        <w:tc>
          <w:tcPr>
            <w:tcW w:w="374" w:type="pct"/>
            <w:tcBorders>
              <w:top w:val="nil"/>
              <w:left w:val="nil"/>
              <w:bottom w:val="single" w:sz="4" w:space="0" w:color="808080"/>
              <w:right w:val="single" w:sz="4" w:space="0" w:color="808080"/>
            </w:tcBorders>
            <w:shd w:val="clear" w:color="000000" w:fill="BFBFBF"/>
            <w:vAlign w:val="center"/>
            <w:hideMark/>
          </w:tcPr>
          <w:p w14:paraId="28ADE86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32B9A6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1730FE2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4D93F8DC"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40BEFB1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79B2B1A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57559AB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0A1D834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2940F223"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3B95F1E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026EAFF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6B6190A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18F6AB5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2CD0AC9B"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3667ED67"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ΜΜΕ που εισάγουν καινοτομίες προϊόντων ή διαδικασιών ως ποσοστό των ΜΜΕ</w:t>
            </w:r>
          </w:p>
        </w:tc>
        <w:tc>
          <w:tcPr>
            <w:tcW w:w="738" w:type="pct"/>
            <w:tcBorders>
              <w:top w:val="nil"/>
              <w:left w:val="nil"/>
              <w:bottom w:val="single" w:sz="4" w:space="0" w:color="808080"/>
              <w:right w:val="single" w:sz="4" w:space="0" w:color="808080"/>
            </w:tcBorders>
            <w:shd w:val="clear" w:color="auto" w:fill="auto"/>
            <w:vAlign w:val="center"/>
            <w:hideMark/>
          </w:tcPr>
          <w:p w14:paraId="4C0B6C26"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SMEs introducing product or process innovations as percentage of SMEs</w:t>
            </w:r>
          </w:p>
        </w:tc>
        <w:tc>
          <w:tcPr>
            <w:tcW w:w="374" w:type="pct"/>
            <w:tcBorders>
              <w:top w:val="nil"/>
              <w:left w:val="nil"/>
              <w:bottom w:val="single" w:sz="4" w:space="0" w:color="808080"/>
              <w:right w:val="single" w:sz="4" w:space="0" w:color="808080"/>
            </w:tcBorders>
            <w:shd w:val="clear" w:color="auto" w:fill="auto"/>
            <w:vAlign w:val="center"/>
            <w:hideMark/>
          </w:tcPr>
          <w:p w14:paraId="6D40BE93"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67DC064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29,6</w:t>
            </w:r>
          </w:p>
        </w:tc>
        <w:tc>
          <w:tcPr>
            <w:tcW w:w="194" w:type="pct"/>
            <w:tcBorders>
              <w:top w:val="nil"/>
              <w:left w:val="nil"/>
              <w:bottom w:val="single" w:sz="4" w:space="0" w:color="808080"/>
              <w:right w:val="single" w:sz="4" w:space="0" w:color="808080"/>
            </w:tcBorders>
            <w:shd w:val="clear" w:color="auto" w:fill="auto"/>
            <w:vAlign w:val="center"/>
            <w:hideMark/>
          </w:tcPr>
          <w:p w14:paraId="7EE911B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30,6</w:t>
            </w:r>
          </w:p>
        </w:tc>
        <w:tc>
          <w:tcPr>
            <w:tcW w:w="230" w:type="pct"/>
            <w:tcBorders>
              <w:top w:val="nil"/>
              <w:left w:val="nil"/>
              <w:bottom w:val="single" w:sz="4" w:space="0" w:color="808080"/>
              <w:right w:val="single" w:sz="8" w:space="0" w:color="808080"/>
            </w:tcBorders>
            <w:shd w:val="clear" w:color="auto" w:fill="auto"/>
            <w:vAlign w:val="center"/>
            <w:hideMark/>
          </w:tcPr>
          <w:p w14:paraId="4E5A0128"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96,7%</w:t>
            </w:r>
          </w:p>
        </w:tc>
        <w:tc>
          <w:tcPr>
            <w:tcW w:w="204" w:type="pct"/>
            <w:tcBorders>
              <w:top w:val="nil"/>
              <w:left w:val="nil"/>
              <w:bottom w:val="single" w:sz="4" w:space="0" w:color="808080"/>
              <w:right w:val="single" w:sz="4" w:space="0" w:color="808080"/>
            </w:tcBorders>
            <w:shd w:val="clear" w:color="auto" w:fill="auto"/>
            <w:vAlign w:val="center"/>
            <w:hideMark/>
          </w:tcPr>
          <w:p w14:paraId="6DEB4DA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29,6</w:t>
            </w:r>
          </w:p>
        </w:tc>
        <w:tc>
          <w:tcPr>
            <w:tcW w:w="207" w:type="pct"/>
            <w:tcBorders>
              <w:top w:val="nil"/>
              <w:left w:val="nil"/>
              <w:bottom w:val="single" w:sz="4" w:space="0" w:color="808080"/>
              <w:right w:val="single" w:sz="4" w:space="0" w:color="808080"/>
            </w:tcBorders>
            <w:shd w:val="clear" w:color="auto" w:fill="auto"/>
            <w:vAlign w:val="center"/>
            <w:hideMark/>
          </w:tcPr>
          <w:p w14:paraId="770EA54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30,6</w:t>
            </w:r>
          </w:p>
        </w:tc>
        <w:tc>
          <w:tcPr>
            <w:tcW w:w="261" w:type="pct"/>
            <w:tcBorders>
              <w:top w:val="nil"/>
              <w:left w:val="nil"/>
              <w:bottom w:val="single" w:sz="4" w:space="0" w:color="808080"/>
              <w:right w:val="single" w:sz="8" w:space="0" w:color="808080"/>
            </w:tcBorders>
            <w:shd w:val="clear" w:color="auto" w:fill="auto"/>
            <w:vAlign w:val="center"/>
            <w:hideMark/>
          </w:tcPr>
          <w:p w14:paraId="07E79C31"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96,7%</w:t>
            </w:r>
          </w:p>
        </w:tc>
        <w:tc>
          <w:tcPr>
            <w:tcW w:w="204" w:type="pct"/>
            <w:tcBorders>
              <w:top w:val="nil"/>
              <w:left w:val="nil"/>
              <w:bottom w:val="single" w:sz="4" w:space="0" w:color="808080"/>
              <w:right w:val="single" w:sz="4" w:space="0" w:color="808080"/>
            </w:tcBorders>
            <w:shd w:val="clear" w:color="auto" w:fill="auto"/>
            <w:vAlign w:val="center"/>
            <w:hideMark/>
          </w:tcPr>
          <w:p w14:paraId="5B5FBFF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34,6</w:t>
            </w:r>
          </w:p>
        </w:tc>
        <w:tc>
          <w:tcPr>
            <w:tcW w:w="207" w:type="pct"/>
            <w:tcBorders>
              <w:top w:val="nil"/>
              <w:left w:val="nil"/>
              <w:bottom w:val="single" w:sz="4" w:space="0" w:color="808080"/>
              <w:right w:val="single" w:sz="4" w:space="0" w:color="808080"/>
            </w:tcBorders>
            <w:shd w:val="clear" w:color="auto" w:fill="auto"/>
            <w:vAlign w:val="center"/>
            <w:hideMark/>
          </w:tcPr>
          <w:p w14:paraId="0354617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30,9</w:t>
            </w:r>
          </w:p>
        </w:tc>
        <w:tc>
          <w:tcPr>
            <w:tcW w:w="261" w:type="pct"/>
            <w:tcBorders>
              <w:top w:val="nil"/>
              <w:left w:val="nil"/>
              <w:bottom w:val="single" w:sz="4" w:space="0" w:color="808080"/>
              <w:right w:val="single" w:sz="8" w:space="0" w:color="808080"/>
            </w:tcBorders>
            <w:shd w:val="clear" w:color="auto" w:fill="auto"/>
            <w:vAlign w:val="center"/>
            <w:hideMark/>
          </w:tcPr>
          <w:p w14:paraId="572BD9F0"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112,0%</w:t>
            </w:r>
          </w:p>
        </w:tc>
        <w:tc>
          <w:tcPr>
            <w:tcW w:w="395" w:type="pct"/>
            <w:tcBorders>
              <w:top w:val="nil"/>
              <w:left w:val="nil"/>
              <w:bottom w:val="single" w:sz="4" w:space="0" w:color="808080"/>
              <w:right w:val="single" w:sz="4" w:space="0" w:color="808080"/>
            </w:tcBorders>
            <w:shd w:val="clear" w:color="auto" w:fill="auto"/>
            <w:vAlign w:val="center"/>
            <w:hideMark/>
          </w:tcPr>
          <w:p w14:paraId="48549F8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34,6</w:t>
            </w:r>
          </w:p>
        </w:tc>
        <w:tc>
          <w:tcPr>
            <w:tcW w:w="254" w:type="pct"/>
            <w:tcBorders>
              <w:top w:val="nil"/>
              <w:left w:val="nil"/>
              <w:bottom w:val="single" w:sz="4" w:space="0" w:color="808080"/>
              <w:right w:val="single" w:sz="4" w:space="0" w:color="808080"/>
            </w:tcBorders>
            <w:shd w:val="clear" w:color="auto" w:fill="auto"/>
            <w:vAlign w:val="center"/>
            <w:hideMark/>
          </w:tcPr>
          <w:p w14:paraId="71782E7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30,9</w:t>
            </w:r>
          </w:p>
        </w:tc>
        <w:tc>
          <w:tcPr>
            <w:tcW w:w="369" w:type="pct"/>
            <w:tcBorders>
              <w:top w:val="nil"/>
              <w:left w:val="nil"/>
              <w:bottom w:val="single" w:sz="4" w:space="0" w:color="808080"/>
              <w:right w:val="single" w:sz="8" w:space="0" w:color="808080"/>
            </w:tcBorders>
            <w:shd w:val="clear" w:color="auto" w:fill="auto"/>
            <w:vAlign w:val="center"/>
            <w:hideMark/>
          </w:tcPr>
          <w:p w14:paraId="2A9B8F2E"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112,0%</w:t>
            </w:r>
          </w:p>
        </w:tc>
      </w:tr>
      <w:tr w:rsidR="00E75022" w:rsidRPr="00646DDA" w14:paraId="6770838A"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5C7A886E"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ΜΜΕ που εισάγουν καινοτομίες μάρκετινγκ ή οργανωτικές καινοτομίες ως ποσοστό των ΜΜΕ</w:t>
            </w:r>
          </w:p>
        </w:tc>
        <w:tc>
          <w:tcPr>
            <w:tcW w:w="738" w:type="pct"/>
            <w:tcBorders>
              <w:top w:val="nil"/>
              <w:left w:val="nil"/>
              <w:bottom w:val="single" w:sz="4" w:space="0" w:color="808080"/>
              <w:right w:val="single" w:sz="4" w:space="0" w:color="808080"/>
            </w:tcBorders>
            <w:shd w:val="clear" w:color="auto" w:fill="auto"/>
            <w:vAlign w:val="center"/>
            <w:hideMark/>
          </w:tcPr>
          <w:p w14:paraId="63D0C0CC"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SMEs introducing marketing or organisational innovations as percentage of SMEs</w:t>
            </w:r>
          </w:p>
        </w:tc>
        <w:tc>
          <w:tcPr>
            <w:tcW w:w="374" w:type="pct"/>
            <w:tcBorders>
              <w:top w:val="nil"/>
              <w:left w:val="nil"/>
              <w:bottom w:val="single" w:sz="4" w:space="0" w:color="808080"/>
              <w:right w:val="single" w:sz="4" w:space="0" w:color="808080"/>
            </w:tcBorders>
            <w:shd w:val="clear" w:color="auto" w:fill="auto"/>
            <w:vAlign w:val="center"/>
            <w:hideMark/>
          </w:tcPr>
          <w:p w14:paraId="5A812DF8"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28CD777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45,00</w:t>
            </w:r>
          </w:p>
        </w:tc>
        <w:tc>
          <w:tcPr>
            <w:tcW w:w="194" w:type="pct"/>
            <w:tcBorders>
              <w:top w:val="nil"/>
              <w:left w:val="nil"/>
              <w:bottom w:val="single" w:sz="4" w:space="0" w:color="808080"/>
              <w:right w:val="single" w:sz="4" w:space="0" w:color="808080"/>
            </w:tcBorders>
            <w:shd w:val="clear" w:color="auto" w:fill="auto"/>
            <w:vAlign w:val="center"/>
            <w:hideMark/>
          </w:tcPr>
          <w:p w14:paraId="6D6CA0B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36,20</w:t>
            </w:r>
          </w:p>
        </w:tc>
        <w:tc>
          <w:tcPr>
            <w:tcW w:w="230" w:type="pct"/>
            <w:tcBorders>
              <w:top w:val="nil"/>
              <w:left w:val="nil"/>
              <w:bottom w:val="single" w:sz="4" w:space="0" w:color="808080"/>
              <w:right w:val="single" w:sz="8" w:space="0" w:color="808080"/>
            </w:tcBorders>
            <w:shd w:val="clear" w:color="auto" w:fill="auto"/>
            <w:vAlign w:val="center"/>
            <w:hideMark/>
          </w:tcPr>
          <w:p w14:paraId="7B5E64D1"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124,3%</w:t>
            </w:r>
          </w:p>
        </w:tc>
        <w:tc>
          <w:tcPr>
            <w:tcW w:w="204" w:type="pct"/>
            <w:tcBorders>
              <w:top w:val="nil"/>
              <w:left w:val="nil"/>
              <w:bottom w:val="single" w:sz="4" w:space="0" w:color="808080"/>
              <w:right w:val="single" w:sz="4" w:space="0" w:color="808080"/>
            </w:tcBorders>
            <w:shd w:val="clear" w:color="auto" w:fill="auto"/>
            <w:vAlign w:val="center"/>
            <w:hideMark/>
          </w:tcPr>
          <w:p w14:paraId="6F4EAC1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45,00</w:t>
            </w:r>
          </w:p>
        </w:tc>
        <w:tc>
          <w:tcPr>
            <w:tcW w:w="207" w:type="pct"/>
            <w:tcBorders>
              <w:top w:val="nil"/>
              <w:left w:val="nil"/>
              <w:bottom w:val="single" w:sz="4" w:space="0" w:color="808080"/>
              <w:right w:val="single" w:sz="4" w:space="0" w:color="808080"/>
            </w:tcBorders>
            <w:shd w:val="clear" w:color="auto" w:fill="auto"/>
            <w:vAlign w:val="center"/>
            <w:hideMark/>
          </w:tcPr>
          <w:p w14:paraId="382E076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36,20</w:t>
            </w:r>
          </w:p>
        </w:tc>
        <w:tc>
          <w:tcPr>
            <w:tcW w:w="261" w:type="pct"/>
            <w:tcBorders>
              <w:top w:val="nil"/>
              <w:left w:val="nil"/>
              <w:bottom w:val="single" w:sz="4" w:space="0" w:color="808080"/>
              <w:right w:val="single" w:sz="8" w:space="0" w:color="808080"/>
            </w:tcBorders>
            <w:shd w:val="clear" w:color="auto" w:fill="auto"/>
            <w:vAlign w:val="center"/>
            <w:hideMark/>
          </w:tcPr>
          <w:p w14:paraId="58DE50FB" w14:textId="77777777" w:rsidR="00E75022" w:rsidRPr="00646DDA" w:rsidRDefault="00E75022" w:rsidP="00E75022">
            <w:pPr>
              <w:spacing w:before="0" w:line="240" w:lineRule="auto"/>
              <w:jc w:val="center"/>
              <w:rPr>
                <w:rFonts w:eastAsia="Times New Roman"/>
                <w:b/>
                <w:bCs/>
                <w:i/>
                <w:iCs/>
                <w:color w:val="00B050"/>
                <w:sz w:val="16"/>
                <w:szCs w:val="16"/>
                <w:lang w:eastAsia="el-GR"/>
              </w:rPr>
            </w:pPr>
            <w:r w:rsidRPr="00646DDA">
              <w:rPr>
                <w:rFonts w:eastAsia="Times New Roman"/>
                <w:b/>
                <w:bCs/>
                <w:i/>
                <w:iCs/>
                <w:color w:val="00B050"/>
                <w:sz w:val="16"/>
                <w:szCs w:val="16"/>
                <w:lang w:eastAsia="el-GR"/>
              </w:rPr>
              <w:t>124,3%</w:t>
            </w:r>
          </w:p>
        </w:tc>
        <w:tc>
          <w:tcPr>
            <w:tcW w:w="204" w:type="pct"/>
            <w:tcBorders>
              <w:top w:val="nil"/>
              <w:left w:val="nil"/>
              <w:bottom w:val="single" w:sz="4" w:space="0" w:color="808080"/>
              <w:right w:val="single" w:sz="4" w:space="0" w:color="808080"/>
            </w:tcBorders>
            <w:shd w:val="clear" w:color="auto" w:fill="auto"/>
            <w:vAlign w:val="center"/>
            <w:hideMark/>
          </w:tcPr>
          <w:p w14:paraId="63D59C3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40,10</w:t>
            </w:r>
          </w:p>
        </w:tc>
        <w:tc>
          <w:tcPr>
            <w:tcW w:w="207" w:type="pct"/>
            <w:tcBorders>
              <w:top w:val="nil"/>
              <w:left w:val="nil"/>
              <w:bottom w:val="single" w:sz="4" w:space="0" w:color="808080"/>
              <w:right w:val="single" w:sz="4" w:space="0" w:color="808080"/>
            </w:tcBorders>
            <w:shd w:val="clear" w:color="auto" w:fill="auto"/>
            <w:vAlign w:val="center"/>
            <w:hideMark/>
          </w:tcPr>
          <w:p w14:paraId="14D73E4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34,90</w:t>
            </w:r>
          </w:p>
        </w:tc>
        <w:tc>
          <w:tcPr>
            <w:tcW w:w="261" w:type="pct"/>
            <w:tcBorders>
              <w:top w:val="nil"/>
              <w:left w:val="nil"/>
              <w:bottom w:val="single" w:sz="4" w:space="0" w:color="808080"/>
              <w:right w:val="single" w:sz="8" w:space="0" w:color="808080"/>
            </w:tcBorders>
            <w:shd w:val="clear" w:color="auto" w:fill="auto"/>
            <w:vAlign w:val="center"/>
            <w:hideMark/>
          </w:tcPr>
          <w:p w14:paraId="207C0DA5"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114,9%</w:t>
            </w:r>
          </w:p>
        </w:tc>
        <w:tc>
          <w:tcPr>
            <w:tcW w:w="395" w:type="pct"/>
            <w:tcBorders>
              <w:top w:val="nil"/>
              <w:left w:val="nil"/>
              <w:bottom w:val="single" w:sz="4" w:space="0" w:color="808080"/>
              <w:right w:val="single" w:sz="4" w:space="0" w:color="808080"/>
            </w:tcBorders>
            <w:shd w:val="clear" w:color="auto" w:fill="auto"/>
            <w:vAlign w:val="center"/>
            <w:hideMark/>
          </w:tcPr>
          <w:p w14:paraId="5224381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40,10</w:t>
            </w:r>
          </w:p>
        </w:tc>
        <w:tc>
          <w:tcPr>
            <w:tcW w:w="254" w:type="pct"/>
            <w:tcBorders>
              <w:top w:val="nil"/>
              <w:left w:val="nil"/>
              <w:bottom w:val="single" w:sz="4" w:space="0" w:color="808080"/>
              <w:right w:val="single" w:sz="4" w:space="0" w:color="808080"/>
            </w:tcBorders>
            <w:shd w:val="clear" w:color="auto" w:fill="auto"/>
            <w:vAlign w:val="center"/>
            <w:hideMark/>
          </w:tcPr>
          <w:p w14:paraId="52890A0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34,90</w:t>
            </w:r>
          </w:p>
        </w:tc>
        <w:tc>
          <w:tcPr>
            <w:tcW w:w="369" w:type="pct"/>
            <w:tcBorders>
              <w:top w:val="nil"/>
              <w:left w:val="nil"/>
              <w:bottom w:val="single" w:sz="4" w:space="0" w:color="808080"/>
              <w:right w:val="single" w:sz="8" w:space="0" w:color="808080"/>
            </w:tcBorders>
            <w:shd w:val="clear" w:color="auto" w:fill="auto"/>
            <w:vAlign w:val="center"/>
            <w:hideMark/>
          </w:tcPr>
          <w:p w14:paraId="6E525414"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114,9%</w:t>
            </w:r>
          </w:p>
        </w:tc>
      </w:tr>
      <w:tr w:rsidR="00E75022" w:rsidRPr="00646DDA" w14:paraId="364BFACA"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2734422"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Απασχόληση στις ταχέως αναπτυσσόμενες επιχειρήσεις καινοτόμων τομέων</w:t>
            </w:r>
          </w:p>
        </w:tc>
        <w:tc>
          <w:tcPr>
            <w:tcW w:w="738" w:type="pct"/>
            <w:tcBorders>
              <w:top w:val="nil"/>
              <w:left w:val="nil"/>
              <w:bottom w:val="single" w:sz="4" w:space="0" w:color="808080"/>
              <w:right w:val="single" w:sz="4" w:space="0" w:color="808080"/>
            </w:tcBorders>
            <w:shd w:val="clear" w:color="auto" w:fill="auto"/>
            <w:vAlign w:val="center"/>
            <w:hideMark/>
          </w:tcPr>
          <w:p w14:paraId="7B09C7FB"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Employment in fast-growing enterprises (percentage of total employment)</w:t>
            </w:r>
          </w:p>
        </w:tc>
        <w:tc>
          <w:tcPr>
            <w:tcW w:w="374" w:type="pct"/>
            <w:tcBorders>
              <w:top w:val="nil"/>
              <w:left w:val="nil"/>
              <w:bottom w:val="single" w:sz="4" w:space="0" w:color="808080"/>
              <w:right w:val="single" w:sz="4" w:space="0" w:color="808080"/>
            </w:tcBorders>
            <w:shd w:val="clear" w:color="auto" w:fill="auto"/>
            <w:vAlign w:val="center"/>
            <w:hideMark/>
          </w:tcPr>
          <w:p w14:paraId="4149DD26"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49B5C31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16,80</w:t>
            </w:r>
          </w:p>
        </w:tc>
        <w:tc>
          <w:tcPr>
            <w:tcW w:w="194" w:type="pct"/>
            <w:tcBorders>
              <w:top w:val="nil"/>
              <w:left w:val="nil"/>
              <w:bottom w:val="single" w:sz="4" w:space="0" w:color="808080"/>
              <w:right w:val="single" w:sz="4" w:space="0" w:color="808080"/>
            </w:tcBorders>
            <w:shd w:val="clear" w:color="auto" w:fill="auto"/>
            <w:vAlign w:val="center"/>
            <w:hideMark/>
          </w:tcPr>
          <w:p w14:paraId="5D0AEDE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17,90</w:t>
            </w:r>
          </w:p>
        </w:tc>
        <w:tc>
          <w:tcPr>
            <w:tcW w:w="230" w:type="pct"/>
            <w:tcBorders>
              <w:top w:val="nil"/>
              <w:left w:val="nil"/>
              <w:bottom w:val="single" w:sz="4" w:space="0" w:color="808080"/>
              <w:right w:val="single" w:sz="8" w:space="0" w:color="808080"/>
            </w:tcBorders>
            <w:shd w:val="clear" w:color="auto" w:fill="auto"/>
            <w:vAlign w:val="center"/>
            <w:hideMark/>
          </w:tcPr>
          <w:p w14:paraId="07548903"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93,9%</w:t>
            </w:r>
          </w:p>
        </w:tc>
        <w:tc>
          <w:tcPr>
            <w:tcW w:w="204" w:type="pct"/>
            <w:tcBorders>
              <w:top w:val="nil"/>
              <w:left w:val="nil"/>
              <w:bottom w:val="single" w:sz="4" w:space="0" w:color="808080"/>
              <w:right w:val="single" w:sz="4" w:space="0" w:color="808080"/>
            </w:tcBorders>
            <w:shd w:val="clear" w:color="auto" w:fill="auto"/>
            <w:vAlign w:val="center"/>
            <w:hideMark/>
          </w:tcPr>
          <w:p w14:paraId="5118FB6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15,20</w:t>
            </w:r>
          </w:p>
        </w:tc>
        <w:tc>
          <w:tcPr>
            <w:tcW w:w="207" w:type="pct"/>
            <w:tcBorders>
              <w:top w:val="nil"/>
              <w:left w:val="nil"/>
              <w:bottom w:val="single" w:sz="4" w:space="0" w:color="808080"/>
              <w:right w:val="single" w:sz="4" w:space="0" w:color="808080"/>
            </w:tcBorders>
            <w:shd w:val="clear" w:color="auto" w:fill="auto"/>
            <w:vAlign w:val="center"/>
            <w:hideMark/>
          </w:tcPr>
          <w:p w14:paraId="4670700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18,80</w:t>
            </w:r>
          </w:p>
        </w:tc>
        <w:tc>
          <w:tcPr>
            <w:tcW w:w="261" w:type="pct"/>
            <w:tcBorders>
              <w:top w:val="nil"/>
              <w:left w:val="nil"/>
              <w:bottom w:val="single" w:sz="4" w:space="0" w:color="808080"/>
              <w:right w:val="single" w:sz="8" w:space="0" w:color="808080"/>
            </w:tcBorders>
            <w:shd w:val="clear" w:color="auto" w:fill="auto"/>
            <w:vAlign w:val="center"/>
            <w:hideMark/>
          </w:tcPr>
          <w:p w14:paraId="6287D5A6"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80,9%</w:t>
            </w:r>
          </w:p>
        </w:tc>
        <w:tc>
          <w:tcPr>
            <w:tcW w:w="204" w:type="pct"/>
            <w:tcBorders>
              <w:top w:val="nil"/>
              <w:left w:val="nil"/>
              <w:bottom w:val="single" w:sz="4" w:space="0" w:color="808080"/>
              <w:right w:val="single" w:sz="4" w:space="0" w:color="808080"/>
            </w:tcBorders>
            <w:shd w:val="clear" w:color="auto" w:fill="auto"/>
            <w:vAlign w:val="center"/>
            <w:hideMark/>
          </w:tcPr>
          <w:p w14:paraId="101C383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Μ/Δ</w:t>
            </w:r>
          </w:p>
        </w:tc>
        <w:tc>
          <w:tcPr>
            <w:tcW w:w="207" w:type="pct"/>
            <w:tcBorders>
              <w:top w:val="nil"/>
              <w:left w:val="nil"/>
              <w:bottom w:val="single" w:sz="4" w:space="0" w:color="808080"/>
              <w:right w:val="single" w:sz="4" w:space="0" w:color="808080"/>
            </w:tcBorders>
            <w:shd w:val="clear" w:color="auto" w:fill="auto"/>
            <w:vAlign w:val="center"/>
            <w:hideMark/>
          </w:tcPr>
          <w:p w14:paraId="25A579F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4,8</w:t>
            </w:r>
          </w:p>
        </w:tc>
        <w:tc>
          <w:tcPr>
            <w:tcW w:w="261" w:type="pct"/>
            <w:tcBorders>
              <w:top w:val="nil"/>
              <w:left w:val="nil"/>
              <w:bottom w:val="single" w:sz="4" w:space="0" w:color="808080"/>
              <w:right w:val="single" w:sz="8" w:space="0" w:color="808080"/>
            </w:tcBorders>
            <w:shd w:val="clear" w:color="auto" w:fill="auto"/>
            <w:vAlign w:val="center"/>
            <w:hideMark/>
          </w:tcPr>
          <w:p w14:paraId="5843AB80"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#VALUE!</w:t>
            </w:r>
          </w:p>
        </w:tc>
        <w:tc>
          <w:tcPr>
            <w:tcW w:w="395" w:type="pct"/>
            <w:tcBorders>
              <w:top w:val="nil"/>
              <w:left w:val="nil"/>
              <w:bottom w:val="single" w:sz="4" w:space="0" w:color="808080"/>
              <w:right w:val="single" w:sz="4" w:space="0" w:color="808080"/>
            </w:tcBorders>
            <w:shd w:val="clear" w:color="auto" w:fill="auto"/>
            <w:vAlign w:val="center"/>
            <w:hideMark/>
          </w:tcPr>
          <w:p w14:paraId="371739F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Μ/Δ</w:t>
            </w:r>
          </w:p>
        </w:tc>
        <w:tc>
          <w:tcPr>
            <w:tcW w:w="254" w:type="pct"/>
            <w:tcBorders>
              <w:top w:val="nil"/>
              <w:left w:val="nil"/>
              <w:bottom w:val="single" w:sz="4" w:space="0" w:color="808080"/>
              <w:right w:val="single" w:sz="4" w:space="0" w:color="808080"/>
            </w:tcBorders>
            <w:shd w:val="clear" w:color="auto" w:fill="auto"/>
            <w:vAlign w:val="center"/>
            <w:hideMark/>
          </w:tcPr>
          <w:p w14:paraId="1118C61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4,8</w:t>
            </w:r>
          </w:p>
        </w:tc>
        <w:tc>
          <w:tcPr>
            <w:tcW w:w="369" w:type="pct"/>
            <w:tcBorders>
              <w:top w:val="nil"/>
              <w:left w:val="nil"/>
              <w:bottom w:val="single" w:sz="4" w:space="0" w:color="808080"/>
              <w:right w:val="single" w:sz="8" w:space="0" w:color="808080"/>
            </w:tcBorders>
            <w:shd w:val="clear" w:color="auto" w:fill="auto"/>
            <w:vAlign w:val="center"/>
            <w:hideMark/>
          </w:tcPr>
          <w:p w14:paraId="7E73A9F4"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#VALUE!</w:t>
            </w:r>
          </w:p>
        </w:tc>
      </w:tr>
      <w:tr w:rsidR="00E75022" w:rsidRPr="00646DDA" w14:paraId="7AA9EDD2" w14:textId="77777777" w:rsidTr="00E75022">
        <w:trPr>
          <w:trHeight w:val="255"/>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1BE0E8A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Οικονομικές επιπτώσεις</w:t>
            </w:r>
          </w:p>
        </w:tc>
        <w:tc>
          <w:tcPr>
            <w:tcW w:w="738" w:type="pct"/>
            <w:tcBorders>
              <w:top w:val="nil"/>
              <w:left w:val="nil"/>
              <w:bottom w:val="single" w:sz="4" w:space="0" w:color="808080"/>
              <w:right w:val="single" w:sz="4" w:space="0" w:color="808080"/>
            </w:tcBorders>
            <w:shd w:val="clear" w:color="auto" w:fill="auto"/>
            <w:vAlign w:val="center"/>
            <w:hideMark/>
          </w:tcPr>
          <w:p w14:paraId="1E4B3820"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Economic Effects</w:t>
            </w:r>
          </w:p>
        </w:tc>
        <w:tc>
          <w:tcPr>
            <w:tcW w:w="374" w:type="pct"/>
            <w:tcBorders>
              <w:top w:val="nil"/>
              <w:left w:val="nil"/>
              <w:bottom w:val="single" w:sz="4" w:space="0" w:color="808080"/>
              <w:right w:val="single" w:sz="4" w:space="0" w:color="808080"/>
            </w:tcBorders>
            <w:shd w:val="clear" w:color="000000" w:fill="BFBFBF"/>
            <w:vAlign w:val="center"/>
            <w:hideMark/>
          </w:tcPr>
          <w:p w14:paraId="46B4E018"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2405C29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194" w:type="pct"/>
            <w:tcBorders>
              <w:top w:val="nil"/>
              <w:left w:val="nil"/>
              <w:bottom w:val="single" w:sz="4" w:space="0" w:color="808080"/>
              <w:right w:val="single" w:sz="4" w:space="0" w:color="808080"/>
            </w:tcBorders>
            <w:shd w:val="clear" w:color="000000" w:fill="BFBFBF"/>
            <w:vAlign w:val="center"/>
            <w:hideMark/>
          </w:tcPr>
          <w:p w14:paraId="0C07452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30" w:type="pct"/>
            <w:tcBorders>
              <w:top w:val="nil"/>
              <w:left w:val="nil"/>
              <w:bottom w:val="single" w:sz="4" w:space="0" w:color="808080"/>
              <w:right w:val="single" w:sz="8" w:space="0" w:color="808080"/>
            </w:tcBorders>
            <w:shd w:val="clear" w:color="000000" w:fill="BFBFBF"/>
            <w:vAlign w:val="center"/>
            <w:hideMark/>
          </w:tcPr>
          <w:p w14:paraId="0DF55771"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18285535"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5E598CD9"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2C7D3C52"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4" w:type="pct"/>
            <w:tcBorders>
              <w:top w:val="nil"/>
              <w:left w:val="nil"/>
              <w:bottom w:val="single" w:sz="4" w:space="0" w:color="808080"/>
              <w:right w:val="single" w:sz="4" w:space="0" w:color="808080"/>
            </w:tcBorders>
            <w:shd w:val="clear" w:color="000000" w:fill="BFBFBF"/>
            <w:vAlign w:val="center"/>
            <w:hideMark/>
          </w:tcPr>
          <w:p w14:paraId="5B7FE74F"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4" w:space="0" w:color="808080"/>
              <w:right w:val="single" w:sz="4" w:space="0" w:color="808080"/>
            </w:tcBorders>
            <w:shd w:val="clear" w:color="000000" w:fill="BFBFBF"/>
            <w:vAlign w:val="center"/>
            <w:hideMark/>
          </w:tcPr>
          <w:p w14:paraId="54D9B384"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4" w:space="0" w:color="808080"/>
              <w:right w:val="single" w:sz="8" w:space="0" w:color="808080"/>
            </w:tcBorders>
            <w:shd w:val="clear" w:color="000000" w:fill="BFBFBF"/>
            <w:vAlign w:val="center"/>
            <w:hideMark/>
          </w:tcPr>
          <w:p w14:paraId="3EC8A56C" w14:textId="77777777" w:rsidR="00E75022" w:rsidRPr="00646DDA" w:rsidRDefault="00E75022" w:rsidP="00E75022">
            <w:pPr>
              <w:spacing w:before="0" w:line="240" w:lineRule="auto"/>
              <w:jc w:val="left"/>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4" w:space="0" w:color="808080"/>
              <w:right w:val="single" w:sz="4" w:space="0" w:color="808080"/>
            </w:tcBorders>
            <w:shd w:val="clear" w:color="000000" w:fill="BFBFBF"/>
            <w:vAlign w:val="center"/>
            <w:hideMark/>
          </w:tcPr>
          <w:p w14:paraId="327EEB3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4" w:space="0" w:color="808080"/>
              <w:right w:val="single" w:sz="4" w:space="0" w:color="808080"/>
            </w:tcBorders>
            <w:shd w:val="clear" w:color="000000" w:fill="BFBFBF"/>
            <w:vAlign w:val="center"/>
            <w:hideMark/>
          </w:tcPr>
          <w:p w14:paraId="4A13562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4" w:space="0" w:color="808080"/>
              <w:right w:val="single" w:sz="8" w:space="0" w:color="808080"/>
            </w:tcBorders>
            <w:shd w:val="clear" w:color="000000" w:fill="BFBFBF"/>
            <w:vAlign w:val="center"/>
            <w:hideMark/>
          </w:tcPr>
          <w:p w14:paraId="62DE067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r w:rsidR="00E75022" w:rsidRPr="00646DDA" w14:paraId="37755CF2"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64158A26"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Απασχόληση σε δραστηριότητες έντασης γνώσης (μεταποίηση και υπηρεσίες) ως ποσοστό της συνολικής απασχόλησης</w:t>
            </w:r>
          </w:p>
        </w:tc>
        <w:tc>
          <w:tcPr>
            <w:tcW w:w="738" w:type="pct"/>
            <w:tcBorders>
              <w:top w:val="nil"/>
              <w:left w:val="nil"/>
              <w:bottom w:val="single" w:sz="4" w:space="0" w:color="808080"/>
              <w:right w:val="single" w:sz="4" w:space="0" w:color="808080"/>
            </w:tcBorders>
            <w:shd w:val="clear" w:color="auto" w:fill="auto"/>
            <w:vAlign w:val="center"/>
            <w:hideMark/>
          </w:tcPr>
          <w:p w14:paraId="2961AD32"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Employment in knowledge-intensive activities as percentage of total employment</w:t>
            </w:r>
          </w:p>
        </w:tc>
        <w:tc>
          <w:tcPr>
            <w:tcW w:w="374" w:type="pct"/>
            <w:tcBorders>
              <w:top w:val="nil"/>
              <w:left w:val="nil"/>
              <w:bottom w:val="single" w:sz="4" w:space="0" w:color="808080"/>
              <w:right w:val="single" w:sz="4" w:space="0" w:color="808080"/>
            </w:tcBorders>
            <w:shd w:val="clear" w:color="auto" w:fill="auto"/>
            <w:vAlign w:val="center"/>
            <w:hideMark/>
          </w:tcPr>
          <w:p w14:paraId="233E2564"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222D391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12,50</w:t>
            </w:r>
          </w:p>
        </w:tc>
        <w:tc>
          <w:tcPr>
            <w:tcW w:w="194" w:type="pct"/>
            <w:tcBorders>
              <w:top w:val="nil"/>
              <w:left w:val="nil"/>
              <w:bottom w:val="single" w:sz="4" w:space="0" w:color="808080"/>
              <w:right w:val="single" w:sz="4" w:space="0" w:color="808080"/>
            </w:tcBorders>
            <w:shd w:val="clear" w:color="auto" w:fill="auto"/>
            <w:vAlign w:val="center"/>
            <w:hideMark/>
          </w:tcPr>
          <w:p w14:paraId="3BF3A69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13,80</w:t>
            </w:r>
          </w:p>
        </w:tc>
        <w:tc>
          <w:tcPr>
            <w:tcW w:w="230" w:type="pct"/>
            <w:tcBorders>
              <w:top w:val="nil"/>
              <w:left w:val="nil"/>
              <w:bottom w:val="single" w:sz="4" w:space="0" w:color="808080"/>
              <w:right w:val="single" w:sz="8" w:space="0" w:color="808080"/>
            </w:tcBorders>
            <w:shd w:val="clear" w:color="auto" w:fill="auto"/>
            <w:vAlign w:val="center"/>
            <w:hideMark/>
          </w:tcPr>
          <w:p w14:paraId="0D4B6932"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90,6%</w:t>
            </w:r>
          </w:p>
        </w:tc>
        <w:tc>
          <w:tcPr>
            <w:tcW w:w="204" w:type="pct"/>
            <w:tcBorders>
              <w:top w:val="nil"/>
              <w:left w:val="nil"/>
              <w:bottom w:val="single" w:sz="4" w:space="0" w:color="808080"/>
              <w:right w:val="single" w:sz="4" w:space="0" w:color="808080"/>
            </w:tcBorders>
            <w:shd w:val="clear" w:color="auto" w:fill="auto"/>
            <w:vAlign w:val="center"/>
            <w:hideMark/>
          </w:tcPr>
          <w:p w14:paraId="210F515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12,20</w:t>
            </w:r>
          </w:p>
        </w:tc>
        <w:tc>
          <w:tcPr>
            <w:tcW w:w="207" w:type="pct"/>
            <w:tcBorders>
              <w:top w:val="nil"/>
              <w:left w:val="nil"/>
              <w:bottom w:val="single" w:sz="4" w:space="0" w:color="808080"/>
              <w:right w:val="single" w:sz="4" w:space="0" w:color="808080"/>
            </w:tcBorders>
            <w:shd w:val="clear" w:color="auto" w:fill="auto"/>
            <w:vAlign w:val="center"/>
            <w:hideMark/>
          </w:tcPr>
          <w:p w14:paraId="63AF8C6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13,90</w:t>
            </w:r>
          </w:p>
        </w:tc>
        <w:tc>
          <w:tcPr>
            <w:tcW w:w="261" w:type="pct"/>
            <w:tcBorders>
              <w:top w:val="nil"/>
              <w:left w:val="nil"/>
              <w:bottom w:val="single" w:sz="4" w:space="0" w:color="808080"/>
              <w:right w:val="single" w:sz="8" w:space="0" w:color="808080"/>
            </w:tcBorders>
            <w:shd w:val="clear" w:color="auto" w:fill="auto"/>
            <w:vAlign w:val="center"/>
            <w:hideMark/>
          </w:tcPr>
          <w:p w14:paraId="60AB4967"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87,8%</w:t>
            </w:r>
          </w:p>
        </w:tc>
        <w:tc>
          <w:tcPr>
            <w:tcW w:w="204" w:type="pct"/>
            <w:tcBorders>
              <w:top w:val="nil"/>
              <w:left w:val="nil"/>
              <w:bottom w:val="single" w:sz="4" w:space="0" w:color="808080"/>
              <w:right w:val="single" w:sz="4" w:space="0" w:color="808080"/>
            </w:tcBorders>
            <w:shd w:val="clear" w:color="auto" w:fill="auto"/>
            <w:vAlign w:val="center"/>
            <w:hideMark/>
          </w:tcPr>
          <w:p w14:paraId="262BCE6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12,20</w:t>
            </w:r>
          </w:p>
        </w:tc>
        <w:tc>
          <w:tcPr>
            <w:tcW w:w="207" w:type="pct"/>
            <w:tcBorders>
              <w:top w:val="nil"/>
              <w:left w:val="nil"/>
              <w:bottom w:val="single" w:sz="4" w:space="0" w:color="808080"/>
              <w:right w:val="single" w:sz="4" w:space="0" w:color="808080"/>
            </w:tcBorders>
            <w:shd w:val="clear" w:color="auto" w:fill="auto"/>
            <w:vAlign w:val="center"/>
            <w:hideMark/>
          </w:tcPr>
          <w:p w14:paraId="799A4B6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14,10</w:t>
            </w:r>
          </w:p>
        </w:tc>
        <w:tc>
          <w:tcPr>
            <w:tcW w:w="261" w:type="pct"/>
            <w:tcBorders>
              <w:top w:val="nil"/>
              <w:left w:val="nil"/>
              <w:bottom w:val="single" w:sz="4" w:space="0" w:color="808080"/>
              <w:right w:val="single" w:sz="8" w:space="0" w:color="808080"/>
            </w:tcBorders>
            <w:shd w:val="clear" w:color="auto" w:fill="auto"/>
            <w:vAlign w:val="center"/>
            <w:hideMark/>
          </w:tcPr>
          <w:p w14:paraId="2F4B0C7A"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86,5%</w:t>
            </w:r>
          </w:p>
        </w:tc>
        <w:tc>
          <w:tcPr>
            <w:tcW w:w="395" w:type="pct"/>
            <w:tcBorders>
              <w:top w:val="nil"/>
              <w:left w:val="nil"/>
              <w:bottom w:val="single" w:sz="4" w:space="0" w:color="808080"/>
              <w:right w:val="single" w:sz="4" w:space="0" w:color="808080"/>
            </w:tcBorders>
            <w:shd w:val="clear" w:color="auto" w:fill="auto"/>
            <w:vAlign w:val="center"/>
            <w:hideMark/>
          </w:tcPr>
          <w:p w14:paraId="6D2A735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12,1</w:t>
            </w:r>
          </w:p>
        </w:tc>
        <w:tc>
          <w:tcPr>
            <w:tcW w:w="254" w:type="pct"/>
            <w:tcBorders>
              <w:top w:val="nil"/>
              <w:left w:val="nil"/>
              <w:bottom w:val="single" w:sz="4" w:space="0" w:color="808080"/>
              <w:right w:val="single" w:sz="4" w:space="0" w:color="808080"/>
            </w:tcBorders>
            <w:shd w:val="clear" w:color="auto" w:fill="auto"/>
            <w:vAlign w:val="center"/>
            <w:hideMark/>
          </w:tcPr>
          <w:p w14:paraId="1098CF3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14,2</w:t>
            </w:r>
          </w:p>
        </w:tc>
        <w:tc>
          <w:tcPr>
            <w:tcW w:w="369" w:type="pct"/>
            <w:tcBorders>
              <w:top w:val="nil"/>
              <w:left w:val="nil"/>
              <w:bottom w:val="single" w:sz="4" w:space="0" w:color="808080"/>
              <w:right w:val="single" w:sz="8" w:space="0" w:color="808080"/>
            </w:tcBorders>
            <w:shd w:val="clear" w:color="auto" w:fill="auto"/>
            <w:vAlign w:val="center"/>
            <w:hideMark/>
          </w:tcPr>
          <w:p w14:paraId="51514FF5"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85,2%</w:t>
            </w:r>
          </w:p>
        </w:tc>
      </w:tr>
      <w:tr w:rsidR="00E75022" w:rsidRPr="00646DDA" w14:paraId="298BD711" w14:textId="77777777" w:rsidTr="00E75022">
        <w:trPr>
          <w:trHeight w:val="69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2C7B7BD1"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Συμβολή των εξαγωγών προϊόντων μέσης και υψηλής τεχνολογίας στο εμπορικό ισοζύγιο</w:t>
            </w:r>
          </w:p>
        </w:tc>
        <w:tc>
          <w:tcPr>
            <w:tcW w:w="738" w:type="pct"/>
            <w:tcBorders>
              <w:top w:val="nil"/>
              <w:left w:val="nil"/>
              <w:bottom w:val="single" w:sz="4" w:space="0" w:color="808080"/>
              <w:right w:val="single" w:sz="4" w:space="0" w:color="808080"/>
            </w:tcBorders>
            <w:shd w:val="clear" w:color="auto" w:fill="auto"/>
            <w:vAlign w:val="center"/>
            <w:hideMark/>
          </w:tcPr>
          <w:p w14:paraId="1849DAD8"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Exports of medium and high technology products as a share of total product exports</w:t>
            </w:r>
          </w:p>
        </w:tc>
        <w:tc>
          <w:tcPr>
            <w:tcW w:w="374" w:type="pct"/>
            <w:tcBorders>
              <w:top w:val="nil"/>
              <w:left w:val="nil"/>
              <w:bottom w:val="single" w:sz="4" w:space="0" w:color="808080"/>
              <w:right w:val="single" w:sz="4" w:space="0" w:color="808080"/>
            </w:tcBorders>
            <w:shd w:val="clear" w:color="auto" w:fill="auto"/>
            <w:vAlign w:val="center"/>
            <w:hideMark/>
          </w:tcPr>
          <w:p w14:paraId="645D42BE"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68D66EA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18,00</w:t>
            </w:r>
          </w:p>
        </w:tc>
        <w:tc>
          <w:tcPr>
            <w:tcW w:w="194" w:type="pct"/>
            <w:tcBorders>
              <w:top w:val="nil"/>
              <w:left w:val="nil"/>
              <w:bottom w:val="single" w:sz="4" w:space="0" w:color="808080"/>
              <w:right w:val="single" w:sz="4" w:space="0" w:color="808080"/>
            </w:tcBorders>
            <w:shd w:val="clear" w:color="auto" w:fill="auto"/>
            <w:vAlign w:val="center"/>
            <w:hideMark/>
          </w:tcPr>
          <w:p w14:paraId="055FF1A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53,00</w:t>
            </w:r>
          </w:p>
        </w:tc>
        <w:tc>
          <w:tcPr>
            <w:tcW w:w="230" w:type="pct"/>
            <w:tcBorders>
              <w:top w:val="nil"/>
              <w:left w:val="nil"/>
              <w:bottom w:val="single" w:sz="4" w:space="0" w:color="808080"/>
              <w:right w:val="single" w:sz="8" w:space="0" w:color="808080"/>
            </w:tcBorders>
            <w:shd w:val="clear" w:color="auto" w:fill="auto"/>
            <w:vAlign w:val="center"/>
            <w:hideMark/>
          </w:tcPr>
          <w:p w14:paraId="4CC59C15"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34,0%</w:t>
            </w:r>
          </w:p>
        </w:tc>
        <w:tc>
          <w:tcPr>
            <w:tcW w:w="204" w:type="pct"/>
            <w:tcBorders>
              <w:top w:val="nil"/>
              <w:left w:val="nil"/>
              <w:bottom w:val="single" w:sz="4" w:space="0" w:color="808080"/>
              <w:right w:val="single" w:sz="4" w:space="0" w:color="808080"/>
            </w:tcBorders>
            <w:shd w:val="clear" w:color="auto" w:fill="auto"/>
            <w:vAlign w:val="center"/>
            <w:hideMark/>
          </w:tcPr>
          <w:p w14:paraId="5401AF5D"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22,70</w:t>
            </w:r>
          </w:p>
        </w:tc>
        <w:tc>
          <w:tcPr>
            <w:tcW w:w="207" w:type="pct"/>
            <w:tcBorders>
              <w:top w:val="nil"/>
              <w:left w:val="nil"/>
              <w:bottom w:val="single" w:sz="4" w:space="0" w:color="808080"/>
              <w:right w:val="single" w:sz="4" w:space="0" w:color="808080"/>
            </w:tcBorders>
            <w:shd w:val="clear" w:color="auto" w:fill="auto"/>
            <w:vAlign w:val="center"/>
            <w:hideMark/>
          </w:tcPr>
          <w:p w14:paraId="5FB1658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56,10</w:t>
            </w:r>
          </w:p>
        </w:tc>
        <w:tc>
          <w:tcPr>
            <w:tcW w:w="261" w:type="pct"/>
            <w:tcBorders>
              <w:top w:val="nil"/>
              <w:left w:val="nil"/>
              <w:bottom w:val="single" w:sz="4" w:space="0" w:color="808080"/>
              <w:right w:val="single" w:sz="8" w:space="0" w:color="808080"/>
            </w:tcBorders>
            <w:shd w:val="clear" w:color="auto" w:fill="auto"/>
            <w:vAlign w:val="center"/>
            <w:hideMark/>
          </w:tcPr>
          <w:p w14:paraId="33914868"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40,5%</w:t>
            </w:r>
          </w:p>
        </w:tc>
        <w:tc>
          <w:tcPr>
            <w:tcW w:w="204" w:type="pct"/>
            <w:tcBorders>
              <w:top w:val="nil"/>
              <w:left w:val="nil"/>
              <w:bottom w:val="single" w:sz="4" w:space="0" w:color="808080"/>
              <w:right w:val="single" w:sz="4" w:space="0" w:color="808080"/>
            </w:tcBorders>
            <w:shd w:val="clear" w:color="auto" w:fill="auto"/>
            <w:vAlign w:val="center"/>
            <w:hideMark/>
          </w:tcPr>
          <w:p w14:paraId="67939F7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22,70</w:t>
            </w:r>
          </w:p>
        </w:tc>
        <w:tc>
          <w:tcPr>
            <w:tcW w:w="207" w:type="pct"/>
            <w:tcBorders>
              <w:top w:val="nil"/>
              <w:left w:val="nil"/>
              <w:bottom w:val="single" w:sz="4" w:space="0" w:color="808080"/>
              <w:right w:val="single" w:sz="4" w:space="0" w:color="808080"/>
            </w:tcBorders>
            <w:shd w:val="clear" w:color="auto" w:fill="auto"/>
            <w:vAlign w:val="center"/>
            <w:hideMark/>
          </w:tcPr>
          <w:p w14:paraId="255A52DB"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56,20</w:t>
            </w:r>
          </w:p>
        </w:tc>
        <w:tc>
          <w:tcPr>
            <w:tcW w:w="261" w:type="pct"/>
            <w:tcBorders>
              <w:top w:val="nil"/>
              <w:left w:val="nil"/>
              <w:bottom w:val="single" w:sz="4" w:space="0" w:color="808080"/>
              <w:right w:val="single" w:sz="8" w:space="0" w:color="808080"/>
            </w:tcBorders>
            <w:shd w:val="clear" w:color="auto" w:fill="auto"/>
            <w:vAlign w:val="center"/>
            <w:hideMark/>
          </w:tcPr>
          <w:p w14:paraId="15296A3C"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40,4%</w:t>
            </w:r>
          </w:p>
        </w:tc>
        <w:tc>
          <w:tcPr>
            <w:tcW w:w="395" w:type="pct"/>
            <w:tcBorders>
              <w:top w:val="nil"/>
              <w:left w:val="nil"/>
              <w:bottom w:val="single" w:sz="4" w:space="0" w:color="808080"/>
              <w:right w:val="single" w:sz="4" w:space="0" w:color="808080"/>
            </w:tcBorders>
            <w:shd w:val="clear" w:color="auto" w:fill="auto"/>
            <w:vAlign w:val="center"/>
            <w:hideMark/>
          </w:tcPr>
          <w:p w14:paraId="70DD4EFE"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21,2</w:t>
            </w:r>
          </w:p>
        </w:tc>
        <w:tc>
          <w:tcPr>
            <w:tcW w:w="254" w:type="pct"/>
            <w:tcBorders>
              <w:top w:val="nil"/>
              <w:left w:val="nil"/>
              <w:bottom w:val="single" w:sz="4" w:space="0" w:color="808080"/>
              <w:right w:val="single" w:sz="4" w:space="0" w:color="808080"/>
            </w:tcBorders>
            <w:shd w:val="clear" w:color="auto" w:fill="auto"/>
            <w:vAlign w:val="center"/>
            <w:hideMark/>
          </w:tcPr>
          <w:p w14:paraId="752C663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56,7</w:t>
            </w:r>
          </w:p>
        </w:tc>
        <w:tc>
          <w:tcPr>
            <w:tcW w:w="369" w:type="pct"/>
            <w:tcBorders>
              <w:top w:val="nil"/>
              <w:left w:val="nil"/>
              <w:bottom w:val="single" w:sz="4" w:space="0" w:color="808080"/>
              <w:right w:val="single" w:sz="8" w:space="0" w:color="808080"/>
            </w:tcBorders>
            <w:shd w:val="clear" w:color="auto" w:fill="auto"/>
            <w:vAlign w:val="center"/>
            <w:hideMark/>
          </w:tcPr>
          <w:p w14:paraId="435B8861"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37,4%</w:t>
            </w:r>
          </w:p>
        </w:tc>
      </w:tr>
      <w:tr w:rsidR="00E75022" w:rsidRPr="00646DDA" w14:paraId="59ED8543" w14:textId="77777777" w:rsidTr="00E75022">
        <w:trPr>
          <w:trHeight w:val="72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74C67B3E"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Εξαγωγές υπηρεσιών έντασης γνώσης, ως ποσοστό των συνολικών εξαγωγών υπηρεσιών</w:t>
            </w:r>
          </w:p>
        </w:tc>
        <w:tc>
          <w:tcPr>
            <w:tcW w:w="738" w:type="pct"/>
            <w:tcBorders>
              <w:top w:val="nil"/>
              <w:left w:val="nil"/>
              <w:bottom w:val="single" w:sz="4" w:space="0" w:color="808080"/>
              <w:right w:val="single" w:sz="4" w:space="0" w:color="808080"/>
            </w:tcBorders>
            <w:shd w:val="clear" w:color="auto" w:fill="auto"/>
            <w:vAlign w:val="center"/>
            <w:hideMark/>
          </w:tcPr>
          <w:p w14:paraId="7D72F214"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Knowledge-intensive services exports as percentage of total services exports</w:t>
            </w:r>
          </w:p>
        </w:tc>
        <w:tc>
          <w:tcPr>
            <w:tcW w:w="374" w:type="pct"/>
            <w:tcBorders>
              <w:top w:val="nil"/>
              <w:left w:val="nil"/>
              <w:bottom w:val="single" w:sz="4" w:space="0" w:color="808080"/>
              <w:right w:val="single" w:sz="4" w:space="0" w:color="808080"/>
            </w:tcBorders>
            <w:shd w:val="clear" w:color="auto" w:fill="auto"/>
            <w:vAlign w:val="center"/>
            <w:hideMark/>
          </w:tcPr>
          <w:p w14:paraId="3DBDF382"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3B33A10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53,90</w:t>
            </w:r>
          </w:p>
        </w:tc>
        <w:tc>
          <w:tcPr>
            <w:tcW w:w="194" w:type="pct"/>
            <w:tcBorders>
              <w:top w:val="nil"/>
              <w:left w:val="nil"/>
              <w:bottom w:val="single" w:sz="4" w:space="0" w:color="808080"/>
              <w:right w:val="single" w:sz="4" w:space="0" w:color="808080"/>
            </w:tcBorders>
            <w:shd w:val="clear" w:color="auto" w:fill="auto"/>
            <w:vAlign w:val="center"/>
            <w:hideMark/>
          </w:tcPr>
          <w:p w14:paraId="46B4C15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49,50</w:t>
            </w:r>
          </w:p>
        </w:tc>
        <w:tc>
          <w:tcPr>
            <w:tcW w:w="230" w:type="pct"/>
            <w:tcBorders>
              <w:top w:val="nil"/>
              <w:left w:val="nil"/>
              <w:bottom w:val="single" w:sz="4" w:space="0" w:color="808080"/>
              <w:right w:val="single" w:sz="8" w:space="0" w:color="808080"/>
            </w:tcBorders>
            <w:shd w:val="clear" w:color="auto" w:fill="auto"/>
            <w:vAlign w:val="center"/>
            <w:hideMark/>
          </w:tcPr>
          <w:p w14:paraId="1F68F002"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108,9%</w:t>
            </w:r>
          </w:p>
        </w:tc>
        <w:tc>
          <w:tcPr>
            <w:tcW w:w="204" w:type="pct"/>
            <w:tcBorders>
              <w:top w:val="nil"/>
              <w:left w:val="nil"/>
              <w:bottom w:val="single" w:sz="4" w:space="0" w:color="808080"/>
              <w:right w:val="single" w:sz="4" w:space="0" w:color="808080"/>
            </w:tcBorders>
            <w:shd w:val="clear" w:color="auto" w:fill="auto"/>
            <w:vAlign w:val="center"/>
            <w:hideMark/>
          </w:tcPr>
          <w:p w14:paraId="17CC3D5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51,80</w:t>
            </w:r>
          </w:p>
        </w:tc>
        <w:tc>
          <w:tcPr>
            <w:tcW w:w="207" w:type="pct"/>
            <w:tcBorders>
              <w:top w:val="nil"/>
              <w:left w:val="nil"/>
              <w:bottom w:val="single" w:sz="4" w:space="0" w:color="808080"/>
              <w:right w:val="single" w:sz="4" w:space="0" w:color="808080"/>
            </w:tcBorders>
            <w:shd w:val="clear" w:color="auto" w:fill="auto"/>
            <w:vAlign w:val="center"/>
            <w:hideMark/>
          </w:tcPr>
          <w:p w14:paraId="115915EF"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63,10</w:t>
            </w:r>
          </w:p>
        </w:tc>
        <w:tc>
          <w:tcPr>
            <w:tcW w:w="261" w:type="pct"/>
            <w:tcBorders>
              <w:top w:val="nil"/>
              <w:left w:val="nil"/>
              <w:bottom w:val="single" w:sz="4" w:space="0" w:color="808080"/>
              <w:right w:val="single" w:sz="8" w:space="0" w:color="808080"/>
            </w:tcBorders>
            <w:shd w:val="clear" w:color="auto" w:fill="auto"/>
            <w:vAlign w:val="center"/>
            <w:hideMark/>
          </w:tcPr>
          <w:p w14:paraId="21AB2C92"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82,1%</w:t>
            </w:r>
          </w:p>
        </w:tc>
        <w:tc>
          <w:tcPr>
            <w:tcW w:w="204" w:type="pct"/>
            <w:tcBorders>
              <w:top w:val="nil"/>
              <w:left w:val="nil"/>
              <w:bottom w:val="single" w:sz="4" w:space="0" w:color="808080"/>
              <w:right w:val="single" w:sz="4" w:space="0" w:color="808080"/>
            </w:tcBorders>
            <w:shd w:val="clear" w:color="auto" w:fill="auto"/>
            <w:vAlign w:val="center"/>
            <w:hideMark/>
          </w:tcPr>
          <w:p w14:paraId="3ED9A01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44,40</w:t>
            </w:r>
          </w:p>
        </w:tc>
        <w:tc>
          <w:tcPr>
            <w:tcW w:w="207" w:type="pct"/>
            <w:tcBorders>
              <w:top w:val="nil"/>
              <w:left w:val="nil"/>
              <w:bottom w:val="single" w:sz="4" w:space="0" w:color="808080"/>
              <w:right w:val="single" w:sz="4" w:space="0" w:color="808080"/>
            </w:tcBorders>
            <w:shd w:val="clear" w:color="auto" w:fill="auto"/>
            <w:vAlign w:val="center"/>
            <w:hideMark/>
          </w:tcPr>
          <w:p w14:paraId="3DDFCEB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69,30</w:t>
            </w:r>
          </w:p>
        </w:tc>
        <w:tc>
          <w:tcPr>
            <w:tcW w:w="261" w:type="pct"/>
            <w:tcBorders>
              <w:top w:val="nil"/>
              <w:left w:val="nil"/>
              <w:bottom w:val="single" w:sz="4" w:space="0" w:color="808080"/>
              <w:right w:val="single" w:sz="8" w:space="0" w:color="808080"/>
            </w:tcBorders>
            <w:shd w:val="clear" w:color="auto" w:fill="auto"/>
            <w:vAlign w:val="center"/>
            <w:hideMark/>
          </w:tcPr>
          <w:p w14:paraId="4E0A81C6"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64,1%</w:t>
            </w:r>
          </w:p>
        </w:tc>
        <w:tc>
          <w:tcPr>
            <w:tcW w:w="395" w:type="pct"/>
            <w:tcBorders>
              <w:top w:val="nil"/>
              <w:left w:val="nil"/>
              <w:bottom w:val="single" w:sz="4" w:space="0" w:color="808080"/>
              <w:right w:val="single" w:sz="4" w:space="0" w:color="808080"/>
            </w:tcBorders>
            <w:shd w:val="clear" w:color="auto" w:fill="auto"/>
            <w:vAlign w:val="center"/>
            <w:hideMark/>
          </w:tcPr>
          <w:p w14:paraId="0421585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42,2</w:t>
            </w:r>
          </w:p>
        </w:tc>
        <w:tc>
          <w:tcPr>
            <w:tcW w:w="254" w:type="pct"/>
            <w:tcBorders>
              <w:top w:val="nil"/>
              <w:left w:val="nil"/>
              <w:bottom w:val="single" w:sz="4" w:space="0" w:color="808080"/>
              <w:right w:val="single" w:sz="4" w:space="0" w:color="808080"/>
            </w:tcBorders>
            <w:shd w:val="clear" w:color="auto" w:fill="auto"/>
            <w:vAlign w:val="center"/>
            <w:hideMark/>
          </w:tcPr>
          <w:p w14:paraId="0E47633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69,2</w:t>
            </w:r>
          </w:p>
        </w:tc>
        <w:tc>
          <w:tcPr>
            <w:tcW w:w="369" w:type="pct"/>
            <w:tcBorders>
              <w:top w:val="nil"/>
              <w:left w:val="nil"/>
              <w:bottom w:val="single" w:sz="4" w:space="0" w:color="808080"/>
              <w:right w:val="single" w:sz="8" w:space="0" w:color="808080"/>
            </w:tcBorders>
            <w:shd w:val="clear" w:color="auto" w:fill="auto"/>
            <w:vAlign w:val="center"/>
            <w:hideMark/>
          </w:tcPr>
          <w:p w14:paraId="63B60BBF"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61,0%</w:t>
            </w:r>
          </w:p>
        </w:tc>
      </w:tr>
      <w:tr w:rsidR="00E75022" w:rsidRPr="00646DDA" w14:paraId="5B3FD88B" w14:textId="77777777" w:rsidTr="00E75022">
        <w:trPr>
          <w:trHeight w:val="480"/>
        </w:trPr>
        <w:tc>
          <w:tcPr>
            <w:tcW w:w="898" w:type="pct"/>
            <w:tcBorders>
              <w:top w:val="nil"/>
              <w:left w:val="single" w:sz="8" w:space="0" w:color="808080"/>
              <w:bottom w:val="single" w:sz="4" w:space="0" w:color="808080"/>
              <w:right w:val="single" w:sz="4" w:space="0" w:color="808080"/>
            </w:tcBorders>
            <w:shd w:val="clear" w:color="auto" w:fill="auto"/>
            <w:vAlign w:val="center"/>
            <w:hideMark/>
          </w:tcPr>
          <w:p w14:paraId="081E443E"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Πωλήσεις νέων στην αγορά και νέων στην επιχείρηση προϊόντων ως ποσοστό του κύκλου εργασιών</w:t>
            </w:r>
          </w:p>
        </w:tc>
        <w:tc>
          <w:tcPr>
            <w:tcW w:w="738" w:type="pct"/>
            <w:tcBorders>
              <w:top w:val="nil"/>
              <w:left w:val="nil"/>
              <w:bottom w:val="single" w:sz="4" w:space="0" w:color="808080"/>
              <w:right w:val="single" w:sz="4" w:space="0" w:color="808080"/>
            </w:tcBorders>
            <w:shd w:val="clear" w:color="auto" w:fill="auto"/>
            <w:vAlign w:val="center"/>
            <w:hideMark/>
          </w:tcPr>
          <w:p w14:paraId="0C2CBD64"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Sales of new-to-market and new-to-firm innovations as percentage of turnover</w:t>
            </w:r>
          </w:p>
        </w:tc>
        <w:tc>
          <w:tcPr>
            <w:tcW w:w="374" w:type="pct"/>
            <w:tcBorders>
              <w:top w:val="nil"/>
              <w:left w:val="nil"/>
              <w:bottom w:val="single" w:sz="4" w:space="0" w:color="808080"/>
              <w:right w:val="single" w:sz="4" w:space="0" w:color="808080"/>
            </w:tcBorders>
            <w:shd w:val="clear" w:color="auto" w:fill="auto"/>
            <w:vAlign w:val="center"/>
            <w:hideMark/>
          </w:tcPr>
          <w:p w14:paraId="2B6A6804"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4" w:space="0" w:color="808080"/>
              <w:right w:val="single" w:sz="4" w:space="0" w:color="808080"/>
            </w:tcBorders>
            <w:shd w:val="clear" w:color="auto" w:fill="auto"/>
            <w:vAlign w:val="center"/>
            <w:hideMark/>
          </w:tcPr>
          <w:p w14:paraId="2C252E4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11,80</w:t>
            </w:r>
          </w:p>
        </w:tc>
        <w:tc>
          <w:tcPr>
            <w:tcW w:w="194" w:type="pct"/>
            <w:tcBorders>
              <w:top w:val="nil"/>
              <w:left w:val="nil"/>
              <w:bottom w:val="single" w:sz="4" w:space="0" w:color="808080"/>
              <w:right w:val="single" w:sz="4" w:space="0" w:color="808080"/>
            </w:tcBorders>
            <w:shd w:val="clear" w:color="auto" w:fill="auto"/>
            <w:vAlign w:val="center"/>
            <w:hideMark/>
          </w:tcPr>
          <w:p w14:paraId="296C546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12,40</w:t>
            </w:r>
          </w:p>
        </w:tc>
        <w:tc>
          <w:tcPr>
            <w:tcW w:w="230" w:type="pct"/>
            <w:tcBorders>
              <w:top w:val="nil"/>
              <w:left w:val="nil"/>
              <w:bottom w:val="single" w:sz="4" w:space="0" w:color="808080"/>
              <w:right w:val="single" w:sz="8" w:space="0" w:color="808080"/>
            </w:tcBorders>
            <w:shd w:val="clear" w:color="auto" w:fill="auto"/>
            <w:vAlign w:val="center"/>
            <w:hideMark/>
          </w:tcPr>
          <w:p w14:paraId="3BEF80C9"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95,2%</w:t>
            </w:r>
          </w:p>
        </w:tc>
        <w:tc>
          <w:tcPr>
            <w:tcW w:w="204" w:type="pct"/>
            <w:tcBorders>
              <w:top w:val="nil"/>
              <w:left w:val="nil"/>
              <w:bottom w:val="single" w:sz="4" w:space="0" w:color="808080"/>
              <w:right w:val="single" w:sz="4" w:space="0" w:color="808080"/>
            </w:tcBorders>
            <w:shd w:val="clear" w:color="auto" w:fill="auto"/>
            <w:vAlign w:val="center"/>
            <w:hideMark/>
          </w:tcPr>
          <w:p w14:paraId="6E2C78C8"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11,80</w:t>
            </w:r>
          </w:p>
        </w:tc>
        <w:tc>
          <w:tcPr>
            <w:tcW w:w="207" w:type="pct"/>
            <w:tcBorders>
              <w:top w:val="nil"/>
              <w:left w:val="nil"/>
              <w:bottom w:val="single" w:sz="4" w:space="0" w:color="808080"/>
              <w:right w:val="single" w:sz="4" w:space="0" w:color="808080"/>
            </w:tcBorders>
            <w:shd w:val="clear" w:color="auto" w:fill="auto"/>
            <w:vAlign w:val="center"/>
            <w:hideMark/>
          </w:tcPr>
          <w:p w14:paraId="3B2281B9"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12,40</w:t>
            </w:r>
          </w:p>
        </w:tc>
        <w:tc>
          <w:tcPr>
            <w:tcW w:w="261" w:type="pct"/>
            <w:tcBorders>
              <w:top w:val="nil"/>
              <w:left w:val="nil"/>
              <w:bottom w:val="single" w:sz="4" w:space="0" w:color="808080"/>
              <w:right w:val="single" w:sz="8" w:space="0" w:color="808080"/>
            </w:tcBorders>
            <w:shd w:val="clear" w:color="auto" w:fill="auto"/>
            <w:vAlign w:val="center"/>
            <w:hideMark/>
          </w:tcPr>
          <w:p w14:paraId="35D773CB"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95,2%</w:t>
            </w:r>
          </w:p>
        </w:tc>
        <w:tc>
          <w:tcPr>
            <w:tcW w:w="204" w:type="pct"/>
            <w:tcBorders>
              <w:top w:val="nil"/>
              <w:left w:val="nil"/>
              <w:bottom w:val="single" w:sz="4" w:space="0" w:color="808080"/>
              <w:right w:val="single" w:sz="4" w:space="0" w:color="808080"/>
            </w:tcBorders>
            <w:shd w:val="clear" w:color="auto" w:fill="auto"/>
            <w:vAlign w:val="center"/>
            <w:hideMark/>
          </w:tcPr>
          <w:p w14:paraId="2582079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12,75</w:t>
            </w:r>
          </w:p>
        </w:tc>
        <w:tc>
          <w:tcPr>
            <w:tcW w:w="207" w:type="pct"/>
            <w:tcBorders>
              <w:top w:val="nil"/>
              <w:left w:val="nil"/>
              <w:bottom w:val="single" w:sz="4" w:space="0" w:color="808080"/>
              <w:right w:val="single" w:sz="4" w:space="0" w:color="808080"/>
            </w:tcBorders>
            <w:shd w:val="clear" w:color="auto" w:fill="auto"/>
            <w:vAlign w:val="center"/>
            <w:hideMark/>
          </w:tcPr>
          <w:p w14:paraId="086910D5"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13,37</w:t>
            </w:r>
          </w:p>
        </w:tc>
        <w:tc>
          <w:tcPr>
            <w:tcW w:w="261" w:type="pct"/>
            <w:tcBorders>
              <w:top w:val="nil"/>
              <w:left w:val="nil"/>
              <w:bottom w:val="single" w:sz="4" w:space="0" w:color="808080"/>
              <w:right w:val="single" w:sz="8" w:space="0" w:color="808080"/>
            </w:tcBorders>
            <w:shd w:val="clear" w:color="auto" w:fill="auto"/>
            <w:vAlign w:val="center"/>
            <w:hideMark/>
          </w:tcPr>
          <w:p w14:paraId="41B775F9"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95,4%</w:t>
            </w:r>
          </w:p>
        </w:tc>
        <w:tc>
          <w:tcPr>
            <w:tcW w:w="395" w:type="pct"/>
            <w:tcBorders>
              <w:top w:val="nil"/>
              <w:left w:val="nil"/>
              <w:bottom w:val="single" w:sz="4" w:space="0" w:color="808080"/>
              <w:right w:val="single" w:sz="4" w:space="0" w:color="808080"/>
            </w:tcBorders>
            <w:shd w:val="clear" w:color="auto" w:fill="auto"/>
            <w:vAlign w:val="center"/>
            <w:hideMark/>
          </w:tcPr>
          <w:p w14:paraId="3635ACF2"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12,75</w:t>
            </w:r>
          </w:p>
        </w:tc>
        <w:tc>
          <w:tcPr>
            <w:tcW w:w="254" w:type="pct"/>
            <w:tcBorders>
              <w:top w:val="nil"/>
              <w:left w:val="nil"/>
              <w:bottom w:val="single" w:sz="4" w:space="0" w:color="808080"/>
              <w:right w:val="single" w:sz="4" w:space="0" w:color="808080"/>
            </w:tcBorders>
            <w:shd w:val="clear" w:color="auto" w:fill="auto"/>
            <w:vAlign w:val="center"/>
            <w:hideMark/>
          </w:tcPr>
          <w:p w14:paraId="4438917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13,37</w:t>
            </w:r>
          </w:p>
        </w:tc>
        <w:tc>
          <w:tcPr>
            <w:tcW w:w="369" w:type="pct"/>
            <w:tcBorders>
              <w:top w:val="nil"/>
              <w:left w:val="nil"/>
              <w:bottom w:val="single" w:sz="4" w:space="0" w:color="808080"/>
              <w:right w:val="single" w:sz="8" w:space="0" w:color="808080"/>
            </w:tcBorders>
            <w:shd w:val="clear" w:color="auto" w:fill="auto"/>
            <w:vAlign w:val="center"/>
            <w:hideMark/>
          </w:tcPr>
          <w:p w14:paraId="49304124" w14:textId="77777777" w:rsidR="00E75022" w:rsidRPr="00646DDA" w:rsidRDefault="00E75022" w:rsidP="00E75022">
            <w:pPr>
              <w:spacing w:before="0" w:line="240" w:lineRule="auto"/>
              <w:jc w:val="center"/>
              <w:rPr>
                <w:rFonts w:eastAsia="Times New Roman"/>
                <w:b/>
                <w:bCs/>
                <w:i/>
                <w:iCs/>
                <w:color w:val="000000"/>
                <w:sz w:val="16"/>
                <w:szCs w:val="16"/>
                <w:lang w:eastAsia="el-GR"/>
              </w:rPr>
            </w:pPr>
            <w:r w:rsidRPr="00646DDA">
              <w:rPr>
                <w:rFonts w:eastAsia="Times New Roman"/>
                <w:b/>
                <w:bCs/>
                <w:i/>
                <w:iCs/>
                <w:color w:val="000000"/>
                <w:sz w:val="16"/>
                <w:szCs w:val="16"/>
                <w:lang w:eastAsia="el-GR"/>
              </w:rPr>
              <w:t>95,4%</w:t>
            </w:r>
          </w:p>
        </w:tc>
      </w:tr>
      <w:tr w:rsidR="00E75022" w:rsidRPr="00646DDA" w14:paraId="6DECA870" w14:textId="77777777" w:rsidTr="00E75022">
        <w:trPr>
          <w:trHeight w:val="495"/>
        </w:trPr>
        <w:tc>
          <w:tcPr>
            <w:tcW w:w="898" w:type="pct"/>
            <w:tcBorders>
              <w:top w:val="nil"/>
              <w:left w:val="single" w:sz="8" w:space="0" w:color="808080"/>
              <w:bottom w:val="single" w:sz="8" w:space="0" w:color="808080"/>
              <w:right w:val="single" w:sz="4" w:space="0" w:color="808080"/>
            </w:tcBorders>
            <w:shd w:val="clear" w:color="auto" w:fill="auto"/>
            <w:vAlign w:val="center"/>
            <w:hideMark/>
          </w:tcPr>
          <w:p w14:paraId="3B633DDD" w14:textId="77777777" w:rsidR="00E75022" w:rsidRPr="00646DDA" w:rsidRDefault="00E75022" w:rsidP="00E75022">
            <w:pPr>
              <w:spacing w:before="0" w:line="240" w:lineRule="auto"/>
              <w:rPr>
                <w:rFonts w:eastAsia="Times New Roman"/>
                <w:color w:val="000000"/>
                <w:sz w:val="16"/>
                <w:szCs w:val="16"/>
                <w:lang w:eastAsia="el-GR"/>
              </w:rPr>
            </w:pPr>
            <w:r w:rsidRPr="00646DDA">
              <w:rPr>
                <w:rFonts w:eastAsia="Times New Roman"/>
                <w:color w:val="000000"/>
                <w:sz w:val="16"/>
                <w:szCs w:val="16"/>
                <w:lang w:eastAsia="el-GR"/>
              </w:rPr>
              <w:t>Έσοδα από άδειες και διπλώματα ευρεσιτεχνίας από το εξωτερικό ως ποσοστό του ΑΕΠ</w:t>
            </w:r>
          </w:p>
        </w:tc>
        <w:tc>
          <w:tcPr>
            <w:tcW w:w="738" w:type="pct"/>
            <w:tcBorders>
              <w:top w:val="nil"/>
              <w:left w:val="nil"/>
              <w:bottom w:val="single" w:sz="8" w:space="0" w:color="808080"/>
              <w:right w:val="single" w:sz="4" w:space="0" w:color="808080"/>
            </w:tcBorders>
            <w:shd w:val="clear" w:color="auto" w:fill="auto"/>
            <w:vAlign w:val="center"/>
            <w:hideMark/>
          </w:tcPr>
          <w:p w14:paraId="69491A4E" w14:textId="77777777" w:rsidR="00E75022" w:rsidRPr="00646DDA" w:rsidRDefault="00E75022" w:rsidP="00E75022">
            <w:pPr>
              <w:spacing w:before="0" w:line="240" w:lineRule="auto"/>
              <w:rPr>
                <w:rFonts w:eastAsia="Times New Roman"/>
                <w:color w:val="000000"/>
                <w:sz w:val="16"/>
                <w:szCs w:val="16"/>
                <w:lang w:val="en-US" w:eastAsia="el-GR"/>
              </w:rPr>
            </w:pPr>
            <w:r w:rsidRPr="00646DDA">
              <w:rPr>
                <w:rFonts w:eastAsia="Times New Roman"/>
                <w:color w:val="000000"/>
                <w:sz w:val="16"/>
                <w:szCs w:val="16"/>
                <w:lang w:val="en-US" w:eastAsia="el-GR"/>
              </w:rPr>
              <w:t>License and patent revenues from abroad as % of GDP</w:t>
            </w:r>
          </w:p>
        </w:tc>
        <w:tc>
          <w:tcPr>
            <w:tcW w:w="374" w:type="pct"/>
            <w:tcBorders>
              <w:top w:val="nil"/>
              <w:left w:val="nil"/>
              <w:bottom w:val="single" w:sz="8" w:space="0" w:color="808080"/>
              <w:right w:val="single" w:sz="4" w:space="0" w:color="808080"/>
            </w:tcBorders>
            <w:shd w:val="clear" w:color="auto" w:fill="auto"/>
            <w:vAlign w:val="center"/>
            <w:hideMark/>
          </w:tcPr>
          <w:p w14:paraId="34830611" w14:textId="77777777" w:rsidR="00E75022" w:rsidRPr="00646DDA" w:rsidRDefault="00E75022" w:rsidP="00E75022">
            <w:pPr>
              <w:spacing w:before="0" w:line="240" w:lineRule="auto"/>
              <w:jc w:val="center"/>
              <w:rPr>
                <w:rFonts w:eastAsia="Times New Roman"/>
                <w:color w:val="000000"/>
                <w:sz w:val="16"/>
                <w:szCs w:val="16"/>
                <w:lang w:eastAsia="el-GR"/>
              </w:rPr>
            </w:pPr>
            <w:r w:rsidRPr="00646DDA">
              <w:rPr>
                <w:rFonts w:eastAsia="Times New Roman"/>
                <w:color w:val="000000"/>
                <w:sz w:val="16"/>
                <w:szCs w:val="16"/>
                <w:lang w:eastAsia="el-GR"/>
              </w:rPr>
              <w:t>Ποσοστό</w:t>
            </w:r>
          </w:p>
        </w:tc>
        <w:tc>
          <w:tcPr>
            <w:tcW w:w="204" w:type="pct"/>
            <w:tcBorders>
              <w:top w:val="nil"/>
              <w:left w:val="nil"/>
              <w:bottom w:val="single" w:sz="8" w:space="0" w:color="808080"/>
              <w:right w:val="single" w:sz="4" w:space="0" w:color="808080"/>
            </w:tcBorders>
            <w:shd w:val="clear" w:color="auto" w:fill="auto"/>
            <w:vAlign w:val="center"/>
            <w:hideMark/>
          </w:tcPr>
          <w:p w14:paraId="218C8AF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0,02</w:t>
            </w:r>
          </w:p>
        </w:tc>
        <w:tc>
          <w:tcPr>
            <w:tcW w:w="194" w:type="pct"/>
            <w:tcBorders>
              <w:top w:val="nil"/>
              <w:left w:val="nil"/>
              <w:bottom w:val="single" w:sz="8" w:space="0" w:color="808080"/>
              <w:right w:val="single" w:sz="4" w:space="0" w:color="808080"/>
            </w:tcBorders>
            <w:shd w:val="clear" w:color="auto" w:fill="auto"/>
            <w:vAlign w:val="center"/>
            <w:hideMark/>
          </w:tcPr>
          <w:p w14:paraId="27BB5EC6"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0,65</w:t>
            </w:r>
          </w:p>
        </w:tc>
        <w:tc>
          <w:tcPr>
            <w:tcW w:w="230" w:type="pct"/>
            <w:tcBorders>
              <w:top w:val="nil"/>
              <w:left w:val="nil"/>
              <w:bottom w:val="single" w:sz="8" w:space="0" w:color="808080"/>
              <w:right w:val="single" w:sz="8" w:space="0" w:color="808080"/>
            </w:tcBorders>
            <w:shd w:val="clear" w:color="auto" w:fill="auto"/>
            <w:vAlign w:val="center"/>
            <w:hideMark/>
          </w:tcPr>
          <w:p w14:paraId="5A2FAB3E"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3,1%</w:t>
            </w:r>
          </w:p>
        </w:tc>
        <w:tc>
          <w:tcPr>
            <w:tcW w:w="204" w:type="pct"/>
            <w:tcBorders>
              <w:top w:val="nil"/>
              <w:left w:val="nil"/>
              <w:bottom w:val="single" w:sz="8" w:space="0" w:color="808080"/>
              <w:right w:val="single" w:sz="4" w:space="0" w:color="808080"/>
            </w:tcBorders>
            <w:shd w:val="clear" w:color="auto" w:fill="auto"/>
            <w:vAlign w:val="center"/>
            <w:hideMark/>
          </w:tcPr>
          <w:p w14:paraId="71C95724"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0,05</w:t>
            </w:r>
          </w:p>
        </w:tc>
        <w:tc>
          <w:tcPr>
            <w:tcW w:w="207" w:type="pct"/>
            <w:tcBorders>
              <w:top w:val="nil"/>
              <w:left w:val="nil"/>
              <w:bottom w:val="single" w:sz="8" w:space="0" w:color="808080"/>
              <w:right w:val="single" w:sz="4" w:space="0" w:color="808080"/>
            </w:tcBorders>
            <w:shd w:val="clear" w:color="auto" w:fill="auto"/>
            <w:vAlign w:val="center"/>
            <w:hideMark/>
          </w:tcPr>
          <w:p w14:paraId="5420F65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0,54</w:t>
            </w:r>
          </w:p>
        </w:tc>
        <w:tc>
          <w:tcPr>
            <w:tcW w:w="261" w:type="pct"/>
            <w:tcBorders>
              <w:top w:val="nil"/>
              <w:left w:val="nil"/>
              <w:bottom w:val="single" w:sz="8" w:space="0" w:color="808080"/>
              <w:right w:val="single" w:sz="8" w:space="0" w:color="808080"/>
            </w:tcBorders>
            <w:shd w:val="clear" w:color="auto" w:fill="auto"/>
            <w:vAlign w:val="center"/>
            <w:hideMark/>
          </w:tcPr>
          <w:p w14:paraId="0F964D2E" w14:textId="77777777" w:rsidR="00E75022" w:rsidRPr="00646DDA" w:rsidRDefault="00E75022" w:rsidP="00E75022">
            <w:pPr>
              <w:spacing w:before="0" w:line="240" w:lineRule="auto"/>
              <w:jc w:val="center"/>
              <w:rPr>
                <w:rFonts w:eastAsia="Times New Roman"/>
                <w:b/>
                <w:bCs/>
                <w:i/>
                <w:iCs/>
                <w:color w:val="FF0000"/>
                <w:sz w:val="16"/>
                <w:szCs w:val="16"/>
                <w:lang w:eastAsia="el-GR"/>
              </w:rPr>
            </w:pPr>
            <w:r w:rsidRPr="00646DDA">
              <w:rPr>
                <w:rFonts w:eastAsia="Times New Roman"/>
                <w:b/>
                <w:bCs/>
                <w:i/>
                <w:iCs/>
                <w:color w:val="FF0000"/>
                <w:sz w:val="16"/>
                <w:szCs w:val="16"/>
                <w:lang w:eastAsia="el-GR"/>
              </w:rPr>
              <w:t>9,3%</w:t>
            </w:r>
          </w:p>
        </w:tc>
        <w:tc>
          <w:tcPr>
            <w:tcW w:w="204" w:type="pct"/>
            <w:tcBorders>
              <w:top w:val="nil"/>
              <w:left w:val="nil"/>
              <w:bottom w:val="single" w:sz="8" w:space="0" w:color="808080"/>
              <w:right w:val="single" w:sz="4" w:space="0" w:color="808080"/>
            </w:tcBorders>
            <w:shd w:val="clear" w:color="000000" w:fill="BFBFBF"/>
            <w:vAlign w:val="center"/>
            <w:hideMark/>
          </w:tcPr>
          <w:p w14:paraId="141BA9B1"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07" w:type="pct"/>
            <w:tcBorders>
              <w:top w:val="nil"/>
              <w:left w:val="nil"/>
              <w:bottom w:val="single" w:sz="8" w:space="0" w:color="808080"/>
              <w:right w:val="single" w:sz="4" w:space="0" w:color="808080"/>
            </w:tcBorders>
            <w:shd w:val="clear" w:color="000000" w:fill="BFBFBF"/>
            <w:vAlign w:val="center"/>
            <w:hideMark/>
          </w:tcPr>
          <w:p w14:paraId="0449A5D3"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61" w:type="pct"/>
            <w:tcBorders>
              <w:top w:val="nil"/>
              <w:left w:val="nil"/>
              <w:bottom w:val="single" w:sz="8" w:space="0" w:color="808080"/>
              <w:right w:val="single" w:sz="8" w:space="0" w:color="808080"/>
            </w:tcBorders>
            <w:shd w:val="clear" w:color="000000" w:fill="BFBFBF"/>
            <w:vAlign w:val="center"/>
            <w:hideMark/>
          </w:tcPr>
          <w:p w14:paraId="186B3DD0"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95" w:type="pct"/>
            <w:tcBorders>
              <w:top w:val="nil"/>
              <w:left w:val="nil"/>
              <w:bottom w:val="single" w:sz="8" w:space="0" w:color="808080"/>
              <w:right w:val="single" w:sz="4" w:space="0" w:color="808080"/>
            </w:tcBorders>
            <w:shd w:val="clear" w:color="000000" w:fill="BFBFBF"/>
            <w:vAlign w:val="center"/>
            <w:hideMark/>
          </w:tcPr>
          <w:p w14:paraId="652F03D7"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254" w:type="pct"/>
            <w:tcBorders>
              <w:top w:val="nil"/>
              <w:left w:val="nil"/>
              <w:bottom w:val="single" w:sz="8" w:space="0" w:color="808080"/>
              <w:right w:val="single" w:sz="4" w:space="0" w:color="808080"/>
            </w:tcBorders>
            <w:shd w:val="clear" w:color="000000" w:fill="BFBFBF"/>
            <w:vAlign w:val="center"/>
            <w:hideMark/>
          </w:tcPr>
          <w:p w14:paraId="57B3408C"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c>
          <w:tcPr>
            <w:tcW w:w="369" w:type="pct"/>
            <w:tcBorders>
              <w:top w:val="nil"/>
              <w:left w:val="nil"/>
              <w:bottom w:val="single" w:sz="8" w:space="0" w:color="808080"/>
              <w:right w:val="single" w:sz="8" w:space="0" w:color="808080"/>
            </w:tcBorders>
            <w:shd w:val="clear" w:color="000000" w:fill="BFBFBF"/>
            <w:vAlign w:val="center"/>
            <w:hideMark/>
          </w:tcPr>
          <w:p w14:paraId="12C014DA" w14:textId="77777777" w:rsidR="00E75022" w:rsidRPr="00646DDA" w:rsidRDefault="00E75022" w:rsidP="00E75022">
            <w:pPr>
              <w:spacing w:before="0" w:line="240" w:lineRule="auto"/>
              <w:jc w:val="center"/>
              <w:rPr>
                <w:rFonts w:eastAsia="Times New Roman"/>
                <w:b/>
                <w:bCs/>
                <w:color w:val="000000"/>
                <w:sz w:val="16"/>
                <w:szCs w:val="16"/>
                <w:lang w:eastAsia="el-GR"/>
              </w:rPr>
            </w:pPr>
            <w:r w:rsidRPr="00646DDA">
              <w:rPr>
                <w:rFonts w:eastAsia="Times New Roman"/>
                <w:b/>
                <w:bCs/>
                <w:color w:val="000000"/>
                <w:sz w:val="16"/>
                <w:szCs w:val="16"/>
                <w:lang w:eastAsia="el-GR"/>
              </w:rPr>
              <w:t> </w:t>
            </w:r>
          </w:p>
        </w:tc>
      </w:tr>
    </w:tbl>
    <w:p w14:paraId="2B06C833" w14:textId="77777777" w:rsidR="00D90118" w:rsidRDefault="00D90118" w:rsidP="00D90118">
      <w:pPr>
        <w:sectPr w:rsidR="00D90118" w:rsidSect="00E75022">
          <w:footerReference w:type="default" r:id="rId55"/>
          <w:pgSz w:w="23814" w:h="16839" w:orient="landscape" w:code="8"/>
          <w:pgMar w:top="1800" w:right="1440" w:bottom="1800" w:left="1440" w:header="708" w:footer="708" w:gutter="0"/>
          <w:cols w:space="708"/>
          <w:docGrid w:linePitch="360"/>
        </w:sectPr>
      </w:pPr>
    </w:p>
    <w:p w14:paraId="3E3B1B94" w14:textId="77777777" w:rsidR="00D90118" w:rsidRDefault="00D90118" w:rsidP="00D90118">
      <w:r w:rsidRPr="00D20A46">
        <w:lastRenderedPageBreak/>
        <w:t xml:space="preserve">Η ομάδα δεικτών του Innovation Union Scoreboard </w:t>
      </w:r>
      <w:r>
        <w:t>(</w:t>
      </w:r>
      <w:r>
        <w:rPr>
          <w:lang w:val="en-US"/>
        </w:rPr>
        <w:t>IUS</w:t>
      </w:r>
      <w:r w:rsidRPr="00796209">
        <w:t xml:space="preserve">) </w:t>
      </w:r>
      <w:r w:rsidRPr="00D20A46">
        <w:t>έχει σχεδιαστεί για την παρακολούθηση και τη συγκριτική αξιολόγηση των επιδόσεων των κρατών-μελών της ΕΕ στους τομείς της έρευνας και της καινοτομίας και χρησιμοποιείται από το Ευρωπαϊκό Συμβούλιο Ανταγωνιστικότητας</w:t>
      </w:r>
      <w:r>
        <w:t xml:space="preserve"> </w:t>
      </w:r>
      <w:r w:rsidRPr="00D920F5">
        <w:t>(</w:t>
      </w:r>
      <w:r>
        <w:rPr>
          <w:lang w:val="en-US"/>
        </w:rPr>
        <w:t>COMPET</w:t>
      </w:r>
      <w:r w:rsidRPr="00D920F5">
        <w:t>)</w:t>
      </w:r>
      <w:r w:rsidRPr="00796209">
        <w:t xml:space="preserve">. Οι δείκτες του </w:t>
      </w:r>
      <w:r>
        <w:rPr>
          <w:lang w:val="en-US"/>
        </w:rPr>
        <w:t>IUS</w:t>
      </w:r>
      <w:r w:rsidRPr="00796209">
        <w:t xml:space="preserve">, περιλαμβάνουν ένα σύμπλεγμα 25 δεικτών, οι οποίοι κατανέμονται σε 3 κύριες κατηγορίες και σε 9 "διαστάσεις της καινοτομίας". Με βάση αυτούς τους δείκτες οι χώρες-μέλη της ΕΕ χωρίζονται σε 4 ομάδες επίδοσης: Ηγέτες Καινοτομίας, Ισχυρά Καινοτόμες, Μέτρια Καινοτόμες και Ασθενώς Καινοτόμες. </w:t>
      </w:r>
      <w:r>
        <w:rPr>
          <w:lang w:val="en-US"/>
        </w:rPr>
        <w:t>H</w:t>
      </w:r>
      <w:r w:rsidRPr="00796209">
        <w:t xml:space="preserve"> </w:t>
      </w:r>
      <w:r>
        <w:t xml:space="preserve">Ελλάδα κατατάσσεται στις Μέτρια Καινοτόμες </w:t>
      </w:r>
      <w:r w:rsidRPr="00A303C0">
        <w:t>(</w:t>
      </w:r>
      <w:r>
        <w:rPr>
          <w:lang w:val="en-US"/>
        </w:rPr>
        <w:t>moderate</w:t>
      </w:r>
      <w:r w:rsidRPr="00A303C0">
        <w:t xml:space="preserve"> </w:t>
      </w:r>
      <w:r>
        <w:rPr>
          <w:lang w:val="en-US"/>
        </w:rPr>
        <w:t>innovator</w:t>
      </w:r>
      <w:r w:rsidRPr="00A303C0">
        <w:t>)</w:t>
      </w:r>
      <w:r>
        <w:t xml:space="preserve"> χώρες. </w:t>
      </w:r>
    </w:p>
    <w:p w14:paraId="7C9DC871" w14:textId="77777777" w:rsidR="00D90118" w:rsidRDefault="00D90118" w:rsidP="00D90118">
      <w:r>
        <w:t xml:space="preserve">Στον παραπάνω πίνακα, εμφανίζονται οι επιδόσεις/ τιμές των δεικτών </w:t>
      </w:r>
      <w:r>
        <w:rPr>
          <w:lang w:val="en-US"/>
        </w:rPr>
        <w:t>IUS</w:t>
      </w:r>
      <w:r>
        <w:t xml:space="preserve"> για κάθε ένα από τα έτη </w:t>
      </w:r>
      <w:r w:rsidRPr="00AF5EC5">
        <w:rPr>
          <w:b/>
        </w:rPr>
        <w:t>2014, 2015, 2016 και 2017</w:t>
      </w:r>
      <w:r>
        <w:t xml:space="preserve"> στη βάση στοιχείων που αντλήθηκαν για την Ελλάδα από τις αντίστοιχες Εκθέσεις (Α</w:t>
      </w:r>
      <w:r w:rsidRPr="0036560F">
        <w:t>nnual Eur</w:t>
      </w:r>
      <w:r>
        <w:t>opean Innovation Scoreboard</w:t>
      </w:r>
      <w:r w:rsidRPr="0036560F">
        <w:t>)</w:t>
      </w:r>
      <w:r>
        <w:t>.</w:t>
      </w:r>
    </w:p>
    <w:p w14:paraId="4C1F826C" w14:textId="77777777" w:rsidR="00D90118" w:rsidRDefault="00D90118" w:rsidP="00D90118">
      <w:r>
        <w:t xml:space="preserve">Για κάθε δείκτη πέρα από την ετήσια τιμή-επίδοση σε επίπεδο χώρας, εμφανίζεται η αντίστοιχη τιμή σε επίπεδο ενωσιακού μέσου όρου ( 28 Κράτη Μέλη) καθώς και το ποσοστό κάλυψης της τιμής του ενωσιακού μέσου όρου από την αντίστοιχη ελληνική τιμή-επίδοση. </w:t>
      </w:r>
    </w:p>
    <w:p w14:paraId="6FDB4E4F" w14:textId="77777777" w:rsidR="00D90118" w:rsidRDefault="00D90118" w:rsidP="00D90118">
      <w:r>
        <w:t xml:space="preserve">Στη βάση σύγκρισης των εθνικών τιμών-επιδόσεων των δεικτών με τις αντίστοιχες ενωσιακές, οποιαδήποτε εθνική επίδοση-τιμή δείκτη που είναι κάτω από το 80% του ενωσιακού μέσου όρου εμφανίζεται με </w:t>
      </w:r>
      <w:r w:rsidRPr="00BA17E3">
        <w:rPr>
          <w:b/>
          <w:color w:val="FF0000"/>
        </w:rPr>
        <w:t>κόκκινο χρώμα</w:t>
      </w:r>
      <w:r>
        <w:t xml:space="preserve">, ενώ όποια τιμή είναι πάνω από το 120% του ενωσιακού μέσου όρου εμφανίζεται με </w:t>
      </w:r>
      <w:r w:rsidRPr="00BA17E3">
        <w:rPr>
          <w:b/>
          <w:color w:val="538135" w:themeColor="accent6" w:themeShade="BF"/>
        </w:rPr>
        <w:t>πράσινο χρώμα</w:t>
      </w:r>
      <w:r>
        <w:t>.  Από τη σύγκριση αυτή εξάγονται τα εξής συμπεράσματα:</w:t>
      </w:r>
    </w:p>
    <w:p w14:paraId="4B582E2D" w14:textId="77777777" w:rsidR="00D90118" w:rsidRDefault="00D90118" w:rsidP="00D90118">
      <w:r>
        <w:t xml:space="preserve">Α) </w:t>
      </w:r>
      <w:r>
        <w:rPr>
          <w:u w:val="single"/>
        </w:rPr>
        <w:t>Τι</w:t>
      </w:r>
      <w:r w:rsidR="005D07E8">
        <w:rPr>
          <w:u w:val="single"/>
        </w:rPr>
        <w:t>ς</w:t>
      </w:r>
      <w:r>
        <w:rPr>
          <w:u w:val="single"/>
        </w:rPr>
        <w:t xml:space="preserve"> πλέον χαμηλές</w:t>
      </w:r>
      <w:r w:rsidRPr="00AB63F9">
        <w:rPr>
          <w:u w:val="single"/>
        </w:rPr>
        <w:t xml:space="preserve"> επιδόσεις σε σχέση με τον ενωσιακό μέσο όρο</w:t>
      </w:r>
      <w:r>
        <w:t xml:space="preserve"> (Ε</w:t>
      </w:r>
      <w:r>
        <w:rPr>
          <w:lang w:val="en-US"/>
        </w:rPr>
        <w:t>U</w:t>
      </w:r>
      <w:r>
        <w:t>-28) παρουσιάζει η χώρα στους εξής δείκτες, για την περίοδο αναφοράς:</w:t>
      </w:r>
    </w:p>
    <w:p w14:paraId="10F04965" w14:textId="77777777" w:rsidR="00D90118" w:rsidRDefault="00D90118" w:rsidP="00D90118"/>
    <w:tbl>
      <w:tblPr>
        <w:tblStyle w:val="TableGridLight1"/>
        <w:tblW w:w="9493" w:type="dxa"/>
        <w:tblLook w:val="04A0" w:firstRow="1" w:lastRow="0" w:firstColumn="1" w:lastColumn="0" w:noHBand="0" w:noVBand="1"/>
      </w:tblPr>
      <w:tblGrid>
        <w:gridCol w:w="2830"/>
        <w:gridCol w:w="6663"/>
      </w:tblGrid>
      <w:tr w:rsidR="00804D5C" w:rsidRPr="00804D5C" w14:paraId="467035A3" w14:textId="77777777" w:rsidTr="008E6EE8">
        <w:trPr>
          <w:tblHeader/>
        </w:trPr>
        <w:tc>
          <w:tcPr>
            <w:tcW w:w="2830" w:type="dxa"/>
            <w:shd w:val="clear" w:color="auto" w:fill="E7E6E6" w:themeFill="background2"/>
          </w:tcPr>
          <w:p w14:paraId="6D3C6162" w14:textId="77777777" w:rsidR="00D90118" w:rsidRPr="00804D5C" w:rsidRDefault="00D90118" w:rsidP="00D21C6A">
            <w:pPr>
              <w:rPr>
                <w:b/>
                <w:color w:val="800000"/>
                <w:lang w:val="en-US"/>
              </w:rPr>
            </w:pPr>
            <w:r w:rsidRPr="00804D5C">
              <w:rPr>
                <w:b/>
                <w:color w:val="800000"/>
              </w:rPr>
              <w:t xml:space="preserve">Δείκτης </w:t>
            </w:r>
            <w:r w:rsidRPr="00804D5C">
              <w:rPr>
                <w:b/>
                <w:color w:val="800000"/>
                <w:lang w:val="en-US"/>
              </w:rPr>
              <w:t>IUS</w:t>
            </w:r>
          </w:p>
        </w:tc>
        <w:tc>
          <w:tcPr>
            <w:tcW w:w="6663" w:type="dxa"/>
            <w:shd w:val="clear" w:color="auto" w:fill="E7E6E6" w:themeFill="background2"/>
          </w:tcPr>
          <w:p w14:paraId="4070E78F" w14:textId="77777777" w:rsidR="00D90118" w:rsidRPr="00804D5C" w:rsidRDefault="00D90118" w:rsidP="00D21C6A">
            <w:pPr>
              <w:rPr>
                <w:b/>
                <w:color w:val="800000"/>
              </w:rPr>
            </w:pPr>
            <w:r w:rsidRPr="00804D5C">
              <w:rPr>
                <w:b/>
                <w:color w:val="800000"/>
              </w:rPr>
              <w:t xml:space="preserve">Σχόλιο επίδοσης </w:t>
            </w:r>
          </w:p>
        </w:tc>
      </w:tr>
      <w:tr w:rsidR="00D90118" w14:paraId="2FDDF140" w14:textId="77777777" w:rsidTr="008E6EE8">
        <w:tc>
          <w:tcPr>
            <w:tcW w:w="2830" w:type="dxa"/>
          </w:tcPr>
          <w:p w14:paraId="59C67C24" w14:textId="77777777" w:rsidR="00D90118" w:rsidRPr="00EC21A5" w:rsidRDefault="00D90118" w:rsidP="00D21C6A">
            <w:pPr>
              <w:jc w:val="left"/>
              <w:rPr>
                <w:i/>
                <w:sz w:val="16"/>
                <w:szCs w:val="16"/>
              </w:rPr>
            </w:pPr>
            <w:r w:rsidRPr="00781530">
              <w:rPr>
                <w:i/>
                <w:sz w:val="16"/>
                <w:szCs w:val="16"/>
              </w:rPr>
              <w:t>Επιχειρηματικά κεφάλαια (πρώιμο στάδιο, επέκτασης και αντικατάστασης) ως ποσοστό του ΑΕΠ</w:t>
            </w:r>
          </w:p>
        </w:tc>
        <w:tc>
          <w:tcPr>
            <w:tcW w:w="6663" w:type="dxa"/>
          </w:tcPr>
          <w:p w14:paraId="2E954752" w14:textId="77777777" w:rsidR="00D90118" w:rsidRDefault="00D90118" w:rsidP="00D21C6A">
            <w:r>
              <w:t>Παρουσιάζει εξαιρετικά χαμηλό ποσοστό κάλυψης σε σχέση με τον ενωσιακό Μ.Ο που δεν ξεπερνά το 1,6% στα έτη της περιόδου αναφοράς.</w:t>
            </w:r>
          </w:p>
        </w:tc>
      </w:tr>
      <w:tr w:rsidR="00D90118" w14:paraId="5612A3D7" w14:textId="77777777" w:rsidTr="008E6EE8">
        <w:tc>
          <w:tcPr>
            <w:tcW w:w="2830" w:type="dxa"/>
          </w:tcPr>
          <w:p w14:paraId="707D03A2" w14:textId="77777777" w:rsidR="00D90118" w:rsidRPr="00EC21A5" w:rsidRDefault="00D90118" w:rsidP="00D21C6A">
            <w:pPr>
              <w:jc w:val="left"/>
              <w:rPr>
                <w:i/>
                <w:sz w:val="16"/>
                <w:szCs w:val="16"/>
              </w:rPr>
            </w:pPr>
            <w:r w:rsidRPr="00EC21A5">
              <w:rPr>
                <w:i/>
                <w:sz w:val="16"/>
                <w:szCs w:val="16"/>
              </w:rPr>
              <w:t>Διδακτορικού επιπέδου φοιτητές από χώρες εκτός ΕΕ ως % του συνόλου των φοιτητών διδακτορικού διπλώματος</w:t>
            </w:r>
          </w:p>
        </w:tc>
        <w:tc>
          <w:tcPr>
            <w:tcW w:w="6663" w:type="dxa"/>
          </w:tcPr>
          <w:p w14:paraId="07014076" w14:textId="77777777" w:rsidR="00D90118" w:rsidRDefault="00D90118" w:rsidP="00D21C6A">
            <w:r>
              <w:t>Διαθέσιμα στοιχεία για το δείκτη έχει να επιδείξει η χώρα μόνο για το 2014, όπου η επίδοση είναι επίσης εξαιρετικά χαμηλή έναντι του ενωσιακού Μ.Ο. (4%)</w:t>
            </w:r>
          </w:p>
        </w:tc>
      </w:tr>
      <w:tr w:rsidR="00D90118" w14:paraId="43DD6B60" w14:textId="77777777" w:rsidTr="008E6EE8">
        <w:tc>
          <w:tcPr>
            <w:tcW w:w="2830" w:type="dxa"/>
          </w:tcPr>
          <w:p w14:paraId="2424590E" w14:textId="77777777" w:rsidR="00D90118" w:rsidRPr="00EC21A5" w:rsidRDefault="00D90118" w:rsidP="00D21C6A">
            <w:pPr>
              <w:jc w:val="left"/>
              <w:rPr>
                <w:i/>
                <w:sz w:val="16"/>
                <w:szCs w:val="16"/>
              </w:rPr>
            </w:pPr>
            <w:r w:rsidRPr="00E547C0">
              <w:rPr>
                <w:i/>
                <w:sz w:val="16"/>
                <w:szCs w:val="16"/>
              </w:rPr>
              <w:t>Έσοδα από άδειες και διπλώματα ευρεσιτεχνίας από το εξωτερικό ως ποσοστό του ΑΕΠ</w:t>
            </w:r>
          </w:p>
        </w:tc>
        <w:tc>
          <w:tcPr>
            <w:tcW w:w="6663" w:type="dxa"/>
          </w:tcPr>
          <w:p w14:paraId="217941C8" w14:textId="77777777" w:rsidR="00D90118" w:rsidRPr="00E547C0" w:rsidRDefault="00D90118" w:rsidP="00D21C6A">
            <w:r>
              <w:t>Το ποσοστό κάλυψης του ενωσιακού μέσου όρου είναι πολύ χαμηλό. Μόλις  3,1% για το 2014 και 9,3% για το 2015.</w:t>
            </w:r>
          </w:p>
        </w:tc>
      </w:tr>
      <w:tr w:rsidR="00D90118" w14:paraId="4CE365EE" w14:textId="77777777" w:rsidTr="008E6EE8">
        <w:tc>
          <w:tcPr>
            <w:tcW w:w="2830" w:type="dxa"/>
          </w:tcPr>
          <w:p w14:paraId="206D13EC" w14:textId="77777777" w:rsidR="00D90118" w:rsidRPr="00EC21A5" w:rsidRDefault="00D90118" w:rsidP="00D21C6A">
            <w:pPr>
              <w:jc w:val="left"/>
              <w:rPr>
                <w:i/>
                <w:sz w:val="16"/>
                <w:szCs w:val="16"/>
              </w:rPr>
            </w:pPr>
            <w:r w:rsidRPr="00EC21A5">
              <w:rPr>
                <w:i/>
                <w:sz w:val="16"/>
                <w:szCs w:val="16"/>
              </w:rPr>
              <w:t>Αιτήσεις ευρεσιτεχνίας PCT ανά δισεκατομμύριο ΑΕγχΠ (σε ΜΑΔ €)</w:t>
            </w:r>
          </w:p>
        </w:tc>
        <w:tc>
          <w:tcPr>
            <w:tcW w:w="6663" w:type="dxa"/>
          </w:tcPr>
          <w:p w14:paraId="13A21A9B" w14:textId="77777777" w:rsidR="00D90118" w:rsidRPr="00AB63F9" w:rsidRDefault="00D90118" w:rsidP="00D21C6A">
            <w:r>
              <w:t>Το ποσοστό κάλυψης σχέση με τον ενωσιακό Μ.Ο.</w:t>
            </w:r>
            <w:r w:rsidRPr="00AB63F9">
              <w:t xml:space="preserve"> </w:t>
            </w:r>
            <w:r>
              <w:t>κυμαίνεται από 9,3% το 2014 έως 13,9% το 2017. Η τιμή του δείκτη παρουσιάζει αυξητικές στάσεις υπολείπεται ωστόσο κατά πολύ του ενωσιακού Μ.Ο.</w:t>
            </w:r>
          </w:p>
        </w:tc>
      </w:tr>
      <w:tr w:rsidR="00D90118" w14:paraId="668FD327" w14:textId="77777777" w:rsidTr="008E6EE8">
        <w:tc>
          <w:tcPr>
            <w:tcW w:w="2830" w:type="dxa"/>
          </w:tcPr>
          <w:p w14:paraId="4ACA2916" w14:textId="77777777" w:rsidR="00D90118" w:rsidRPr="00EC21A5" w:rsidRDefault="00D90118" w:rsidP="00D21C6A">
            <w:pPr>
              <w:jc w:val="left"/>
              <w:rPr>
                <w:i/>
              </w:rPr>
            </w:pPr>
            <w:r w:rsidRPr="00EC21A5">
              <w:rPr>
                <w:i/>
                <w:sz w:val="16"/>
                <w:szCs w:val="16"/>
              </w:rPr>
              <w:t>Κοινοτικά σχέδια ανά δισεκατομμύριο ΑΕγχΠ (σε ΜΑΔ €)</w:t>
            </w:r>
          </w:p>
        </w:tc>
        <w:tc>
          <w:tcPr>
            <w:tcW w:w="6663" w:type="dxa"/>
          </w:tcPr>
          <w:p w14:paraId="489711B9" w14:textId="77777777" w:rsidR="00D90118" w:rsidRDefault="00D90118" w:rsidP="00D21C6A">
            <w:r>
              <w:t>Το ποσοστό κάλυψης σχέση με τον ενωσιακό Μ.Ο.</w:t>
            </w:r>
            <w:r w:rsidRPr="00AB63F9">
              <w:t xml:space="preserve"> </w:t>
            </w:r>
            <w:r>
              <w:t>κυμαίνεται από 21,2% το 2014 έως 30% το 2016, που συνιστά μια αρκετά μέτρια επίδοση.</w:t>
            </w:r>
          </w:p>
        </w:tc>
      </w:tr>
      <w:tr w:rsidR="00D90118" w14:paraId="47ED3F8A" w14:textId="77777777" w:rsidTr="008E6EE8">
        <w:tc>
          <w:tcPr>
            <w:tcW w:w="2830" w:type="dxa"/>
          </w:tcPr>
          <w:p w14:paraId="36A45D0E" w14:textId="77777777" w:rsidR="00D90118" w:rsidRPr="00EC21A5" w:rsidRDefault="00D90118" w:rsidP="00D21C6A">
            <w:pPr>
              <w:jc w:val="left"/>
              <w:rPr>
                <w:i/>
                <w:sz w:val="16"/>
                <w:szCs w:val="16"/>
              </w:rPr>
            </w:pPr>
            <w:r w:rsidRPr="006D3637">
              <w:rPr>
                <w:i/>
                <w:sz w:val="16"/>
                <w:szCs w:val="16"/>
              </w:rPr>
              <w:t>Δαπάνες για Ε&amp;Α στον τομέα των επιχειρήσεων ως ποσοστό του ΑΕΠ</w:t>
            </w:r>
          </w:p>
        </w:tc>
        <w:tc>
          <w:tcPr>
            <w:tcW w:w="6663" w:type="dxa"/>
          </w:tcPr>
          <w:p w14:paraId="5A92AC6A" w14:textId="77777777" w:rsidR="00D90118" w:rsidRDefault="00D90118" w:rsidP="00D21C6A">
            <w:r>
              <w:t>Το ποσοστό κάλυψης σχέση με τον ενωσιακό Μ.Ο.</w:t>
            </w:r>
            <w:r w:rsidRPr="00AB63F9">
              <w:t xml:space="preserve"> </w:t>
            </w:r>
            <w:r>
              <w:t>κυμαίνεται από 20,9% το 2014 έως 32,6% το 2017, Πρόκειται για μια αρκετά μέτρια επίδοση που ωστόσο παρουσιάζει τάσεις βελτίωσης.</w:t>
            </w:r>
          </w:p>
        </w:tc>
      </w:tr>
      <w:tr w:rsidR="00D90118" w14:paraId="6BCDF0E0" w14:textId="77777777" w:rsidTr="008E6EE8">
        <w:tc>
          <w:tcPr>
            <w:tcW w:w="2830" w:type="dxa"/>
          </w:tcPr>
          <w:p w14:paraId="73AB7396" w14:textId="77777777" w:rsidR="00D90118" w:rsidRPr="00EC21A5" w:rsidRDefault="00D90118" w:rsidP="00D21C6A">
            <w:pPr>
              <w:jc w:val="left"/>
              <w:rPr>
                <w:i/>
                <w:sz w:val="16"/>
                <w:szCs w:val="16"/>
              </w:rPr>
            </w:pPr>
            <w:r w:rsidRPr="006D3637">
              <w:rPr>
                <w:i/>
                <w:sz w:val="16"/>
                <w:szCs w:val="16"/>
              </w:rPr>
              <w:t>Δημόσιες-ιδιωτικές συν-δημοσιεύσεις ανά εκατομμύριο πληθυσμού</w:t>
            </w:r>
          </w:p>
        </w:tc>
        <w:tc>
          <w:tcPr>
            <w:tcW w:w="6663" w:type="dxa"/>
          </w:tcPr>
          <w:p w14:paraId="137E3542" w14:textId="77777777" w:rsidR="00D90118" w:rsidRDefault="00D90118" w:rsidP="00D21C6A">
            <w:r>
              <w:t>Η απόσταση από τον ενωσιακό Μ.Ο. αυξάνεται από 2014 (32,8% ποσοστό κάλυψης) έως το 2017 (25,7%)</w:t>
            </w:r>
          </w:p>
        </w:tc>
      </w:tr>
      <w:tr w:rsidR="00D90118" w14:paraId="4D1737F8" w14:textId="77777777" w:rsidTr="008E6EE8">
        <w:tc>
          <w:tcPr>
            <w:tcW w:w="2830" w:type="dxa"/>
          </w:tcPr>
          <w:p w14:paraId="569EC1A7" w14:textId="77777777" w:rsidR="00D90118" w:rsidRPr="00EC21A5" w:rsidRDefault="00D90118" w:rsidP="00D21C6A">
            <w:pPr>
              <w:jc w:val="left"/>
              <w:rPr>
                <w:i/>
              </w:rPr>
            </w:pPr>
            <w:r w:rsidRPr="00EC21A5">
              <w:rPr>
                <w:i/>
                <w:sz w:val="16"/>
                <w:szCs w:val="16"/>
              </w:rPr>
              <w:t>Συμβολή των εξαγωγών προϊόντων μέσης και υψηλής τεχνολογίας στο εμπορικό ισοζύγιο</w:t>
            </w:r>
          </w:p>
        </w:tc>
        <w:tc>
          <w:tcPr>
            <w:tcW w:w="6663" w:type="dxa"/>
          </w:tcPr>
          <w:p w14:paraId="2377FC4F" w14:textId="77777777" w:rsidR="00D90118" w:rsidRDefault="00D90118" w:rsidP="00D21C6A">
            <w:r>
              <w:t>Το ποσοστό κάλυψης κυμαίνεται από 34% (2014) έως 40,5% (2015). Τα έτη 2016 και 2017 ο δείκτης παρουσιάζει μια ελαφριά επιπλέον απόκλιση σε σχέση με τον ενωσιακό Μ.Ο.</w:t>
            </w:r>
          </w:p>
        </w:tc>
      </w:tr>
      <w:tr w:rsidR="00D90118" w14:paraId="137C1DEE" w14:textId="77777777" w:rsidTr="008E6EE8">
        <w:tc>
          <w:tcPr>
            <w:tcW w:w="2830" w:type="dxa"/>
          </w:tcPr>
          <w:p w14:paraId="0ECAF3B2" w14:textId="77777777" w:rsidR="00D90118" w:rsidRDefault="00D90118" w:rsidP="00D21C6A">
            <w:pPr>
              <w:jc w:val="left"/>
            </w:pPr>
            <w:r w:rsidRPr="00A037E3">
              <w:rPr>
                <w:i/>
                <w:sz w:val="16"/>
                <w:szCs w:val="16"/>
              </w:rPr>
              <w:lastRenderedPageBreak/>
              <w:t>Κοινοτικά σήματα ανά δισεκατομμύριο ΑΕγχΠ (σε ΜΑΔ €)</w:t>
            </w:r>
          </w:p>
        </w:tc>
        <w:tc>
          <w:tcPr>
            <w:tcW w:w="6663" w:type="dxa"/>
          </w:tcPr>
          <w:p w14:paraId="1AF3BBE6" w14:textId="77777777" w:rsidR="00D90118" w:rsidRDefault="00D90118" w:rsidP="00D21C6A">
            <w:r>
              <w:t>Η τιμή του δείκτη παρουσιάζει μέτρια επίδοση σε σχέση με τον ενωσιακό Μ.Ο, αλλά και σταδιακή βελτίωση εφόσον το 2017 το ποσοστό κάλυψης φθάνει το 62,6% σε σχέση με το αντίστοιχο ποσοστό του 2014 (46,8%).</w:t>
            </w:r>
          </w:p>
        </w:tc>
      </w:tr>
      <w:tr w:rsidR="00D90118" w14:paraId="2C08484D" w14:textId="77777777" w:rsidTr="008E6EE8">
        <w:tc>
          <w:tcPr>
            <w:tcW w:w="2830" w:type="dxa"/>
          </w:tcPr>
          <w:p w14:paraId="1B94EFDB" w14:textId="77777777" w:rsidR="00D90118" w:rsidRPr="009C5671" w:rsidRDefault="00D90118" w:rsidP="00D21C6A">
            <w:pPr>
              <w:rPr>
                <w:i/>
              </w:rPr>
            </w:pPr>
            <w:r w:rsidRPr="009C5671">
              <w:rPr>
                <w:i/>
              </w:rPr>
              <w:t>Επιχειρήσεις που παρέχουν εκπαίδευση αναβάθμισης ικανοτήτων ΤΠΕ στο προσωπικό τους</w:t>
            </w:r>
          </w:p>
        </w:tc>
        <w:tc>
          <w:tcPr>
            <w:tcW w:w="6663" w:type="dxa"/>
          </w:tcPr>
          <w:p w14:paraId="3BC26778" w14:textId="77777777" w:rsidR="00D90118" w:rsidRPr="006B77ED" w:rsidRDefault="00D90118" w:rsidP="00D21C6A">
            <w:r>
              <w:t xml:space="preserve">Ο δείκτης ενσωματώθηκε στο </w:t>
            </w:r>
            <w:r>
              <w:rPr>
                <w:lang w:val="en-US"/>
              </w:rPr>
              <w:t>IUS</w:t>
            </w:r>
            <w:r w:rsidRPr="006B77ED">
              <w:t xml:space="preserve"> </w:t>
            </w:r>
            <w:r>
              <w:t>μετά το 2016. Το ποσοστό κάλυψης του ενωσιακού Μ.Ο ανέρχεται περίπου στο 68% για το 2016 και 57% για το 2017.</w:t>
            </w:r>
          </w:p>
        </w:tc>
      </w:tr>
      <w:tr w:rsidR="00D90118" w14:paraId="4E771B0F" w14:textId="77777777" w:rsidTr="008E6EE8">
        <w:tc>
          <w:tcPr>
            <w:tcW w:w="2830" w:type="dxa"/>
          </w:tcPr>
          <w:p w14:paraId="54CA866A" w14:textId="77777777" w:rsidR="00D90118" w:rsidRPr="00781530" w:rsidRDefault="00D90118" w:rsidP="00D21C6A">
            <w:pPr>
              <w:rPr>
                <w:i/>
              </w:rPr>
            </w:pPr>
            <w:r>
              <w:rPr>
                <w:i/>
              </w:rPr>
              <w:t>Δαπάνες Ε&amp;Α στο δημόσιο τομέα ως ποσοστό του ΑΕΠ</w:t>
            </w:r>
          </w:p>
        </w:tc>
        <w:tc>
          <w:tcPr>
            <w:tcW w:w="6663" w:type="dxa"/>
          </w:tcPr>
          <w:p w14:paraId="7893858B" w14:textId="77777777" w:rsidR="00D90118" w:rsidRDefault="00D90118" w:rsidP="00D21C6A">
            <w:r>
              <w:t>Το ποσοστό κάλυψης του δείκτη έναντι του ενωσιακού Μ.Ο παρουσιάζει διακυμάνσεις με μέγιστη τιμή το 88,7% (2017) και ελάχιστη το 69,4% (2014)</w:t>
            </w:r>
          </w:p>
        </w:tc>
      </w:tr>
      <w:tr w:rsidR="00D90118" w14:paraId="046FBD33" w14:textId="77777777" w:rsidTr="008E6EE8">
        <w:tc>
          <w:tcPr>
            <w:tcW w:w="2830" w:type="dxa"/>
          </w:tcPr>
          <w:p w14:paraId="4A55E823" w14:textId="77777777" w:rsidR="00D90118" w:rsidRDefault="00D90118" w:rsidP="00D21C6A">
            <w:r w:rsidRPr="00781530">
              <w:rPr>
                <w:i/>
              </w:rPr>
              <w:t>Εξαγωγές υπηρεσιών έντασης γνώσης, ως ποσοστό των συνολικών εξαγωγών υπηρεσιών</w:t>
            </w:r>
          </w:p>
        </w:tc>
        <w:tc>
          <w:tcPr>
            <w:tcW w:w="6663" w:type="dxa"/>
          </w:tcPr>
          <w:p w14:paraId="5CB770D0" w14:textId="77777777" w:rsidR="00D90118" w:rsidRDefault="00D90118" w:rsidP="00D21C6A">
            <w:r>
              <w:t xml:space="preserve">Η επίδοση του δείκτη παρουσιάζει σημαντική σταδιακή μείωση: από το 109%  ως ποσοστό κάλυψης του ενωσιακού Μ.Ο το 2014, στο 61% το 2017. </w:t>
            </w:r>
          </w:p>
        </w:tc>
      </w:tr>
    </w:tbl>
    <w:p w14:paraId="4DB9F4A4" w14:textId="77777777" w:rsidR="00D90118" w:rsidRDefault="00D90118" w:rsidP="00D90118"/>
    <w:p w14:paraId="71EB0A5F" w14:textId="77777777" w:rsidR="00D90118" w:rsidRDefault="00D90118" w:rsidP="00D90118">
      <w:r>
        <w:t xml:space="preserve">Β) </w:t>
      </w:r>
      <w:r>
        <w:rPr>
          <w:u w:val="single"/>
        </w:rPr>
        <w:t xml:space="preserve">Τις πλέον υψηλές </w:t>
      </w:r>
      <w:r w:rsidRPr="00AB63F9">
        <w:rPr>
          <w:u w:val="single"/>
        </w:rPr>
        <w:t xml:space="preserve"> επιδόσεις σε σχέση με τον ενωσιακό μέσο όρο</w:t>
      </w:r>
      <w:r>
        <w:t xml:space="preserve"> (Ε</w:t>
      </w:r>
      <w:r>
        <w:rPr>
          <w:lang w:val="en-US"/>
        </w:rPr>
        <w:t>U</w:t>
      </w:r>
      <w:r>
        <w:t>-28) παρουσιάζει η χώρα στους εξής δείκτες, για την περίοδο αναφοράς:</w:t>
      </w:r>
    </w:p>
    <w:p w14:paraId="60F9D3B3" w14:textId="77777777" w:rsidR="00D90118" w:rsidRDefault="00D90118" w:rsidP="00D90118"/>
    <w:tbl>
      <w:tblPr>
        <w:tblStyle w:val="TableGridLight1"/>
        <w:tblW w:w="9493" w:type="dxa"/>
        <w:tblLook w:val="04A0" w:firstRow="1" w:lastRow="0" w:firstColumn="1" w:lastColumn="0" w:noHBand="0" w:noVBand="1"/>
      </w:tblPr>
      <w:tblGrid>
        <w:gridCol w:w="2830"/>
        <w:gridCol w:w="6663"/>
      </w:tblGrid>
      <w:tr w:rsidR="00D90118" w14:paraId="31107F85" w14:textId="77777777" w:rsidTr="008E6EE8">
        <w:trPr>
          <w:tblHeader/>
        </w:trPr>
        <w:tc>
          <w:tcPr>
            <w:tcW w:w="2830" w:type="dxa"/>
            <w:shd w:val="clear" w:color="auto" w:fill="E7E6E6" w:themeFill="background2"/>
          </w:tcPr>
          <w:p w14:paraId="6B3B5729" w14:textId="77777777" w:rsidR="00D90118" w:rsidRPr="00CA2D52" w:rsidRDefault="00D90118" w:rsidP="00D21C6A">
            <w:pPr>
              <w:rPr>
                <w:b/>
                <w:color w:val="538135" w:themeColor="accent6" w:themeShade="BF"/>
                <w:lang w:val="en-US"/>
              </w:rPr>
            </w:pPr>
            <w:r w:rsidRPr="00CA2D52">
              <w:rPr>
                <w:b/>
                <w:color w:val="538135" w:themeColor="accent6" w:themeShade="BF"/>
              </w:rPr>
              <w:t xml:space="preserve">Δείκτης </w:t>
            </w:r>
            <w:r w:rsidRPr="00CA2D52">
              <w:rPr>
                <w:b/>
                <w:color w:val="538135" w:themeColor="accent6" w:themeShade="BF"/>
                <w:lang w:val="en-US"/>
              </w:rPr>
              <w:t>IUS</w:t>
            </w:r>
          </w:p>
        </w:tc>
        <w:tc>
          <w:tcPr>
            <w:tcW w:w="6663" w:type="dxa"/>
            <w:shd w:val="clear" w:color="auto" w:fill="E7E6E6" w:themeFill="background2"/>
          </w:tcPr>
          <w:p w14:paraId="5E8BB7A1" w14:textId="77777777" w:rsidR="00D90118" w:rsidRPr="00CA2D52" w:rsidRDefault="00D90118" w:rsidP="00D21C6A">
            <w:pPr>
              <w:rPr>
                <w:b/>
                <w:color w:val="538135" w:themeColor="accent6" w:themeShade="BF"/>
              </w:rPr>
            </w:pPr>
            <w:r w:rsidRPr="00CA2D52">
              <w:rPr>
                <w:b/>
                <w:color w:val="538135" w:themeColor="accent6" w:themeShade="BF"/>
              </w:rPr>
              <w:t xml:space="preserve">Σχόλιο επίδοσης </w:t>
            </w:r>
          </w:p>
        </w:tc>
      </w:tr>
      <w:tr w:rsidR="00D90118" w14:paraId="0BEFC1D2" w14:textId="77777777" w:rsidTr="008E6EE8">
        <w:tc>
          <w:tcPr>
            <w:tcW w:w="2830" w:type="dxa"/>
          </w:tcPr>
          <w:p w14:paraId="60F8D799" w14:textId="77777777" w:rsidR="00D90118" w:rsidRPr="00EC21A5" w:rsidRDefault="00D90118" w:rsidP="00D21C6A">
            <w:pPr>
              <w:jc w:val="left"/>
              <w:rPr>
                <w:i/>
                <w:sz w:val="16"/>
                <w:szCs w:val="16"/>
              </w:rPr>
            </w:pPr>
            <w:r w:rsidRPr="00BA2420">
              <w:rPr>
                <w:i/>
                <w:sz w:val="16"/>
                <w:szCs w:val="16"/>
              </w:rPr>
              <w:t>Διεθνείς επιστημονικές συν-δημοσιεύσεις ανά εκατομμύριο πληθυσμού</w:t>
            </w:r>
          </w:p>
        </w:tc>
        <w:tc>
          <w:tcPr>
            <w:tcW w:w="6663" w:type="dxa"/>
          </w:tcPr>
          <w:p w14:paraId="4573F0F5" w14:textId="77777777" w:rsidR="00D90118" w:rsidRDefault="00D90118" w:rsidP="00D21C6A">
            <w:r>
              <w:t>Το 2014 η τιμή του δείκτη παρουσίασε εξαιρετική επίδοση σε σχέση με τον ενωσιακό Μ.Ο. (170,8%). Τα επόμενα έτη ωστόσο η επίδοση αυτή μειώνεται και φθάνει περίπου στο 120%.</w:t>
            </w:r>
          </w:p>
        </w:tc>
      </w:tr>
      <w:tr w:rsidR="00D90118" w14:paraId="1D6CD275" w14:textId="77777777" w:rsidTr="008E6EE8">
        <w:tc>
          <w:tcPr>
            <w:tcW w:w="2830" w:type="dxa"/>
          </w:tcPr>
          <w:p w14:paraId="07EB4E77" w14:textId="77777777" w:rsidR="00D90118" w:rsidRPr="00EC21A5" w:rsidRDefault="00D90118" w:rsidP="00D21C6A">
            <w:pPr>
              <w:jc w:val="left"/>
              <w:rPr>
                <w:i/>
                <w:sz w:val="16"/>
                <w:szCs w:val="16"/>
              </w:rPr>
            </w:pPr>
            <w:r w:rsidRPr="00AD5B23">
              <w:rPr>
                <w:i/>
                <w:sz w:val="16"/>
                <w:szCs w:val="16"/>
              </w:rPr>
              <w:t>Καινοτόμες ΜΜΕ που συνεργάζονται με άλλες ως ποσοστό των ΜΜΕ</w:t>
            </w:r>
          </w:p>
        </w:tc>
        <w:tc>
          <w:tcPr>
            <w:tcW w:w="6663" w:type="dxa"/>
          </w:tcPr>
          <w:p w14:paraId="692DCF0B" w14:textId="77777777" w:rsidR="00D90118" w:rsidRDefault="00D90118" w:rsidP="00D21C6A">
            <w:r>
              <w:t>Η επίδοση της τιμής του δείκτη έναντι του ενωσιακού Μ.Ο είναι 120% για τα έτη 2014 και 2015 και 132,1% για τα έτη 2016 και 2017.</w:t>
            </w:r>
          </w:p>
        </w:tc>
      </w:tr>
      <w:tr w:rsidR="00D90118" w14:paraId="33321F6C" w14:textId="77777777" w:rsidTr="008E6EE8">
        <w:tc>
          <w:tcPr>
            <w:tcW w:w="2830" w:type="dxa"/>
          </w:tcPr>
          <w:p w14:paraId="72D296D6" w14:textId="77777777" w:rsidR="00D90118" w:rsidRPr="00EC21A5" w:rsidRDefault="00D90118" w:rsidP="00D21C6A">
            <w:pPr>
              <w:jc w:val="left"/>
              <w:rPr>
                <w:i/>
                <w:sz w:val="16"/>
                <w:szCs w:val="16"/>
              </w:rPr>
            </w:pPr>
            <w:r w:rsidRPr="00AD5B23">
              <w:rPr>
                <w:i/>
                <w:sz w:val="16"/>
                <w:szCs w:val="16"/>
              </w:rPr>
              <w:t>Δαπάνες των επιχειρήσεων για καινοτομία, εξαιρουμένων των δαπανών Ε&amp;Α, ως ποσοστό του κύκλου εργασιών</w:t>
            </w:r>
          </w:p>
        </w:tc>
        <w:tc>
          <w:tcPr>
            <w:tcW w:w="6663" w:type="dxa"/>
          </w:tcPr>
          <w:p w14:paraId="13F182C3" w14:textId="77777777" w:rsidR="00D90118" w:rsidRPr="00E547C0" w:rsidRDefault="00D90118" w:rsidP="00D21C6A">
            <w:r>
              <w:t>Η επίδοση της τιμής του δείκτη έναντι του ενωσιακού Μ.Ο είναι 126,1% για τα έτη 2014 και 2015, ωστόσο η επίδοση αυτή πέφτει στο 100% τα έτη 2016 και 2017.</w:t>
            </w:r>
          </w:p>
        </w:tc>
      </w:tr>
      <w:tr w:rsidR="00D90118" w14:paraId="356D7087" w14:textId="77777777" w:rsidTr="008E6EE8">
        <w:tc>
          <w:tcPr>
            <w:tcW w:w="2830" w:type="dxa"/>
          </w:tcPr>
          <w:p w14:paraId="24EC4EFF" w14:textId="77777777" w:rsidR="00D90118" w:rsidRPr="00EC21A5" w:rsidRDefault="00D90118" w:rsidP="00D21C6A">
            <w:pPr>
              <w:jc w:val="left"/>
              <w:rPr>
                <w:i/>
                <w:sz w:val="16"/>
                <w:szCs w:val="16"/>
              </w:rPr>
            </w:pPr>
            <w:r w:rsidRPr="00A849BF">
              <w:rPr>
                <w:i/>
                <w:sz w:val="16"/>
                <w:szCs w:val="16"/>
              </w:rPr>
              <w:t>ΜΜΕ που εισάγουν καινοτομίες μάρκετινγκ ή οργανωτικές καινοτομίες ως ποσοστό των ΜΜΕ</w:t>
            </w:r>
          </w:p>
        </w:tc>
        <w:tc>
          <w:tcPr>
            <w:tcW w:w="6663" w:type="dxa"/>
          </w:tcPr>
          <w:p w14:paraId="189F6189" w14:textId="77777777" w:rsidR="00D90118" w:rsidRPr="00AB63F9" w:rsidRDefault="00D90118" w:rsidP="00D21C6A">
            <w:r>
              <w:t>Η επίδοση της τιμής του δείκτη έναντι του ενωσιακού Μ.Ο είναι 124 % για τα έτη 2014 και 2015, ωστόσο η επίδοση αυτή πέφτει στο 115% τα έτη 2016 και 2017.</w:t>
            </w:r>
          </w:p>
        </w:tc>
      </w:tr>
    </w:tbl>
    <w:p w14:paraId="4282C7E1" w14:textId="77777777" w:rsidR="00D90118" w:rsidRDefault="00D90118" w:rsidP="00D90118"/>
    <w:p w14:paraId="2E3ADE9A" w14:textId="77777777" w:rsidR="00EB5844" w:rsidRDefault="00EB5844" w:rsidP="00EB5844">
      <w:pPr>
        <w:pStyle w:val="Heading1"/>
      </w:pPr>
      <w:bookmarkStart w:id="41" w:name="_Toc22645420"/>
      <w:r>
        <w:t>Κύριες προκλήσεις και τρόποι αντιμετώπισης</w:t>
      </w:r>
      <w:bookmarkEnd w:id="41"/>
    </w:p>
    <w:p w14:paraId="045D18CC" w14:textId="77777777" w:rsidR="008706D5" w:rsidRDefault="008706D5" w:rsidP="008706D5">
      <w:pPr>
        <w:rPr>
          <w:szCs w:val="18"/>
        </w:rPr>
      </w:pPr>
      <w:r w:rsidRPr="00D84FC4">
        <w:rPr>
          <w:szCs w:val="18"/>
        </w:rPr>
        <w:t xml:space="preserve">Οι κύριες προκλήσεις για την επιτυχή υλοποίηση των Δράσεων της RIS3, κυρίως αυτών που εντάσσονται στο ΕΠΑνΕΚ, αφορούν σε θέματα διαχείρισης (1-5), καθώς και σε θέματα ποιοτικής διάστασης του σχεδιασμού και της υλοποίησης των συγκριμένων δράσεων (6-8). </w:t>
      </w:r>
      <w:r>
        <w:rPr>
          <w:szCs w:val="18"/>
        </w:rPr>
        <w:t xml:space="preserve">Στη συνέχεια, παρατίθεται ανάλυση των προκλήσεων-κρίσιμων ζητημάτων για την ορθή και αποτελεσματική υλοποίηση της στρατηγικής </w:t>
      </w:r>
      <w:r>
        <w:rPr>
          <w:szCs w:val="18"/>
          <w:lang w:val="en-US"/>
        </w:rPr>
        <w:t>RIS</w:t>
      </w:r>
      <w:r w:rsidRPr="00652FA4">
        <w:rPr>
          <w:szCs w:val="18"/>
        </w:rPr>
        <w:t>3</w:t>
      </w:r>
      <w:r>
        <w:rPr>
          <w:szCs w:val="18"/>
        </w:rPr>
        <w:t xml:space="preserve">, ενώ ακολουθεί και η διατύπωση τρόπων αντιμετώπισης αυτών, οι οποίοι αποτελούν ταυτόχρονα και συστάσεις που </w:t>
      </w:r>
      <w:r w:rsidRPr="00D84FC4">
        <w:rPr>
          <w:rFonts w:cstheme="minorHAnsi"/>
          <w:szCs w:val="18"/>
        </w:rPr>
        <w:t xml:space="preserve">μπορούν να ληφθούν υπόψη κατά τη διαδικασία αναθεώρησης της </w:t>
      </w:r>
      <w:r w:rsidRPr="00D84FC4">
        <w:rPr>
          <w:rFonts w:cstheme="minorHAnsi"/>
          <w:szCs w:val="18"/>
          <w:lang w:val="en-US"/>
        </w:rPr>
        <w:t>RIS</w:t>
      </w:r>
      <w:r w:rsidRPr="00D84FC4">
        <w:rPr>
          <w:rFonts w:cstheme="minorHAnsi"/>
          <w:szCs w:val="18"/>
        </w:rPr>
        <w:t>3 το 2019</w:t>
      </w:r>
      <w:r>
        <w:rPr>
          <w:rFonts w:cstheme="minorHAnsi"/>
          <w:szCs w:val="18"/>
        </w:rPr>
        <w:t>.</w:t>
      </w:r>
    </w:p>
    <w:p w14:paraId="028CFF2A" w14:textId="77777777" w:rsidR="008706D5" w:rsidRDefault="008706D5" w:rsidP="008706D5">
      <w:pPr>
        <w:rPr>
          <w:rFonts w:cstheme="minorHAnsi"/>
          <w:b/>
          <w:bCs/>
          <w:szCs w:val="18"/>
        </w:rPr>
      </w:pPr>
      <w:r>
        <w:rPr>
          <w:rFonts w:cstheme="minorHAnsi"/>
          <w:b/>
          <w:bCs/>
          <w:szCs w:val="18"/>
        </w:rPr>
        <w:t>Ειδικές Προκλήσεις</w:t>
      </w:r>
    </w:p>
    <w:p w14:paraId="76259272" w14:textId="77777777" w:rsidR="008706D5" w:rsidRPr="00D84FC4" w:rsidRDefault="008706D5" w:rsidP="008706D5">
      <w:pPr>
        <w:pStyle w:val="ListParagraph"/>
        <w:numPr>
          <w:ilvl w:val="0"/>
          <w:numId w:val="32"/>
        </w:numPr>
        <w:ind w:left="180" w:hanging="180"/>
        <w:rPr>
          <w:rFonts w:cstheme="minorHAnsi"/>
          <w:i/>
          <w:iCs/>
          <w:szCs w:val="18"/>
          <w:u w:val="single"/>
        </w:rPr>
      </w:pPr>
      <w:r w:rsidRPr="00D84FC4">
        <w:rPr>
          <w:rFonts w:cstheme="minorHAnsi"/>
          <w:i/>
          <w:iCs/>
          <w:szCs w:val="18"/>
          <w:u w:val="single"/>
        </w:rPr>
        <w:t>Περιβάλλον των Δράσεων</w:t>
      </w:r>
    </w:p>
    <w:p w14:paraId="1A70155B" w14:textId="77777777" w:rsidR="008706D5" w:rsidRPr="00DF6929" w:rsidRDefault="008706D5" w:rsidP="008706D5">
      <w:pPr>
        <w:pStyle w:val="ListParagraph"/>
        <w:numPr>
          <w:ilvl w:val="0"/>
          <w:numId w:val="28"/>
        </w:numPr>
        <w:contextualSpacing w:val="0"/>
        <w:rPr>
          <w:szCs w:val="18"/>
        </w:rPr>
      </w:pPr>
      <w:r w:rsidRPr="00DF6929">
        <w:rPr>
          <w:szCs w:val="18"/>
        </w:rPr>
        <w:t xml:space="preserve">Ο ειδικός θεσμικός και διαχειριστικός χαρακτήρας των δράσεων, ειδικά εκείνων που εμπίπτουν στο θεσμικό πλαίσιο εφαρμογής των κρατικών ενισχύσεων. Συχνά οι διαδικασίες (πχ. έγκριση και </w:t>
      </w:r>
      <w:r w:rsidRPr="00DF6929">
        <w:rPr>
          <w:szCs w:val="18"/>
        </w:rPr>
        <w:lastRenderedPageBreak/>
        <w:t xml:space="preserve">παρακολούθηση του καθεστώτος ενίσχυσης, αξιοποίηση του ΠΣΚΕ), που απαιτούνται για την ωρίμανση και υλοποίηση των αντίστοιχων δράσεων παρουσιάζουν περιπλοκότητα και απαιτούν ειδική τεχνογνωσία ώστε να προληφθούν τυχόν αστοχίες στο σχεδιασμό και </w:t>
      </w:r>
      <w:r>
        <w:rPr>
          <w:szCs w:val="18"/>
        </w:rPr>
        <w:t>σ</w:t>
      </w:r>
      <w:r w:rsidRPr="00DF6929">
        <w:rPr>
          <w:szCs w:val="18"/>
        </w:rPr>
        <w:t>την υλοποίηση.</w:t>
      </w:r>
    </w:p>
    <w:p w14:paraId="58F00ADD" w14:textId="77777777" w:rsidR="008706D5" w:rsidRPr="00DF6929" w:rsidRDefault="008706D5" w:rsidP="008706D5">
      <w:pPr>
        <w:pStyle w:val="ListParagraph"/>
        <w:numPr>
          <w:ilvl w:val="0"/>
          <w:numId w:val="28"/>
        </w:numPr>
        <w:contextualSpacing w:val="0"/>
        <w:rPr>
          <w:szCs w:val="18"/>
        </w:rPr>
      </w:pPr>
      <w:r w:rsidRPr="00DF6929">
        <w:rPr>
          <w:szCs w:val="18"/>
        </w:rPr>
        <w:t>Το υφιστάμενο οικονομικό περιβάλλον και η έλλειψη ρευστότητας που δυσχεραίνει στους φορείς (δικαιούχους) να προ-χρηματοδοτήσουν τα έργα τους. Για την άμβλυνση αυτής της δυσκολίας και για τις πράξεις που εντάσσονται στο ΕΠΑΝΕΚ προβλέπεται η δυνατότητα χορήγηση προκαταβολής έναντι ισόποσης εγγυητικής επιστολής ή με ή μέσω ειδικού καταπιστευτικού λογαριασμού (ΥΑ 62550/10.6.2016).</w:t>
      </w:r>
    </w:p>
    <w:p w14:paraId="0BDDB314" w14:textId="77777777" w:rsidR="008706D5" w:rsidRPr="000B53F8" w:rsidRDefault="008706D5" w:rsidP="008706D5">
      <w:pPr>
        <w:pStyle w:val="ListParagraph"/>
        <w:numPr>
          <w:ilvl w:val="0"/>
          <w:numId w:val="32"/>
        </w:numPr>
        <w:ind w:left="180" w:hanging="180"/>
        <w:rPr>
          <w:rFonts w:cstheme="minorHAnsi"/>
          <w:i/>
          <w:iCs/>
          <w:szCs w:val="18"/>
          <w:u w:val="single"/>
        </w:rPr>
      </w:pPr>
      <w:r>
        <w:rPr>
          <w:rFonts w:cstheme="minorHAnsi"/>
          <w:i/>
          <w:iCs/>
          <w:szCs w:val="18"/>
          <w:u w:val="single"/>
        </w:rPr>
        <w:t>Ε</w:t>
      </w:r>
      <w:r w:rsidRPr="000B53F8">
        <w:rPr>
          <w:rFonts w:cstheme="minorHAnsi"/>
          <w:i/>
          <w:iCs/>
          <w:szCs w:val="18"/>
          <w:u w:val="single"/>
        </w:rPr>
        <w:t>πιχειρησιακή ικανότητα ΕΦΔ και Δικαιούχων</w:t>
      </w:r>
    </w:p>
    <w:p w14:paraId="532BC43B" w14:textId="77777777" w:rsidR="008706D5" w:rsidRPr="00DF6929" w:rsidRDefault="008706D5" w:rsidP="008706D5">
      <w:pPr>
        <w:pStyle w:val="ListParagraph"/>
        <w:numPr>
          <w:ilvl w:val="0"/>
          <w:numId w:val="28"/>
        </w:numPr>
        <w:contextualSpacing w:val="0"/>
        <w:rPr>
          <w:rFonts w:cstheme="minorHAnsi"/>
          <w:szCs w:val="18"/>
        </w:rPr>
      </w:pPr>
      <w:r w:rsidRPr="00DF6929">
        <w:rPr>
          <w:rFonts w:cstheme="minorHAnsi"/>
          <w:szCs w:val="18"/>
        </w:rPr>
        <w:t>Η επιχειρησιακή ικανότητα των δύο ΕΦΔ (ΓΓΕΤ και ΕΥΔΕ ΕΤΑΚ) να διαχειριστούν ένα πλήθος δράσεων που θα αυξηθούν στο μέλλον, σε συνδυασμό με τον αριθμό των δικαιούχων-επιχειρήσεων που θα πρέπει να υποστηριχθούν στην παρακολούθηση των έργων. Στο επίπεδο αυτό απαιτείται:</w:t>
      </w:r>
    </w:p>
    <w:p w14:paraId="5113ED97" w14:textId="77777777" w:rsidR="008706D5" w:rsidRPr="00DF6929" w:rsidRDefault="008706D5" w:rsidP="008706D5">
      <w:pPr>
        <w:pStyle w:val="ListParagraph"/>
        <w:numPr>
          <w:ilvl w:val="0"/>
          <w:numId w:val="29"/>
        </w:numPr>
        <w:contextualSpacing w:val="0"/>
        <w:rPr>
          <w:rFonts w:cstheme="minorHAnsi"/>
          <w:szCs w:val="18"/>
        </w:rPr>
      </w:pPr>
      <w:r w:rsidRPr="00DF6929">
        <w:rPr>
          <w:rFonts w:cstheme="minorHAnsi"/>
          <w:szCs w:val="18"/>
        </w:rPr>
        <w:t>Επαρκής στελέχωση των ΕΦΔ τόσο σε επίπεδο αριθμού στελεχών</w:t>
      </w:r>
      <w:r>
        <w:rPr>
          <w:rFonts w:cstheme="minorHAnsi"/>
          <w:szCs w:val="18"/>
        </w:rPr>
        <w:t>,</w:t>
      </w:r>
      <w:r w:rsidRPr="00DF6929">
        <w:rPr>
          <w:rFonts w:cstheme="minorHAnsi"/>
          <w:szCs w:val="18"/>
        </w:rPr>
        <w:t xml:space="preserve"> όσο και σε επίπεδο απόκτησης από ένα ευρύτερο πλήθος στελεχών ειδικών γνώσεων (διαχείρισης έργων κρατικών ενισχύσεων, διαχείρισης ΠΣΚΕ-ΟΠΣ ΕΣΠΑ, </w:t>
      </w:r>
      <w:r w:rsidRPr="006E795F">
        <w:rPr>
          <w:rFonts w:cstheme="minorHAnsi"/>
          <w:szCs w:val="18"/>
          <w:lang w:val="en-GB"/>
        </w:rPr>
        <w:t>project</w:t>
      </w:r>
      <w:r w:rsidRPr="00643698">
        <w:rPr>
          <w:rFonts w:cstheme="minorHAnsi"/>
          <w:szCs w:val="18"/>
        </w:rPr>
        <w:t xml:space="preserve"> </w:t>
      </w:r>
      <w:r w:rsidRPr="006E795F">
        <w:rPr>
          <w:rFonts w:cstheme="minorHAnsi"/>
          <w:szCs w:val="18"/>
          <w:lang w:val="en-GB"/>
        </w:rPr>
        <w:t>management</w:t>
      </w:r>
      <w:r w:rsidRPr="00DF6929">
        <w:rPr>
          <w:rFonts w:cstheme="minorHAnsi"/>
          <w:szCs w:val="18"/>
        </w:rPr>
        <w:t>). Ειδικά στα στάδια αξιολόγησης των προτάσεων έργων και διενέργειας πιστοποιήσεων (διοικητικών ή επιτόπιων) για την πληρωμή των έργων ο διαχειριστικός φόρτος των αρμόδιων μονάδων των ΕΦΔ αναμένεται να είναι ιδιαίτερα αυξημένος.</w:t>
      </w:r>
    </w:p>
    <w:p w14:paraId="048E91C0" w14:textId="77777777" w:rsidR="008706D5" w:rsidRPr="00DF6929" w:rsidRDefault="008706D5" w:rsidP="008706D5">
      <w:pPr>
        <w:ind w:left="1080"/>
        <w:rPr>
          <w:rFonts w:cstheme="minorHAnsi"/>
          <w:szCs w:val="18"/>
        </w:rPr>
      </w:pPr>
      <w:r w:rsidRPr="00DF6929">
        <w:rPr>
          <w:rFonts w:cstheme="minorHAnsi"/>
          <w:szCs w:val="18"/>
        </w:rPr>
        <w:t>Ως εκ τούτου οι ΕΦΔ πρέπει  να λάβουν υπόψη τους κατά το χρονοπρογραμματισμό των δράσεων τις περιόδους υψηλών αναγκών ανθρώπινων πόρων και να επιλέξ</w:t>
      </w:r>
      <w:r>
        <w:rPr>
          <w:rFonts w:cstheme="minorHAnsi"/>
          <w:szCs w:val="18"/>
        </w:rPr>
        <w:t>ουν</w:t>
      </w:r>
      <w:r w:rsidRPr="00DF6929">
        <w:rPr>
          <w:rFonts w:cstheme="minorHAnsi"/>
          <w:szCs w:val="18"/>
        </w:rPr>
        <w:t xml:space="preserve"> τρόπους κάλυψης των αναγκών αυτών είτε εσωτερικά</w:t>
      </w:r>
      <w:r>
        <w:rPr>
          <w:rFonts w:cstheme="minorHAnsi"/>
          <w:szCs w:val="18"/>
        </w:rPr>
        <w:t>,</w:t>
      </w:r>
      <w:r w:rsidRPr="00DF6929">
        <w:rPr>
          <w:rFonts w:cstheme="minorHAnsi"/>
          <w:szCs w:val="18"/>
        </w:rPr>
        <w:t xml:space="preserve"> είτε με την ανάθεση εργασιών σε τρίτους (πχ. εξωτερικούς εμπειρογνώμονες- αξιολογητές, πιστοποιητές).</w:t>
      </w:r>
    </w:p>
    <w:p w14:paraId="6C7A28B2" w14:textId="77777777" w:rsidR="008706D5" w:rsidRPr="00DF6929" w:rsidRDefault="008706D5" w:rsidP="008706D5">
      <w:pPr>
        <w:pStyle w:val="ListParagraph"/>
        <w:numPr>
          <w:ilvl w:val="0"/>
          <w:numId w:val="29"/>
        </w:numPr>
        <w:contextualSpacing w:val="0"/>
        <w:rPr>
          <w:rFonts w:cstheme="minorHAnsi"/>
          <w:szCs w:val="18"/>
        </w:rPr>
      </w:pPr>
      <w:r>
        <w:rPr>
          <w:rFonts w:cstheme="minorHAnsi"/>
          <w:szCs w:val="18"/>
        </w:rPr>
        <w:t>Ε</w:t>
      </w:r>
      <w:r w:rsidRPr="00DF6929">
        <w:rPr>
          <w:rFonts w:cstheme="minorHAnsi"/>
          <w:szCs w:val="18"/>
        </w:rPr>
        <w:t>παρκής υποδομή, εξοπλισμός και εργαλεία (οδηγοί, τυποποιημένα έντυπα, συστήματα παρακολούθησης εκτός ΠΣΚΕ) για τη διαχείριση των δράσεων.</w:t>
      </w:r>
    </w:p>
    <w:p w14:paraId="25782C7A" w14:textId="77777777" w:rsidR="008706D5" w:rsidRPr="00DF6929" w:rsidRDefault="008706D5" w:rsidP="008706D5">
      <w:pPr>
        <w:pStyle w:val="ListParagraph"/>
        <w:numPr>
          <w:ilvl w:val="0"/>
          <w:numId w:val="28"/>
        </w:numPr>
        <w:contextualSpacing w:val="0"/>
        <w:rPr>
          <w:rFonts w:cstheme="minorHAnsi"/>
          <w:szCs w:val="18"/>
        </w:rPr>
      </w:pPr>
      <w:r w:rsidRPr="00DF6929">
        <w:rPr>
          <w:rFonts w:cstheme="minorHAnsi"/>
          <w:szCs w:val="18"/>
        </w:rPr>
        <w:t>Η επιχειρησιακή ικανότητα των δικαιούχων να ανταποκριθούν στις υποχρεώσεις διαχείρισης που προσδιορίζονται στις αποφάσεις χρηματοδότησης και στο ΣΔΕ. Όπως έχει δείξει η εμπειρία από παρόμοιες δράσεις που έχουν υλοποιηθεί στο παρελθόν, οι δυνητικοί δικαιούχοι (κυρίως οι επιχειρήσεις) αντιμετωπίζουν δυσκολίες</w:t>
      </w:r>
      <w:r>
        <w:rPr>
          <w:rFonts w:cstheme="minorHAnsi"/>
          <w:szCs w:val="18"/>
        </w:rPr>
        <w:t xml:space="preserve"> στην κατανόηση και ως εκ τούτου στην εφαρμογή </w:t>
      </w:r>
      <w:r w:rsidRPr="00DF6929">
        <w:rPr>
          <w:rFonts w:cstheme="minorHAnsi"/>
          <w:szCs w:val="18"/>
        </w:rPr>
        <w:t xml:space="preserve"> </w:t>
      </w:r>
      <w:r>
        <w:rPr>
          <w:rFonts w:cstheme="minorHAnsi"/>
          <w:szCs w:val="18"/>
        </w:rPr>
        <w:t xml:space="preserve">των </w:t>
      </w:r>
      <w:r w:rsidRPr="00DF6929">
        <w:rPr>
          <w:rFonts w:cstheme="minorHAnsi"/>
          <w:szCs w:val="18"/>
        </w:rPr>
        <w:t>παραπάνω υποχρεώσε</w:t>
      </w:r>
      <w:r>
        <w:rPr>
          <w:rFonts w:cstheme="minorHAnsi"/>
          <w:szCs w:val="18"/>
        </w:rPr>
        <w:t>ων</w:t>
      </w:r>
      <w:r w:rsidRPr="00DF6929">
        <w:rPr>
          <w:rFonts w:cstheme="minorHAnsi"/>
          <w:szCs w:val="18"/>
        </w:rPr>
        <w:t>. Υπενθυμίζεται ότι οι δικαιούχοι πράξεων κρατικών ενισχύσεων δεν εμπίπτουν στην απαίτηση επιβεβαίωσης της διαχειριστικής τους ικανότητας. Έτσι, οι ΕΦΔ θα πρέπει να αναπτύξουν τα κατάλληλα εργαλεία υποστήριξης των δικαιούχων για την εκπλήρωση των υποχρεώσεων που προκύπτουν από την εφαρμογή των σχετικών δράσεων (ενδεικτικά: ανάπτυξη οδηγών εφαρμογής, λειτουργία help desk χρήσης ΠΣΚΕ, παρουσιάσεις δράσεων τόσο κατά την προκήρυξη όσο και κατά την υλοποίησή τους).</w:t>
      </w:r>
    </w:p>
    <w:p w14:paraId="0E4F08E2" w14:textId="77777777" w:rsidR="008706D5" w:rsidRDefault="008706D5" w:rsidP="008706D5">
      <w:pPr>
        <w:spacing w:before="0" w:after="160" w:line="259" w:lineRule="auto"/>
        <w:jc w:val="left"/>
        <w:rPr>
          <w:rFonts w:cstheme="minorHAnsi"/>
          <w:szCs w:val="18"/>
          <w:u w:val="single"/>
        </w:rPr>
      </w:pPr>
      <w:r>
        <w:rPr>
          <w:rFonts w:cstheme="minorHAnsi"/>
          <w:szCs w:val="18"/>
          <w:u w:val="single"/>
        </w:rPr>
        <w:br w:type="page"/>
      </w:r>
    </w:p>
    <w:p w14:paraId="0914814C" w14:textId="77777777" w:rsidR="008706D5" w:rsidRPr="000B53F8" w:rsidRDefault="008706D5" w:rsidP="008706D5">
      <w:pPr>
        <w:pStyle w:val="ListParagraph"/>
        <w:numPr>
          <w:ilvl w:val="0"/>
          <w:numId w:val="32"/>
        </w:numPr>
        <w:ind w:left="180" w:hanging="180"/>
        <w:rPr>
          <w:rFonts w:cstheme="minorHAnsi"/>
          <w:i/>
          <w:iCs/>
          <w:szCs w:val="18"/>
          <w:u w:val="single"/>
        </w:rPr>
      </w:pPr>
      <w:r w:rsidRPr="000B53F8">
        <w:rPr>
          <w:rFonts w:cstheme="minorHAnsi"/>
          <w:i/>
          <w:iCs/>
          <w:szCs w:val="18"/>
          <w:u w:val="single"/>
        </w:rPr>
        <w:lastRenderedPageBreak/>
        <w:t>Προγραμματισμ</w:t>
      </w:r>
      <w:r>
        <w:rPr>
          <w:rFonts w:cstheme="minorHAnsi"/>
          <w:i/>
          <w:iCs/>
          <w:szCs w:val="18"/>
          <w:u w:val="single"/>
        </w:rPr>
        <w:t xml:space="preserve">ός </w:t>
      </w:r>
      <w:r w:rsidRPr="000B53F8">
        <w:rPr>
          <w:rFonts w:cstheme="minorHAnsi"/>
          <w:i/>
          <w:iCs/>
          <w:szCs w:val="18"/>
          <w:u w:val="single"/>
        </w:rPr>
        <w:t>ωρίμανσης – υλοποίηση των Δράσεων</w:t>
      </w:r>
    </w:p>
    <w:p w14:paraId="72B1071D" w14:textId="77777777" w:rsidR="008706D5" w:rsidRPr="00DF6929" w:rsidRDefault="008706D5" w:rsidP="008706D5">
      <w:pPr>
        <w:pStyle w:val="ListParagraph"/>
        <w:numPr>
          <w:ilvl w:val="0"/>
          <w:numId w:val="28"/>
        </w:numPr>
        <w:contextualSpacing w:val="0"/>
        <w:rPr>
          <w:rFonts w:cstheme="minorHAnsi"/>
          <w:szCs w:val="18"/>
        </w:rPr>
      </w:pPr>
      <w:r w:rsidRPr="00DF6929">
        <w:rPr>
          <w:rFonts w:cstheme="minorHAnsi"/>
          <w:szCs w:val="18"/>
        </w:rPr>
        <w:t xml:space="preserve">Ο ορθός προγραμματισμός έκδοσης των σχετικών Προσκλήσεων προκειμένου να μην υπάρχουν αλληλεπικαλύψεις με παρόμοιες «ανταγωνιστικές» δράσεις που έχουν είδη προκηρυχθεί ή </w:t>
      </w:r>
      <w:r>
        <w:rPr>
          <w:rFonts w:cstheme="minorHAnsi"/>
          <w:szCs w:val="18"/>
        </w:rPr>
        <w:t xml:space="preserve">βρίσκονται σε φάση υλοποίησης </w:t>
      </w:r>
      <w:r w:rsidRPr="00DF6929">
        <w:rPr>
          <w:rFonts w:cstheme="minorHAnsi"/>
          <w:szCs w:val="18"/>
        </w:rPr>
        <w:t xml:space="preserve">(πχ. στο πλαίσιο των Περιφερειακών ΕΠ) γεγονός που θα λειτουργούσε αποθαρρυντικά όσον αφορά </w:t>
      </w:r>
      <w:r>
        <w:rPr>
          <w:rFonts w:cstheme="minorHAnsi"/>
          <w:szCs w:val="18"/>
        </w:rPr>
        <w:t>σ</w:t>
      </w:r>
      <w:r w:rsidRPr="00DF6929">
        <w:rPr>
          <w:rFonts w:cstheme="minorHAnsi"/>
          <w:szCs w:val="18"/>
        </w:rPr>
        <w:t>τη συμμετοχή των δυνητικών δικαιούχων, για διάφορους λόγους</w:t>
      </w:r>
      <w:r>
        <w:rPr>
          <w:rFonts w:cstheme="minorHAnsi"/>
          <w:szCs w:val="18"/>
        </w:rPr>
        <w:t xml:space="preserve">, </w:t>
      </w:r>
      <w:r w:rsidRPr="00DF6929">
        <w:rPr>
          <w:rFonts w:cstheme="minorHAnsi"/>
          <w:szCs w:val="18"/>
        </w:rPr>
        <w:t>πχ. χαμηλότερο ποσοστό επιχορήγησης, υπέρβαση του ορίου de minimis, αδυναμία διάθεσης ίδιων πόρων για την κάλυψη της ιδιωτικής συμμετοχής.</w:t>
      </w:r>
    </w:p>
    <w:p w14:paraId="0C6AE0D2" w14:textId="77777777" w:rsidR="008706D5" w:rsidRPr="00DF6929" w:rsidRDefault="008706D5" w:rsidP="008706D5">
      <w:pPr>
        <w:pStyle w:val="ListParagraph"/>
        <w:numPr>
          <w:ilvl w:val="0"/>
          <w:numId w:val="28"/>
        </w:numPr>
        <w:contextualSpacing w:val="0"/>
        <w:rPr>
          <w:rFonts w:cstheme="minorHAnsi"/>
          <w:szCs w:val="18"/>
        </w:rPr>
      </w:pPr>
      <w:r w:rsidRPr="00DF6929">
        <w:rPr>
          <w:rFonts w:cstheme="minorHAnsi"/>
          <w:szCs w:val="18"/>
        </w:rPr>
        <w:t>Η τήρηση των χρονοδιαγραμμάτων που αφορούν στον «κύκλο ζωής» των προκηρυγμένων δράσεων (ωρίμανση, έκδοση Πρόσκλησης, Αξιολόγηση, Έκδοση αποφάσεων ένταξης/ χρηματοδότησης, υλοποίηση/πιστοποίηση, ολοκλήρωση) δεδομένου ότι οι πιθανές αποκλίσεις είναι δυνατό να δημιουργήσουν απρόβλεπτη διαχειριστική επιβάρυνση στους ΕΦΔ (πχ. η παρέλευση σημαντικού χρονικού διαστήματος από τη λήξη της ημερομηνίας υποβολής των προτάσεων έργων μέχρι την έκδοση των αντίστοιχων αποφάσεων χρηματοδότησης δημιουργεί προϋποθέσεις υποβολής αιτημάτων τροποποίησης ήδη με την έναρξη των έργων).</w:t>
      </w:r>
    </w:p>
    <w:p w14:paraId="7B3F805F" w14:textId="77777777" w:rsidR="008706D5" w:rsidRPr="000B53F8" w:rsidRDefault="008706D5" w:rsidP="008706D5">
      <w:pPr>
        <w:pStyle w:val="ListParagraph"/>
        <w:numPr>
          <w:ilvl w:val="0"/>
          <w:numId w:val="32"/>
        </w:numPr>
        <w:ind w:left="187" w:hanging="187"/>
        <w:rPr>
          <w:rFonts w:cstheme="minorHAnsi"/>
          <w:i/>
          <w:iCs/>
          <w:szCs w:val="18"/>
          <w:u w:val="single"/>
        </w:rPr>
      </w:pPr>
      <w:r w:rsidRPr="000B53F8">
        <w:rPr>
          <w:rFonts w:cstheme="minorHAnsi"/>
          <w:i/>
          <w:iCs/>
          <w:szCs w:val="18"/>
          <w:u w:val="single"/>
        </w:rPr>
        <w:t>Τεχνικά-Επιχειρησιακά Θέματα</w:t>
      </w:r>
    </w:p>
    <w:p w14:paraId="4E2CC388" w14:textId="77777777" w:rsidR="008706D5" w:rsidRPr="00DF6929" w:rsidRDefault="008706D5" w:rsidP="008706D5">
      <w:pPr>
        <w:pStyle w:val="ListParagraph"/>
        <w:numPr>
          <w:ilvl w:val="0"/>
          <w:numId w:val="28"/>
        </w:numPr>
        <w:contextualSpacing w:val="0"/>
        <w:rPr>
          <w:rFonts w:cstheme="minorHAnsi"/>
          <w:szCs w:val="18"/>
        </w:rPr>
      </w:pPr>
      <w:r w:rsidRPr="00DF6929">
        <w:rPr>
          <w:rFonts w:cstheme="minorHAnsi"/>
          <w:szCs w:val="18"/>
        </w:rPr>
        <w:t xml:space="preserve">Η αξιοποίηση του ΠΣΚΕ ως εργαλείου παρακολούθησης του κύκλου ζωής της Δράσης. Σύμφωνα με το αρ. 57 του Ν.4314/14 </w:t>
      </w:r>
      <w:r w:rsidRPr="006E795F">
        <w:rPr>
          <w:rFonts w:cstheme="minorHAnsi"/>
          <w:i/>
          <w:iCs/>
          <w:szCs w:val="18"/>
        </w:rPr>
        <w:t>«η χρήση του ΠΣΚΕ είναι υποχρεωτική για το σύνολο των φορέων που υλοποιούν μέτρα ενίσχυσης και στήριξης της επιχειρηματικότητας που συγχρηματοδοτούνται από τα ΕΔΕΤ».</w:t>
      </w:r>
      <w:r w:rsidRPr="00DF6929">
        <w:rPr>
          <w:rFonts w:cstheme="minorHAnsi"/>
          <w:szCs w:val="18"/>
        </w:rPr>
        <w:t xml:space="preserve"> Υπενθυμίζεται ότι το ΠΣΚΕ περιλαμβάνει το σύνολο των διαδικασιών του κύκλου ζωής της δράσης. Στο πλαίσιο αυτό, η συνεργασία των δύο ΕΦΔ με την αρμόδια υπηρεσία παραγωγικής λειτουργίας του ΠΣΚΕ (ΕΥΚΕ σε συνεργασία με τη ΜΟΔ ΑΕ) για την «εισαγωγή» των δράσεων στο ΠΣΚΕ είναι κρίσιμη, προκειμένου να σχεδιασθούν έγκαιρα και </w:t>
      </w:r>
      <w:r>
        <w:rPr>
          <w:rFonts w:cstheme="minorHAnsi"/>
          <w:szCs w:val="18"/>
        </w:rPr>
        <w:t xml:space="preserve">να </w:t>
      </w:r>
      <w:r w:rsidRPr="00DF6929">
        <w:rPr>
          <w:rFonts w:cstheme="minorHAnsi"/>
          <w:szCs w:val="18"/>
        </w:rPr>
        <w:t>εισαχθούν στο ΠΣΚΕ όλες οι λειτουργικές ενότητες που απαιτούνται για την παρακολούθηση των διαδοχικών σταδίων του «κύκλου ζωής» της δράσης και για τη διεπαφή με το ΟΠΣ ΕΣΠΑ.</w:t>
      </w:r>
    </w:p>
    <w:p w14:paraId="26561E89" w14:textId="77777777" w:rsidR="008706D5" w:rsidRPr="00DF6929" w:rsidRDefault="008706D5" w:rsidP="008706D5">
      <w:pPr>
        <w:pStyle w:val="ListParagraph"/>
        <w:numPr>
          <w:ilvl w:val="0"/>
          <w:numId w:val="28"/>
        </w:numPr>
        <w:rPr>
          <w:rFonts w:cstheme="minorHAnsi"/>
          <w:szCs w:val="18"/>
          <w:u w:val="single"/>
        </w:rPr>
      </w:pPr>
      <w:r w:rsidRPr="00DF6929">
        <w:rPr>
          <w:rFonts w:cstheme="minorHAnsi"/>
          <w:szCs w:val="18"/>
        </w:rPr>
        <w:t>Η αξιολόγηση των προτάσεων (αιτημάτων χρηματοδότησης) απαιτεί την αξιοποίηση ενός σημαντικού αριθμού εμπειρογνωμόνων με ειδικές γνώσεις και εμπειρία στις θεματικές προτεραιότητες που θέτει η εκάστοτε Πρόσκληση. Συνεπώς, ο ΕΦΔ θα πρέπει έγκαιρα να μεριμνήσει για την οργάνωση (περιλαμβανομένης της αξιολόγησης των αιτήσεων εισαγωγής) του Μητρώου Αξιολογητών.</w:t>
      </w:r>
    </w:p>
    <w:p w14:paraId="50DE3759" w14:textId="77777777" w:rsidR="008706D5" w:rsidRPr="000B53F8" w:rsidRDefault="008706D5" w:rsidP="008706D5">
      <w:pPr>
        <w:pStyle w:val="ListParagraph"/>
        <w:numPr>
          <w:ilvl w:val="0"/>
          <w:numId w:val="32"/>
        </w:numPr>
        <w:ind w:left="180" w:hanging="180"/>
        <w:rPr>
          <w:rFonts w:cstheme="minorHAnsi"/>
          <w:i/>
          <w:iCs/>
          <w:szCs w:val="18"/>
          <w:u w:val="single"/>
        </w:rPr>
      </w:pPr>
      <w:r>
        <w:rPr>
          <w:rFonts w:cstheme="minorHAnsi"/>
          <w:i/>
          <w:iCs/>
          <w:szCs w:val="18"/>
          <w:u w:val="single"/>
        </w:rPr>
        <w:t>Π</w:t>
      </w:r>
      <w:r w:rsidRPr="000B53F8">
        <w:rPr>
          <w:rFonts w:cstheme="minorHAnsi"/>
          <w:i/>
          <w:iCs/>
          <w:szCs w:val="18"/>
          <w:u w:val="single"/>
        </w:rPr>
        <w:t>αρακολούθηση</w:t>
      </w:r>
    </w:p>
    <w:p w14:paraId="77FE3968" w14:textId="77777777" w:rsidR="008706D5" w:rsidRPr="00DF6929" w:rsidRDefault="008706D5" w:rsidP="008706D5">
      <w:pPr>
        <w:rPr>
          <w:rFonts w:cstheme="minorHAnsi"/>
          <w:szCs w:val="18"/>
          <w:u w:val="single"/>
        </w:rPr>
      </w:pPr>
      <w:r w:rsidRPr="00DF6929">
        <w:rPr>
          <w:rFonts w:cstheme="minorHAnsi"/>
          <w:szCs w:val="18"/>
        </w:rPr>
        <w:t xml:space="preserve">Σημαντική πρόκληση για τη στρατηγική έξυπνης εξειδίκευσης αποτελεί επίσης και ο μηχανισμός παρακολούθησης που θα καθοδηγεί  την προσαρμογή και την εφαρμογή διορθωτικών κινήσεων τόσο σε επίπεδο στόχων, όσο και σε επίπεδο διαδικασίας για την ανάπτυξη και εκτέλεση της RIS3. Στην προσέγγιση που ακολουθείται για την «Παρακολούθηση της προόδου υλοποίησης της Εθνικής RIS3 2014-2020», προβλέπεται η </w:t>
      </w:r>
      <w:r w:rsidRPr="00DF6929">
        <w:rPr>
          <w:rFonts w:cstheme="minorHAnsi"/>
          <w:b/>
          <w:szCs w:val="18"/>
        </w:rPr>
        <w:t>διαμόρφωση ενός συστήματος δεικτών</w:t>
      </w:r>
      <w:r w:rsidRPr="00DF6929">
        <w:rPr>
          <w:rFonts w:cstheme="minorHAnsi"/>
          <w:szCs w:val="18"/>
        </w:rPr>
        <w:t xml:space="preserve"> που θα λαμβάνει υπόψη του αφενός το θεωρητικό υπόβαθρο για την παρακολούθηση της RIS3 και αφετέρου τις υπηρεσιακές δεσμεύσεις και υποχρεώσεις της ΓΓΕΤ. Οι Δείκτες που προβλέπονται από την RIS3 και το «Ενιαίο Σύστημα Δεικτών Παρακολούθησης του ΕΣΠΑ 2014-2020» είναι η αναγκαία και βασική πηγή για τη διαμόρφωση του Συστήματος Παρακολούθησης. Οι Δείκτες αυτοί αφορούν στο ΕΣΠΑ, όπου από την πρόοδο της υλοποίησης των έργων και των δράσεων των Επιχειρησιακών Προγραμμάτων συνάγεται η πρόοδος της RIS3. Επιπρόσθετα, θα εξεταστούν οι Δείκτες που προβλέπει το </w:t>
      </w:r>
      <w:r w:rsidRPr="00AC1838">
        <w:rPr>
          <w:rFonts w:cstheme="minorHAnsi"/>
          <w:szCs w:val="18"/>
          <w:lang w:val="en-GB"/>
        </w:rPr>
        <w:t>Research</w:t>
      </w:r>
      <w:r w:rsidRPr="00643698">
        <w:rPr>
          <w:rFonts w:cstheme="minorHAnsi"/>
          <w:szCs w:val="18"/>
        </w:rPr>
        <w:t xml:space="preserve"> </w:t>
      </w:r>
      <w:r w:rsidRPr="00AC1838">
        <w:rPr>
          <w:rFonts w:cstheme="minorHAnsi"/>
          <w:szCs w:val="18"/>
          <w:lang w:val="en-GB"/>
        </w:rPr>
        <w:t>Innovation</w:t>
      </w:r>
      <w:r w:rsidRPr="00643698">
        <w:rPr>
          <w:rFonts w:cstheme="minorHAnsi"/>
          <w:szCs w:val="18"/>
        </w:rPr>
        <w:t xml:space="preserve"> </w:t>
      </w:r>
      <w:r w:rsidRPr="00AC1838">
        <w:rPr>
          <w:rFonts w:cstheme="minorHAnsi"/>
          <w:szCs w:val="18"/>
          <w:lang w:val="en-GB"/>
        </w:rPr>
        <w:t>Observatory</w:t>
      </w:r>
      <w:r w:rsidRPr="00DF6929">
        <w:rPr>
          <w:rFonts w:cstheme="minorHAnsi"/>
          <w:szCs w:val="18"/>
        </w:rPr>
        <w:t xml:space="preserve"> οι οποίοι διαμορφώνουν την εικόνα της καινοτομίας στη χώρα.</w:t>
      </w:r>
    </w:p>
    <w:p w14:paraId="6EED3015" w14:textId="77777777" w:rsidR="008706D5" w:rsidRPr="000B53F8" w:rsidRDefault="008706D5" w:rsidP="008706D5">
      <w:pPr>
        <w:pStyle w:val="ListParagraph"/>
        <w:numPr>
          <w:ilvl w:val="0"/>
          <w:numId w:val="32"/>
        </w:numPr>
        <w:ind w:left="180" w:hanging="180"/>
        <w:rPr>
          <w:rFonts w:cstheme="minorHAnsi"/>
          <w:i/>
          <w:iCs/>
          <w:szCs w:val="18"/>
          <w:u w:val="single"/>
        </w:rPr>
      </w:pPr>
      <w:r w:rsidRPr="000B53F8">
        <w:rPr>
          <w:rFonts w:cstheme="minorHAnsi"/>
          <w:i/>
          <w:iCs/>
          <w:szCs w:val="18"/>
          <w:u w:val="single"/>
        </w:rPr>
        <w:t xml:space="preserve">Τομείς προτεραιότητας της </w:t>
      </w:r>
      <w:r w:rsidRPr="00D84FC4">
        <w:rPr>
          <w:rFonts w:cstheme="minorHAnsi"/>
          <w:i/>
          <w:iCs/>
          <w:szCs w:val="18"/>
          <w:u w:val="single"/>
        </w:rPr>
        <w:t>RIS</w:t>
      </w:r>
      <w:r w:rsidRPr="000B53F8">
        <w:rPr>
          <w:rFonts w:cstheme="minorHAnsi"/>
          <w:i/>
          <w:iCs/>
          <w:szCs w:val="18"/>
          <w:u w:val="single"/>
        </w:rPr>
        <w:t>3</w:t>
      </w:r>
    </w:p>
    <w:p w14:paraId="1C5A85A6" w14:textId="77777777" w:rsidR="008706D5" w:rsidRPr="00DF6929" w:rsidRDefault="008706D5" w:rsidP="008706D5">
      <w:pPr>
        <w:rPr>
          <w:rFonts w:cstheme="minorHAnsi"/>
          <w:szCs w:val="18"/>
        </w:rPr>
      </w:pPr>
      <w:r w:rsidRPr="00DF6929">
        <w:rPr>
          <w:rFonts w:cstheme="minorHAnsi"/>
          <w:szCs w:val="18"/>
        </w:rPr>
        <w:t>Η Στρατηγική έξυπνης εξειδίκευσης απαιτεί επιλογές σχετικές με τους οικονομικούς τομείς, τις τεχνολογίες και τα πεδία έρευνας στα οποία θα δοθεί προτεραιότητα. Αυτές οι επιλογές περιλαμβάνουν τον κίνδυνο να αποκλεισθούν ή να αγνοηθούν οικονομικοί τομείς ή τεχνολογίες με δυναμικό ανάπτυξης και επιχειρηματικό ενδιαφέρον για την περιφέρεια ή τη χώρα.</w:t>
      </w:r>
    </w:p>
    <w:p w14:paraId="57C5FA0F" w14:textId="77777777" w:rsidR="008706D5" w:rsidRPr="00DF6929" w:rsidRDefault="008706D5" w:rsidP="008706D5">
      <w:pPr>
        <w:rPr>
          <w:rFonts w:cstheme="minorHAnsi"/>
          <w:szCs w:val="18"/>
        </w:rPr>
      </w:pPr>
      <w:r w:rsidRPr="00DF6929">
        <w:rPr>
          <w:rFonts w:cstheme="minorHAnsi"/>
          <w:szCs w:val="18"/>
        </w:rPr>
        <w:t xml:space="preserve">Αυτό το ρίσκο που υπάρχει στην επιλογή των στόχων της RIS3 συνδέεται άμεσα με τις παρακάτω βασικές προκλήσεις που αντιμετωπίζει η Εθνική RIS3: </w:t>
      </w:r>
    </w:p>
    <w:p w14:paraId="6116F999" w14:textId="77777777" w:rsidR="008706D5" w:rsidRPr="00DF6929" w:rsidRDefault="008706D5" w:rsidP="008706D5">
      <w:pPr>
        <w:pStyle w:val="ListParagraph"/>
        <w:numPr>
          <w:ilvl w:val="0"/>
          <w:numId w:val="24"/>
        </w:numPr>
        <w:contextualSpacing w:val="0"/>
        <w:rPr>
          <w:rFonts w:cstheme="minorHAnsi"/>
          <w:szCs w:val="18"/>
        </w:rPr>
      </w:pPr>
      <w:r w:rsidRPr="00DF6929">
        <w:rPr>
          <w:rFonts w:cstheme="minorHAnsi"/>
          <w:szCs w:val="18"/>
        </w:rPr>
        <w:t>Η Επιχειρηματική ανακάλυψη παραμένει ακρογωνιαίος λίθος της RIS</w:t>
      </w:r>
      <w:r>
        <w:rPr>
          <w:rFonts w:cstheme="minorHAnsi"/>
          <w:szCs w:val="18"/>
        </w:rPr>
        <w:t>3</w:t>
      </w:r>
      <w:r w:rsidRPr="00DF6929">
        <w:rPr>
          <w:rFonts w:cstheme="minorHAnsi"/>
          <w:szCs w:val="18"/>
        </w:rPr>
        <w:t xml:space="preserve">. Η διάχυση των αποτελεσμάτων και η δημιουργία δραστηριότητας που μιμείται ή επαναλαμβάνει επιτυχημένα παραδείγματα στη χώρα, αποτελούν καθοριστικούς παράγοντες για την επιτυχία της στρατηγικής της έξυπνης εξειδίκευσης. Στις περισσότερες περιπτώσεις, οι αλλαγές που αναμένεται να επιφέρει η στρατηγική της έξυπνης </w:t>
      </w:r>
      <w:r w:rsidRPr="00DF6929">
        <w:rPr>
          <w:rFonts w:cstheme="minorHAnsi"/>
          <w:szCs w:val="18"/>
        </w:rPr>
        <w:lastRenderedPageBreak/>
        <w:t>εξειδίκευσης μπορεί να έχουν δομικό χαρακτήρα, οπότε, χρειάζεται να υπάρχει η σχετική ευελιξία. Σημαντική καθίσταται και η αποτελεσματική συμμετοχή των επιχειρήσεων στη διαδικασία της επιχειρηματικής ανακάλυψης.</w:t>
      </w:r>
    </w:p>
    <w:p w14:paraId="49724EDA" w14:textId="77777777" w:rsidR="008706D5" w:rsidRPr="00DF6929" w:rsidRDefault="008706D5" w:rsidP="008706D5">
      <w:pPr>
        <w:pStyle w:val="ListParagraph"/>
        <w:numPr>
          <w:ilvl w:val="0"/>
          <w:numId w:val="24"/>
        </w:numPr>
        <w:contextualSpacing w:val="0"/>
        <w:rPr>
          <w:rFonts w:cstheme="minorHAnsi"/>
          <w:szCs w:val="18"/>
        </w:rPr>
      </w:pPr>
      <w:r w:rsidRPr="00DF6929">
        <w:rPr>
          <w:rFonts w:cstheme="minorHAnsi"/>
          <w:szCs w:val="18"/>
        </w:rPr>
        <w:t xml:space="preserve">Επειδή οι αλλαγές στο περιβάλλον συμβαίνουν συνεχώς, η στρατηγική </w:t>
      </w:r>
      <w:r>
        <w:rPr>
          <w:rFonts w:cstheme="minorHAnsi"/>
          <w:szCs w:val="18"/>
        </w:rPr>
        <w:t xml:space="preserve">θα πρέπει να </w:t>
      </w:r>
      <w:r w:rsidRPr="00DF6929">
        <w:rPr>
          <w:rFonts w:cstheme="minorHAnsi"/>
          <w:szCs w:val="18"/>
        </w:rPr>
        <w:t>είναι ευέλικτη και να προσαρμόζει τους στόχους της συνεχώς.</w:t>
      </w:r>
    </w:p>
    <w:p w14:paraId="4147ED18" w14:textId="77777777" w:rsidR="008706D5" w:rsidRPr="00DF6929" w:rsidRDefault="008706D5" w:rsidP="008706D5">
      <w:pPr>
        <w:pStyle w:val="ListParagraph"/>
        <w:numPr>
          <w:ilvl w:val="0"/>
          <w:numId w:val="24"/>
        </w:numPr>
        <w:contextualSpacing w:val="0"/>
        <w:rPr>
          <w:rFonts w:cstheme="minorHAnsi"/>
          <w:szCs w:val="18"/>
        </w:rPr>
      </w:pPr>
      <w:r w:rsidRPr="00DF6929">
        <w:rPr>
          <w:rFonts w:cstheme="minorHAnsi"/>
          <w:szCs w:val="18"/>
        </w:rPr>
        <w:t xml:space="preserve">Η RIS3 εμπεριέχει στοιχεία πειραματισμού και δεν είναι δυνατόν να προκαθορισθεί εκ των προτέρων η επιτυχία ή η αποτυχία του σχεδιασμού της. </w:t>
      </w:r>
    </w:p>
    <w:p w14:paraId="7F5F7AC5" w14:textId="77777777" w:rsidR="008706D5" w:rsidRPr="000B53F8" w:rsidRDefault="008706D5" w:rsidP="008706D5">
      <w:pPr>
        <w:pStyle w:val="ListParagraph"/>
        <w:numPr>
          <w:ilvl w:val="0"/>
          <w:numId w:val="32"/>
        </w:numPr>
        <w:ind w:left="180" w:hanging="180"/>
        <w:rPr>
          <w:rFonts w:cstheme="minorHAnsi"/>
          <w:i/>
          <w:iCs/>
          <w:szCs w:val="18"/>
          <w:u w:val="single"/>
        </w:rPr>
      </w:pPr>
      <w:r>
        <w:rPr>
          <w:rFonts w:cstheme="minorHAnsi"/>
          <w:i/>
          <w:iCs/>
          <w:szCs w:val="18"/>
          <w:u w:val="single"/>
        </w:rPr>
        <w:t>Σ</w:t>
      </w:r>
      <w:r w:rsidRPr="000B53F8">
        <w:rPr>
          <w:rFonts w:cstheme="minorHAnsi"/>
          <w:i/>
          <w:iCs/>
          <w:szCs w:val="18"/>
          <w:u w:val="single"/>
        </w:rPr>
        <w:t>ύνδεση και συνεργασία</w:t>
      </w:r>
    </w:p>
    <w:p w14:paraId="0CF5DB98" w14:textId="77777777" w:rsidR="008706D5" w:rsidRPr="00DF6929" w:rsidRDefault="008706D5" w:rsidP="008706D5">
      <w:pPr>
        <w:pStyle w:val="ListParagraph"/>
        <w:numPr>
          <w:ilvl w:val="0"/>
          <w:numId w:val="24"/>
        </w:numPr>
        <w:contextualSpacing w:val="0"/>
        <w:rPr>
          <w:rFonts w:cstheme="minorHAnsi"/>
          <w:szCs w:val="18"/>
        </w:rPr>
      </w:pPr>
      <w:r w:rsidRPr="00DF6929">
        <w:rPr>
          <w:rFonts w:cstheme="minorHAnsi"/>
          <w:szCs w:val="18"/>
        </w:rPr>
        <w:t xml:space="preserve">Σημαντικό ρόλο στη διασφάλιση της ορθής  υλοποίησης της RIS3 πρέπει να διαδραματίσουν οι ερευνητικοί φορείς (ΑΕΙ και Ερευνητικά Κέντρα), καθώς αποτελούν το δυναμικό τμήμα του εθνικού συστήματος καινοτομίας, που μπορεί να εξασφαλίσει τη σύνδεση με τις επιστημονικές και τεχνολογικές εξελίξεις και την ευρεία τεχνολογική βάση που είναι απαραίτητη. Μέριμνα της στρατηγικής είναι να μην εγκλωβίσει το φάσμα της δραστηριότητας των ερευνητικών φορέων μέσα από την τομεακή εξειδίκευση, αλλά να εξασφαλίσει την κινητοποίησή τους ώστε οι τομεακές προτεραιότητες «να συνδυασθούν με την ΕTAK για την προώθηση της ανάπτυξης και/ή το μετασχηματισμό της οικονομίας», αυξάνοντας τις συνέργειες μεταξύ δημόσιων και ιδιωτικών επενδύσεων. Οι ερευνητικοί φορείς αποτελούν κινητήρια δύναμη της RIS3, ιδίως σε ό,τι αφορά στον κεντρικό στόχο της παραγωγικής ανασυγκρότησης και του μετασχηματισμού του αναπτυξιακού μοντέλου. </w:t>
      </w:r>
    </w:p>
    <w:p w14:paraId="4EF60BCB" w14:textId="77777777" w:rsidR="008706D5" w:rsidRPr="00DF6929" w:rsidRDefault="008706D5" w:rsidP="008706D5">
      <w:pPr>
        <w:pStyle w:val="ListParagraph"/>
        <w:numPr>
          <w:ilvl w:val="0"/>
          <w:numId w:val="24"/>
        </w:numPr>
        <w:contextualSpacing w:val="0"/>
        <w:rPr>
          <w:rFonts w:cstheme="minorHAnsi"/>
          <w:szCs w:val="18"/>
        </w:rPr>
      </w:pPr>
      <w:r w:rsidRPr="00DF6929">
        <w:rPr>
          <w:rFonts w:cstheme="minorHAnsi"/>
          <w:szCs w:val="18"/>
        </w:rPr>
        <w:t>Κίνητρα και (πολιτική) συνειδητοποίηση για συμμετοχή στη RIS3. Για πολλές επιχειρήσεις η RIS3 δεν έχει καμία σχέση με αυτές</w:t>
      </w:r>
      <w:r>
        <w:rPr>
          <w:rFonts w:cstheme="minorHAnsi"/>
          <w:szCs w:val="18"/>
        </w:rPr>
        <w:t xml:space="preserve"> και </w:t>
      </w:r>
      <w:r w:rsidRPr="00DF6929">
        <w:rPr>
          <w:rFonts w:cstheme="minorHAnsi"/>
          <w:szCs w:val="18"/>
        </w:rPr>
        <w:t>αυτή η παρεξήγηση προέρχεται από την περίοδο επεξεργασίας και σχεδιασμού της RIS3, όταν πολλές (μεγάλες) επιχειρήσεις προσεγγίστηκαν είτε για διαβούλευση ή από τα Ερευνητικά ιδρύματα για συνεργασία.</w:t>
      </w:r>
    </w:p>
    <w:p w14:paraId="502F3FB7" w14:textId="77777777" w:rsidR="008706D5" w:rsidRPr="000B53F8" w:rsidRDefault="008706D5" w:rsidP="008706D5">
      <w:pPr>
        <w:pStyle w:val="ListParagraph"/>
        <w:numPr>
          <w:ilvl w:val="0"/>
          <w:numId w:val="32"/>
        </w:numPr>
        <w:ind w:left="180" w:hanging="180"/>
        <w:rPr>
          <w:rFonts w:cstheme="minorHAnsi"/>
          <w:i/>
          <w:iCs/>
          <w:szCs w:val="18"/>
          <w:u w:val="single"/>
        </w:rPr>
      </w:pPr>
      <w:r>
        <w:rPr>
          <w:rFonts w:cstheme="minorHAnsi"/>
          <w:i/>
          <w:iCs/>
          <w:szCs w:val="18"/>
          <w:u w:val="single"/>
        </w:rPr>
        <w:t>Α</w:t>
      </w:r>
      <w:r w:rsidRPr="000B53F8">
        <w:rPr>
          <w:rFonts w:cstheme="minorHAnsi"/>
          <w:i/>
          <w:iCs/>
          <w:szCs w:val="18"/>
          <w:u w:val="single"/>
        </w:rPr>
        <w:t>ποτελεσματικότητας εφαρμογής</w:t>
      </w:r>
    </w:p>
    <w:p w14:paraId="3FAC2892" w14:textId="77777777" w:rsidR="008706D5" w:rsidRPr="00DF6929" w:rsidRDefault="008706D5" w:rsidP="008706D5">
      <w:pPr>
        <w:rPr>
          <w:rFonts w:cstheme="minorHAnsi"/>
          <w:szCs w:val="18"/>
        </w:rPr>
      </w:pPr>
      <w:r w:rsidRPr="00DF6929">
        <w:rPr>
          <w:rFonts w:cstheme="minorHAnsi"/>
          <w:szCs w:val="18"/>
        </w:rPr>
        <w:t xml:space="preserve">Οι προκλήσεις αυτές συνοψίζονται ως εξής: </w:t>
      </w:r>
    </w:p>
    <w:p w14:paraId="4A9D41C1" w14:textId="77777777" w:rsidR="008706D5" w:rsidRPr="00DF6929" w:rsidRDefault="008706D5" w:rsidP="008706D5">
      <w:pPr>
        <w:pStyle w:val="ListParagraph"/>
        <w:numPr>
          <w:ilvl w:val="0"/>
          <w:numId w:val="31"/>
        </w:numPr>
        <w:rPr>
          <w:rFonts w:cstheme="minorHAnsi"/>
          <w:szCs w:val="18"/>
        </w:rPr>
      </w:pPr>
      <w:r>
        <w:rPr>
          <w:rFonts w:cstheme="minorHAnsi"/>
          <w:szCs w:val="18"/>
        </w:rPr>
        <w:t xml:space="preserve">Υπάρχει </w:t>
      </w:r>
      <w:r w:rsidRPr="00DF6929">
        <w:rPr>
          <w:rFonts w:cstheme="minorHAnsi"/>
          <w:szCs w:val="18"/>
        </w:rPr>
        <w:t>αναντιστοιχία μεταξύ των παραγωγικών φορέων και της RIS3 &amp; ΕΤΑΚ</w:t>
      </w:r>
      <w:r>
        <w:rPr>
          <w:rFonts w:cstheme="minorHAnsi"/>
          <w:szCs w:val="18"/>
        </w:rPr>
        <w:t>, γεγονός το οποίο ο</w:t>
      </w:r>
      <w:r w:rsidRPr="00DF6929">
        <w:rPr>
          <w:rFonts w:cstheme="minorHAnsi"/>
          <w:szCs w:val="18"/>
        </w:rPr>
        <w:t>φείλεται σε ιστορικές αδυναμίες σύνδεσης της παραγωγικής βάσης με τους ερευνητικούς  φορείς</w:t>
      </w:r>
      <w:r>
        <w:rPr>
          <w:rFonts w:cstheme="minorHAnsi"/>
          <w:szCs w:val="18"/>
        </w:rPr>
        <w:t>,</w:t>
      </w:r>
      <w:r w:rsidRPr="00DF6929">
        <w:rPr>
          <w:rFonts w:cstheme="minorHAnsi"/>
          <w:szCs w:val="18"/>
        </w:rPr>
        <w:t xml:space="preserve"> καθώς και στις πολιτικές παρεμβάσεις που επιδιώκουν τη συνοχή μεταξύ των ερευνητικών και των παραγωγικών φορέων (δηλαδή δύο από τους παράγοντες της τριπλής έλικας)</w:t>
      </w:r>
      <w:r>
        <w:rPr>
          <w:rFonts w:cstheme="minorHAnsi"/>
          <w:szCs w:val="18"/>
        </w:rPr>
        <w:t>.</w:t>
      </w:r>
    </w:p>
    <w:p w14:paraId="0DF0655A" w14:textId="77777777" w:rsidR="008706D5" w:rsidRPr="00AD3BC7" w:rsidRDefault="008706D5" w:rsidP="008706D5">
      <w:pPr>
        <w:pStyle w:val="ListParagraph"/>
        <w:numPr>
          <w:ilvl w:val="0"/>
          <w:numId w:val="31"/>
        </w:numPr>
        <w:rPr>
          <w:rFonts w:cstheme="minorHAnsi"/>
          <w:szCs w:val="18"/>
        </w:rPr>
      </w:pPr>
      <w:r w:rsidRPr="00AD3BC7">
        <w:rPr>
          <w:rFonts w:cstheme="minorHAnsi"/>
          <w:szCs w:val="18"/>
        </w:rPr>
        <w:t xml:space="preserve">Υπάρχει απόσταση </w:t>
      </w:r>
      <w:r>
        <w:rPr>
          <w:rFonts w:cstheme="minorHAnsi"/>
          <w:szCs w:val="18"/>
        </w:rPr>
        <w:t>α</w:t>
      </w:r>
      <w:r w:rsidRPr="00AD3BC7">
        <w:rPr>
          <w:rFonts w:cstheme="minorHAnsi"/>
          <w:szCs w:val="18"/>
        </w:rPr>
        <w:t>πό την καλύτερη αξιοποίηση της ερευνητικής αριστείας ως πορείας για περαιτέρω εξειδίκευση</w:t>
      </w:r>
      <w:r>
        <w:rPr>
          <w:rFonts w:cstheme="minorHAnsi"/>
          <w:szCs w:val="18"/>
        </w:rPr>
        <w:t>.</w:t>
      </w:r>
    </w:p>
    <w:p w14:paraId="5A6CF82C" w14:textId="77777777" w:rsidR="008706D5" w:rsidRPr="00DF6929" w:rsidRDefault="008706D5" w:rsidP="008706D5">
      <w:pPr>
        <w:pStyle w:val="ListParagraph"/>
        <w:numPr>
          <w:ilvl w:val="0"/>
          <w:numId w:val="31"/>
        </w:numPr>
        <w:rPr>
          <w:rFonts w:cstheme="minorHAnsi"/>
          <w:szCs w:val="18"/>
        </w:rPr>
      </w:pPr>
      <w:r>
        <w:rPr>
          <w:rFonts w:cstheme="minorHAnsi"/>
          <w:szCs w:val="18"/>
        </w:rPr>
        <w:t xml:space="preserve">Οι πόροι που κατευθύνονται στις δράσεις της </w:t>
      </w:r>
      <w:r w:rsidRPr="00DF6929">
        <w:rPr>
          <w:rFonts w:cstheme="minorHAnsi"/>
          <w:szCs w:val="18"/>
        </w:rPr>
        <w:t>RIS3</w:t>
      </w:r>
      <w:r>
        <w:rPr>
          <w:rFonts w:cstheme="minorHAnsi"/>
          <w:szCs w:val="18"/>
        </w:rPr>
        <w:t xml:space="preserve"> είναι </w:t>
      </w:r>
      <w:r w:rsidRPr="00DF6929">
        <w:rPr>
          <w:rFonts w:cstheme="minorHAnsi"/>
          <w:szCs w:val="18"/>
        </w:rPr>
        <w:t>περιορισμένοι πόροι</w:t>
      </w:r>
      <w:r>
        <w:rPr>
          <w:rFonts w:cstheme="minorHAnsi"/>
          <w:szCs w:val="18"/>
        </w:rPr>
        <w:t>.</w:t>
      </w:r>
    </w:p>
    <w:p w14:paraId="21799EF5" w14:textId="77777777" w:rsidR="008706D5" w:rsidRPr="00DF6929" w:rsidRDefault="008706D5" w:rsidP="008706D5">
      <w:pPr>
        <w:rPr>
          <w:rFonts w:cstheme="minorHAnsi"/>
          <w:szCs w:val="18"/>
        </w:rPr>
      </w:pPr>
      <w:r w:rsidRPr="00DF6929">
        <w:rPr>
          <w:rFonts w:cstheme="minorHAnsi"/>
          <w:szCs w:val="18"/>
        </w:rPr>
        <w:t>Τα δύο πρώτα θέματα είναι πολύ πιο έντονα στις λιγότερο προηγμένες και απομακρυσμένες περιφέρειες της Ελλάδας ενώ το τρίτο είναι πιο συναφές με τις περιοχές καινοτομίας, οι οποίες διαθέτουν πολύ λιγότερα διαρθρωτικά κεφάλαια από τις λιγότερο προηγμένες περιφέρειες.</w:t>
      </w:r>
    </w:p>
    <w:p w14:paraId="51D3D0DB" w14:textId="77777777" w:rsidR="008706D5" w:rsidRDefault="008706D5" w:rsidP="008706D5">
      <w:pPr>
        <w:spacing w:before="0" w:after="160" w:line="259" w:lineRule="auto"/>
        <w:jc w:val="left"/>
        <w:rPr>
          <w:rFonts w:cstheme="minorHAnsi"/>
          <w:b/>
          <w:bCs/>
          <w:szCs w:val="18"/>
        </w:rPr>
      </w:pPr>
    </w:p>
    <w:p w14:paraId="46002FB5" w14:textId="77777777" w:rsidR="008706D5" w:rsidRDefault="008706D5" w:rsidP="008706D5">
      <w:pPr>
        <w:rPr>
          <w:rFonts w:cstheme="minorHAnsi"/>
          <w:b/>
          <w:bCs/>
          <w:szCs w:val="18"/>
        </w:rPr>
      </w:pPr>
      <w:r w:rsidRPr="000B53F8">
        <w:rPr>
          <w:rFonts w:cstheme="minorHAnsi"/>
          <w:b/>
          <w:bCs/>
          <w:szCs w:val="18"/>
        </w:rPr>
        <w:t>Τρόποι</w:t>
      </w:r>
      <w:r>
        <w:rPr>
          <w:rFonts w:cstheme="minorHAnsi"/>
          <w:b/>
          <w:bCs/>
          <w:szCs w:val="18"/>
        </w:rPr>
        <w:t xml:space="preserve"> </w:t>
      </w:r>
      <w:r w:rsidRPr="000B53F8">
        <w:rPr>
          <w:rFonts w:cstheme="minorHAnsi"/>
          <w:b/>
          <w:bCs/>
          <w:szCs w:val="18"/>
        </w:rPr>
        <w:t>Αντιμετώπισης</w:t>
      </w:r>
      <w:r w:rsidRPr="00D84FC4">
        <w:rPr>
          <w:rFonts w:cstheme="minorHAnsi"/>
          <w:b/>
          <w:bCs/>
          <w:szCs w:val="18"/>
        </w:rPr>
        <w:t xml:space="preserve"> </w:t>
      </w:r>
      <w:r>
        <w:rPr>
          <w:rFonts w:cstheme="minorHAnsi"/>
          <w:b/>
          <w:bCs/>
          <w:szCs w:val="18"/>
        </w:rPr>
        <w:t>– Προτάσεις</w:t>
      </w:r>
    </w:p>
    <w:p w14:paraId="10331DE8" w14:textId="77777777" w:rsidR="008706D5" w:rsidRPr="00643698" w:rsidRDefault="008706D5" w:rsidP="008706D5">
      <w:pPr>
        <w:rPr>
          <w:rFonts w:cstheme="minorHAnsi"/>
          <w:szCs w:val="18"/>
        </w:rPr>
      </w:pPr>
      <w:r w:rsidRPr="00643698">
        <w:rPr>
          <w:rFonts w:cstheme="minorHAnsi"/>
          <w:szCs w:val="18"/>
        </w:rPr>
        <w:t xml:space="preserve">Λαμβάνοντας υπόψη τις ειδικές προκλήσεις όπως </w:t>
      </w:r>
      <w:r>
        <w:rPr>
          <w:rFonts w:cstheme="minorHAnsi"/>
          <w:szCs w:val="18"/>
        </w:rPr>
        <w:t xml:space="preserve">αυτές έχουν καταγραφεί ανωτέρω, παρατίθενται στη συνέχεια τρόποι αντιμετώπισής τους, καθώς και προτάσεις οι οποίες μπορούν να συμβάλλουν τόσο στην επιτάχυνση της υλοποίησης  της στρατηγικής </w:t>
      </w:r>
      <w:r>
        <w:rPr>
          <w:rFonts w:cstheme="minorHAnsi"/>
          <w:szCs w:val="18"/>
          <w:lang w:val="en-US"/>
        </w:rPr>
        <w:t>RIS</w:t>
      </w:r>
      <w:r w:rsidRPr="00D84FC4">
        <w:rPr>
          <w:rFonts w:cstheme="minorHAnsi"/>
          <w:szCs w:val="18"/>
        </w:rPr>
        <w:t>3</w:t>
      </w:r>
      <w:r>
        <w:rPr>
          <w:rFonts w:cstheme="minorHAnsi"/>
          <w:szCs w:val="18"/>
        </w:rPr>
        <w:t xml:space="preserve">, όσο και στη διαδικασία αναθεώρησης της εν λόγω στρατηγικής, η οποία προβλέπεται το 2019.  </w:t>
      </w:r>
    </w:p>
    <w:p w14:paraId="140EF705" w14:textId="77777777" w:rsidR="008706D5" w:rsidRPr="007E78E2" w:rsidRDefault="008706D5" w:rsidP="008706D5">
      <w:pPr>
        <w:rPr>
          <w:rFonts w:cstheme="minorHAnsi"/>
          <w:bCs/>
          <w:szCs w:val="18"/>
          <w:u w:val="single"/>
        </w:rPr>
      </w:pPr>
      <w:r w:rsidRPr="007E78E2">
        <w:rPr>
          <w:rFonts w:cstheme="minorHAnsi"/>
          <w:bCs/>
          <w:i/>
          <w:iCs/>
          <w:szCs w:val="18"/>
          <w:u w:val="single"/>
        </w:rPr>
        <w:t>Εμπλουτισμός των δεικτών παρακολούθησης</w:t>
      </w:r>
    </w:p>
    <w:p w14:paraId="1D2734F7" w14:textId="77777777" w:rsidR="008706D5" w:rsidRPr="00DF6929" w:rsidRDefault="008706D5" w:rsidP="008706D5">
      <w:pPr>
        <w:rPr>
          <w:rFonts w:cstheme="minorHAnsi"/>
          <w:szCs w:val="18"/>
        </w:rPr>
      </w:pPr>
      <w:r w:rsidRPr="00DF6929">
        <w:rPr>
          <w:rFonts w:cstheme="minorHAnsi"/>
          <w:szCs w:val="18"/>
        </w:rPr>
        <w:t xml:space="preserve">Η βάση του συστήματος παρακολούθησης και αξιολόγησης της στρατηγικής RIS3 προτείνεται να περιλαμβάνει και δείκτες παρακολούθησης της διαχειριστικής επάρκειας των φορέων που είναι αρμόδιοι για την παρακολούθηση και αξιολόγηση των RIS3 (ΓΓΕΤ, ΕΙΕ / ΕΚΤ, ΕΛΣΤΑΤ, ΟΒΙ). Δείκτες μέτρησης του χρόνου από την ωρίμανση μέχρι την προκήρυξη των δράσεων της </w:t>
      </w:r>
      <w:r w:rsidRPr="00DF6929">
        <w:rPr>
          <w:rFonts w:cstheme="minorHAnsi"/>
          <w:szCs w:val="18"/>
          <w:lang w:val="en-US"/>
        </w:rPr>
        <w:t>RIS</w:t>
      </w:r>
      <w:r w:rsidRPr="00DF6929">
        <w:rPr>
          <w:rFonts w:cstheme="minorHAnsi"/>
          <w:szCs w:val="18"/>
        </w:rPr>
        <w:t xml:space="preserve">3, καθώς και δείκτες μέτρησης του χρόνου αξιολόγησης των προτάσεων έργων και της διενέργειας πιστοποιήσεων, θα προσφέρουν μια πληρέστερη εικόνα για την πορεία υλοποίησης της </w:t>
      </w:r>
      <w:r w:rsidRPr="00DF6929">
        <w:rPr>
          <w:rFonts w:cstheme="minorHAnsi"/>
          <w:szCs w:val="18"/>
          <w:lang w:val="en-US"/>
        </w:rPr>
        <w:t>RIS</w:t>
      </w:r>
      <w:r w:rsidRPr="00DF6929">
        <w:rPr>
          <w:rFonts w:cstheme="minorHAnsi"/>
          <w:szCs w:val="18"/>
        </w:rPr>
        <w:t>3 και θα εξυπηρετήσουν τον προγραμματισμό της. Η προσθήκη δεικτών για τη διαδικασία εκτέλεσης (π.χ. χρόνοι ωρίμανσης, ποσοστά επιτυχίας προτάσεων) που δεν περιλαμβάνονται μέχρι σήμερα</w:t>
      </w:r>
      <w:r>
        <w:rPr>
          <w:rFonts w:cstheme="minorHAnsi"/>
          <w:szCs w:val="18"/>
        </w:rPr>
        <w:t>,</w:t>
      </w:r>
      <w:r w:rsidRPr="00DF6929">
        <w:rPr>
          <w:rFonts w:cstheme="minorHAnsi"/>
          <w:szCs w:val="18"/>
        </w:rPr>
        <w:t xml:space="preserve"> είναι κρίσιμα για την επιτυχία της RIS3. </w:t>
      </w:r>
    </w:p>
    <w:p w14:paraId="04279969" w14:textId="77777777" w:rsidR="008706D5" w:rsidRPr="007E78E2" w:rsidRDefault="008706D5" w:rsidP="008706D5">
      <w:pPr>
        <w:rPr>
          <w:rFonts w:cstheme="minorHAnsi"/>
          <w:bCs/>
          <w:i/>
          <w:iCs/>
          <w:szCs w:val="18"/>
          <w:u w:val="single"/>
        </w:rPr>
      </w:pPr>
      <w:r w:rsidRPr="007E78E2">
        <w:rPr>
          <w:rFonts w:cstheme="minorHAnsi"/>
          <w:bCs/>
          <w:i/>
          <w:iCs/>
          <w:szCs w:val="18"/>
          <w:u w:val="single"/>
        </w:rPr>
        <w:lastRenderedPageBreak/>
        <w:t>Συντονισμός με ΕΥΔ των Επιχειρησιακών Προγραμμάτων των Περιφερειών</w:t>
      </w:r>
    </w:p>
    <w:p w14:paraId="7E351507" w14:textId="77777777" w:rsidR="008706D5" w:rsidRPr="00DF6929" w:rsidRDefault="008706D5" w:rsidP="008706D5">
      <w:pPr>
        <w:rPr>
          <w:rFonts w:cstheme="minorHAnsi"/>
          <w:szCs w:val="18"/>
        </w:rPr>
      </w:pPr>
      <w:r>
        <w:rPr>
          <w:rFonts w:cstheme="minorHAnsi"/>
          <w:szCs w:val="18"/>
        </w:rPr>
        <w:t>Ο</w:t>
      </w:r>
      <w:r w:rsidRPr="00DF6929">
        <w:rPr>
          <w:rFonts w:cstheme="minorHAnsi"/>
          <w:szCs w:val="18"/>
        </w:rPr>
        <w:t xml:space="preserve"> κατάλληλος χρονοπρογραμματισμός των προσκλήσεων και η αποφυγή αλληλοεπικαλύψεων με παρόμοιες προτάσεις από τα Περιφερειακά ΕΠ, θα δώσει τη δυνατότητα σε υποψηφίους που δεν έχουν τη διαχειριστική επάρκεια να υποβάλλουν πολλές προτάσεις, να αναλύσουν τις προσκλήσεις και να δομήσουν πιο συγκεκριμένες στους στόχους της Πράξης</w:t>
      </w:r>
      <w:r>
        <w:rPr>
          <w:rFonts w:cstheme="minorHAnsi"/>
          <w:szCs w:val="18"/>
        </w:rPr>
        <w:t>,</w:t>
      </w:r>
      <w:r w:rsidRPr="00DF6929">
        <w:rPr>
          <w:rFonts w:cstheme="minorHAnsi"/>
          <w:szCs w:val="18"/>
        </w:rPr>
        <w:t xml:space="preserve"> προτάσεις.</w:t>
      </w:r>
    </w:p>
    <w:p w14:paraId="55749D1C" w14:textId="77777777" w:rsidR="008706D5" w:rsidRPr="007E78E2" w:rsidRDefault="008706D5" w:rsidP="008706D5">
      <w:pPr>
        <w:rPr>
          <w:rFonts w:cstheme="minorHAnsi"/>
          <w:bCs/>
          <w:i/>
          <w:iCs/>
          <w:szCs w:val="18"/>
          <w:u w:val="single"/>
        </w:rPr>
      </w:pPr>
      <w:r w:rsidRPr="007E78E2">
        <w:rPr>
          <w:rFonts w:cstheme="minorHAnsi"/>
          <w:bCs/>
          <w:i/>
          <w:iCs/>
          <w:szCs w:val="18"/>
          <w:u w:val="single"/>
        </w:rPr>
        <w:t>Απλοποίηση Προσκλήσεων</w:t>
      </w:r>
    </w:p>
    <w:p w14:paraId="75BC26D7" w14:textId="77777777" w:rsidR="008706D5" w:rsidRPr="00DF6929" w:rsidRDefault="008706D5" w:rsidP="008706D5">
      <w:pPr>
        <w:rPr>
          <w:rFonts w:cstheme="minorHAnsi"/>
          <w:szCs w:val="18"/>
        </w:rPr>
      </w:pPr>
      <w:r>
        <w:rPr>
          <w:rFonts w:cstheme="minorHAnsi"/>
          <w:szCs w:val="18"/>
        </w:rPr>
        <w:t>Π</w:t>
      </w:r>
      <w:r w:rsidRPr="00DF6929">
        <w:rPr>
          <w:rFonts w:cstheme="minorHAnsi"/>
          <w:szCs w:val="18"/>
        </w:rPr>
        <w:t xml:space="preserve">ροτείνεται η προώθηση της γρήγορης και απλής έναρξης της υλοποίησης των Πράξεων. Τα κείμενα των προσκλήσεων και των οδηγών υλοποίησης </w:t>
      </w:r>
      <w:r>
        <w:rPr>
          <w:rFonts w:cstheme="minorHAnsi"/>
          <w:szCs w:val="18"/>
        </w:rPr>
        <w:t xml:space="preserve">θα πρέπει </w:t>
      </w:r>
      <w:r w:rsidRPr="00DF6929">
        <w:rPr>
          <w:rFonts w:cstheme="minorHAnsi"/>
          <w:szCs w:val="18"/>
        </w:rPr>
        <w:t>να είναι «ελαφρύτερ</w:t>
      </w:r>
      <w:r>
        <w:rPr>
          <w:rFonts w:cstheme="minorHAnsi"/>
          <w:szCs w:val="18"/>
        </w:rPr>
        <w:t>α</w:t>
      </w:r>
      <w:r w:rsidRPr="00DF6929">
        <w:rPr>
          <w:rFonts w:cstheme="minorHAnsi"/>
          <w:szCs w:val="18"/>
        </w:rPr>
        <w:t>» εστιάζοντας στην επίτευξη των στόχων και στη διάθεση των κονδυλίων. Οι πληροφορίες να απαιτούνται μόνο μία φορά σε πρακτικό πλαίσιο —οι μακροσκελείς επαναλαμβανόμενες περιγραφές μπορούν να αποφεύγονται.</w:t>
      </w:r>
      <w:r>
        <w:rPr>
          <w:rFonts w:cstheme="minorHAnsi"/>
          <w:szCs w:val="18"/>
        </w:rPr>
        <w:t xml:space="preserve"> </w:t>
      </w:r>
      <w:r w:rsidRPr="00DF6929">
        <w:rPr>
          <w:rFonts w:cstheme="minorHAnsi"/>
          <w:szCs w:val="18"/>
        </w:rPr>
        <w:t>Τα μακροσκελή παραρτήματα σε νομικά κείμενα και οδηγίες θα μπορούσαν να αντικατασταθούν από παραπομπές σε ένα κεντρικό αποθετήριο εγγράφων που θα συντηρείται από την ΕΥΣΣΑ</w:t>
      </w:r>
    </w:p>
    <w:p w14:paraId="4E2B06FB" w14:textId="77777777" w:rsidR="008706D5" w:rsidRPr="007E78E2" w:rsidRDefault="008706D5" w:rsidP="008706D5">
      <w:pPr>
        <w:rPr>
          <w:rFonts w:cstheme="minorHAnsi"/>
          <w:bCs/>
          <w:i/>
          <w:iCs/>
          <w:szCs w:val="18"/>
          <w:u w:val="single"/>
        </w:rPr>
      </w:pPr>
      <w:r w:rsidRPr="007E78E2">
        <w:rPr>
          <w:rFonts w:cstheme="minorHAnsi"/>
          <w:bCs/>
          <w:i/>
          <w:iCs/>
          <w:szCs w:val="18"/>
          <w:u w:val="single"/>
        </w:rPr>
        <w:t>Ολοκλήρωση της RIS3 με τομείς ποιότητας ζωής</w:t>
      </w:r>
    </w:p>
    <w:p w14:paraId="63B7B535" w14:textId="77777777" w:rsidR="008706D5" w:rsidRPr="00DF6929" w:rsidRDefault="008706D5" w:rsidP="008706D5">
      <w:pPr>
        <w:rPr>
          <w:rFonts w:cstheme="minorHAnsi"/>
          <w:szCs w:val="18"/>
        </w:rPr>
      </w:pPr>
      <w:r w:rsidRPr="00DF6929">
        <w:rPr>
          <w:rFonts w:cstheme="minorHAnsi"/>
          <w:szCs w:val="18"/>
        </w:rPr>
        <w:t xml:space="preserve">Σαφήνεια/ Καταλληλόλητα στρατηγικής σε σχέση με τις ανάγκες και τις προκλήσεις των τομέων του περιβάλλοντος, της απασχόλησης, της κοινωνικής προστασίας και πρόνοιας - Συνάφεια με πολιτικές και σε ευρωπαϊκό επίπεδο. Προτείνεται να συμπεριληφθούν στις προτεραιότητες της </w:t>
      </w:r>
      <w:r w:rsidRPr="00DF6929">
        <w:rPr>
          <w:rFonts w:cstheme="minorHAnsi"/>
          <w:szCs w:val="18"/>
          <w:lang w:val="en-US"/>
        </w:rPr>
        <w:t>RIS</w:t>
      </w:r>
      <w:r w:rsidRPr="00DF6929">
        <w:rPr>
          <w:rFonts w:cstheme="minorHAnsi"/>
          <w:szCs w:val="18"/>
        </w:rPr>
        <w:t>3 ειδικοί τομείς που έχουν συμπεριληφθεί ως προτεραιότητες σε Ευρωπαϊκά προγράμματα και στα οποία υπήρχαν ελληνικές συμμετοχές.</w:t>
      </w:r>
    </w:p>
    <w:p w14:paraId="19AF8CEB" w14:textId="77777777" w:rsidR="008706D5" w:rsidRPr="007E78E2" w:rsidRDefault="008706D5" w:rsidP="008706D5">
      <w:pPr>
        <w:rPr>
          <w:rFonts w:cstheme="minorHAnsi"/>
          <w:bCs/>
          <w:i/>
          <w:iCs/>
          <w:szCs w:val="18"/>
          <w:u w:val="single"/>
        </w:rPr>
      </w:pPr>
      <w:r w:rsidRPr="007E78E2">
        <w:rPr>
          <w:rFonts w:cstheme="minorHAnsi"/>
          <w:bCs/>
          <w:i/>
          <w:iCs/>
          <w:szCs w:val="18"/>
          <w:u w:val="single"/>
        </w:rPr>
        <w:t>Ανάπτυξη ευφυούς εργαλείου παρακολούθησης</w:t>
      </w:r>
    </w:p>
    <w:p w14:paraId="7EBDE4F7" w14:textId="365B331B" w:rsidR="008706D5" w:rsidRPr="00DF6929" w:rsidRDefault="008706D5" w:rsidP="008706D5">
      <w:pPr>
        <w:rPr>
          <w:rFonts w:cstheme="minorHAnsi"/>
          <w:szCs w:val="18"/>
        </w:rPr>
      </w:pPr>
      <w:r>
        <w:rPr>
          <w:rFonts w:cstheme="minorHAnsi"/>
          <w:szCs w:val="18"/>
        </w:rPr>
        <w:t>Π</w:t>
      </w:r>
      <w:r w:rsidRPr="00DF6929">
        <w:rPr>
          <w:rFonts w:cstheme="minorHAnsi"/>
          <w:szCs w:val="18"/>
        </w:rPr>
        <w:t xml:space="preserve">ροτείνεται να </w:t>
      </w:r>
      <w:r w:rsidR="00726799">
        <w:rPr>
          <w:rFonts w:cstheme="minorHAnsi"/>
          <w:szCs w:val="18"/>
        </w:rPr>
        <w:t>δημιουργηθεί</w:t>
      </w:r>
      <w:r w:rsidRPr="00DF6929">
        <w:rPr>
          <w:rFonts w:cstheme="minorHAnsi"/>
          <w:szCs w:val="18"/>
        </w:rPr>
        <w:t xml:space="preserve"> </w:t>
      </w:r>
      <w:r w:rsidR="003254F0">
        <w:rPr>
          <w:rFonts w:cstheme="minorHAnsi"/>
          <w:szCs w:val="18"/>
        </w:rPr>
        <w:t xml:space="preserve">/ σχεδιαστεί </w:t>
      </w:r>
      <w:r w:rsidRPr="00DF6929">
        <w:rPr>
          <w:rFonts w:cstheme="minorHAnsi"/>
          <w:szCs w:val="18"/>
        </w:rPr>
        <w:t xml:space="preserve">έξυπνο εργαλείο για την ανάπτυξη της στρατηγικής (όχι μια πηγή στατιστικών στοιχείων). Σκοπός του εργαλείου / βάσης δεδομένων θα είναι να </w:t>
      </w:r>
      <w:r w:rsidR="00726799">
        <w:rPr>
          <w:rFonts w:cstheme="minorHAnsi"/>
          <w:szCs w:val="18"/>
        </w:rPr>
        <w:t>παράσχει</w:t>
      </w:r>
      <w:r w:rsidRPr="00DF6929">
        <w:rPr>
          <w:rFonts w:cstheme="minorHAnsi"/>
          <w:szCs w:val="18"/>
        </w:rPr>
        <w:t xml:space="preserve"> μια γενική εικόνα των προτεραιοτήτων της στρατηγικής ώστε να δοθεί η δυνατότητα και σε άλλα σημαντικά ενδιαφερόμενα μέρη (ΜΜΕ, </w:t>
      </w:r>
      <w:r w:rsidRPr="00DF6929">
        <w:rPr>
          <w:rFonts w:cstheme="minorHAnsi"/>
          <w:szCs w:val="18"/>
          <w:lang w:val="en-US"/>
        </w:rPr>
        <w:t>start</w:t>
      </w:r>
      <w:r w:rsidRPr="00DF6929">
        <w:rPr>
          <w:rFonts w:cstheme="minorHAnsi"/>
          <w:szCs w:val="18"/>
        </w:rPr>
        <w:t xml:space="preserve"> </w:t>
      </w:r>
      <w:r w:rsidRPr="00DF6929">
        <w:rPr>
          <w:rFonts w:cstheme="minorHAnsi"/>
          <w:szCs w:val="18"/>
          <w:lang w:val="en-US"/>
        </w:rPr>
        <w:t>ups</w:t>
      </w:r>
      <w:r w:rsidRPr="00DF6929">
        <w:rPr>
          <w:rFonts w:cstheme="minorHAnsi"/>
          <w:szCs w:val="18"/>
        </w:rPr>
        <w:t xml:space="preserve">, ερευνητές) να </w:t>
      </w:r>
      <w:r w:rsidR="00726799">
        <w:rPr>
          <w:rFonts w:cstheme="minorHAnsi"/>
          <w:szCs w:val="18"/>
        </w:rPr>
        <w:t>«</w:t>
      </w:r>
      <w:r w:rsidRPr="00DF6929">
        <w:rPr>
          <w:rFonts w:cstheme="minorHAnsi"/>
          <w:szCs w:val="18"/>
        </w:rPr>
        <w:t>τοποθετηθούν</w:t>
      </w:r>
      <w:r w:rsidR="00726799">
        <w:rPr>
          <w:rFonts w:cstheme="minorHAnsi"/>
          <w:szCs w:val="18"/>
        </w:rPr>
        <w:t>»</w:t>
      </w:r>
      <w:r w:rsidRPr="00DF6929">
        <w:rPr>
          <w:rFonts w:cstheme="minorHAnsi"/>
          <w:szCs w:val="18"/>
        </w:rPr>
        <w:t xml:space="preserve">, να βρουν τις μοναδικές τους θέσεις και να αναζητήσουν πιθανούς εταίρους για συνεργασία. Με την επικαιροποίηση της ηλεκτρονικής βάσης δεδομένων με εθνικές προτεραιότητες, η εθνική </w:t>
      </w:r>
      <w:r w:rsidRPr="00DF6929">
        <w:rPr>
          <w:rFonts w:cstheme="minorHAnsi"/>
          <w:szCs w:val="18"/>
          <w:lang w:val="en-US"/>
        </w:rPr>
        <w:t>RIS</w:t>
      </w:r>
      <w:r w:rsidRPr="00DF6929">
        <w:rPr>
          <w:rFonts w:cstheme="minorHAnsi"/>
          <w:szCs w:val="18"/>
        </w:rPr>
        <w:t xml:space="preserve">3 θα κερδίσει προβολή και θα έχει την ευκαιρία να αναγνωριστεί από δυνητικούς ομολόγους που αναζητούν συνεργασία σε ένα συγκεκριμένο θέμα (ευρωπαϊκές συμπράξεις καινοτομίας, Horizon 2020, την επέκταση των κοινοτήτων γνώσης και καινοτομίας του ΕΙΤ, μακροπεριφερειακή συνεργασία, έργα INTERREG, </w:t>
      </w:r>
      <w:r w:rsidRPr="00DF6929">
        <w:rPr>
          <w:rFonts w:cstheme="minorHAnsi"/>
          <w:szCs w:val="18"/>
          <w:lang w:val="en-US"/>
        </w:rPr>
        <w:t>LIFE</w:t>
      </w:r>
      <w:r w:rsidR="003254F0">
        <w:rPr>
          <w:rFonts w:cstheme="minorHAnsi"/>
          <w:szCs w:val="18"/>
        </w:rPr>
        <w:t>,</w:t>
      </w:r>
      <w:r w:rsidRPr="00DF6929">
        <w:rPr>
          <w:rFonts w:cstheme="minorHAnsi"/>
          <w:szCs w:val="18"/>
        </w:rPr>
        <w:t xml:space="preserve"> κ.λπ.). Το ηλεκτρονικό εργαλείο θα επιτρέπει επίσης να γίνονται συγκρίσεις των προτεραιοτήτων της RIS3 σε ολόκληρη την Ευρώπη για καλύτερη κατανόηση του τρόπου με τον οποίο άλλες περιφέρειες και χώρες αναπτύσσουν τις στρατηγικές και τις προτεραιότητές τους για την καινοτομία και ενδεχομένως εντοπίζουν ανταγωνιστικές θέσεις.</w:t>
      </w:r>
    </w:p>
    <w:p w14:paraId="5605D084" w14:textId="2B3D2E1A" w:rsidR="008706D5" w:rsidRPr="00DF6929" w:rsidRDefault="00F56EA7" w:rsidP="008706D5">
      <w:pPr>
        <w:rPr>
          <w:rFonts w:cstheme="minorHAnsi"/>
          <w:szCs w:val="18"/>
        </w:rPr>
      </w:pPr>
      <w:r>
        <w:rPr>
          <w:rFonts w:cstheme="minorHAnsi"/>
          <w:szCs w:val="18"/>
        </w:rPr>
        <w:t>Επίσης</w:t>
      </w:r>
      <w:bookmarkStart w:id="42" w:name="_GoBack"/>
      <w:bookmarkEnd w:id="42"/>
      <w:r w:rsidR="008706D5" w:rsidRPr="00DF6929">
        <w:rPr>
          <w:rFonts w:cstheme="minorHAnsi"/>
          <w:szCs w:val="18"/>
        </w:rPr>
        <w:t>, η πλατφόρμα αυτή μπορεί να βοηθήσει στην ανάδειξη νέων καινοτόμων παραγωγικών φορέων, στην ενίσχυση αυτών που σήμερα επιμένουν και διακρίνονται σε αυτή την προσπάθεια, και στο να αποτρέψει τη χώρα από το να πέσει θύμα του φαινομένου ‘δημιουργία καινοτομίας εδώ, αλλά εκμετάλλευσή της αλλού’ (“</w:t>
      </w:r>
      <w:r w:rsidR="008706D5" w:rsidRPr="00D52325">
        <w:rPr>
          <w:rFonts w:cstheme="minorHAnsi"/>
          <w:szCs w:val="18"/>
          <w:lang w:val="en-GB"/>
        </w:rPr>
        <w:t>invented</w:t>
      </w:r>
      <w:r w:rsidR="008706D5" w:rsidRPr="00643698">
        <w:rPr>
          <w:rFonts w:cstheme="minorHAnsi"/>
          <w:szCs w:val="18"/>
        </w:rPr>
        <w:t xml:space="preserve"> </w:t>
      </w:r>
      <w:r w:rsidR="008706D5" w:rsidRPr="00D52325">
        <w:rPr>
          <w:rFonts w:cstheme="minorHAnsi"/>
          <w:szCs w:val="18"/>
          <w:lang w:val="en-GB"/>
        </w:rPr>
        <w:t>here</w:t>
      </w:r>
      <w:r w:rsidR="008706D5" w:rsidRPr="00643698">
        <w:rPr>
          <w:rFonts w:cstheme="minorHAnsi"/>
          <w:szCs w:val="18"/>
        </w:rPr>
        <w:t xml:space="preserve">, </w:t>
      </w:r>
      <w:r w:rsidR="008706D5" w:rsidRPr="00D52325">
        <w:rPr>
          <w:rFonts w:cstheme="minorHAnsi"/>
          <w:szCs w:val="18"/>
          <w:lang w:val="en-GB"/>
        </w:rPr>
        <w:t>exploited</w:t>
      </w:r>
      <w:r w:rsidR="008706D5" w:rsidRPr="00643698">
        <w:rPr>
          <w:rFonts w:cstheme="minorHAnsi"/>
          <w:szCs w:val="18"/>
        </w:rPr>
        <w:t xml:space="preserve"> </w:t>
      </w:r>
      <w:r w:rsidR="008706D5" w:rsidRPr="00D52325">
        <w:rPr>
          <w:rFonts w:cstheme="minorHAnsi"/>
          <w:szCs w:val="18"/>
          <w:lang w:val="en-GB"/>
        </w:rPr>
        <w:t>elsewhere</w:t>
      </w:r>
      <w:r w:rsidR="008706D5" w:rsidRPr="00DF6929">
        <w:rPr>
          <w:rFonts w:cstheme="minorHAnsi"/>
          <w:szCs w:val="18"/>
        </w:rPr>
        <w:t>”). Σημαντικός παράγοντας σε αυτή την προσπάθεια είναι η ενθάρρυνση της ανάληψης του κινδύνου</w:t>
      </w:r>
      <w:r w:rsidR="008706D5">
        <w:rPr>
          <w:rFonts w:cstheme="minorHAnsi"/>
          <w:szCs w:val="18"/>
        </w:rPr>
        <w:t>,</w:t>
      </w:r>
      <w:r w:rsidR="008706D5" w:rsidRPr="00DF6929">
        <w:rPr>
          <w:rFonts w:cstheme="minorHAnsi"/>
          <w:szCs w:val="18"/>
        </w:rPr>
        <w:t xml:space="preserve"> αλλά και της αναγνώρισης των ευκαιριών που πηγάζουν από την αβεβαιότητα των δραστηριοτήτων ΕΤΑΚ. </w:t>
      </w:r>
    </w:p>
    <w:p w14:paraId="381D2A4D" w14:textId="77777777" w:rsidR="008706D5" w:rsidRPr="00DF6929" w:rsidRDefault="008706D5" w:rsidP="008706D5">
      <w:pPr>
        <w:rPr>
          <w:rFonts w:cstheme="minorHAnsi"/>
          <w:szCs w:val="18"/>
        </w:rPr>
      </w:pPr>
      <w:r w:rsidRPr="00DF6929">
        <w:rPr>
          <w:rFonts w:cstheme="minorHAnsi"/>
          <w:szCs w:val="18"/>
        </w:rPr>
        <w:t xml:space="preserve">Έτσι, η RIS3 θα μεριμνά για την ανάπτυξη όλων των «τύπων ΕΤΑΚ»: </w:t>
      </w:r>
    </w:p>
    <w:p w14:paraId="51EC975A" w14:textId="77777777" w:rsidR="008706D5" w:rsidRPr="00DF6929" w:rsidRDefault="008706D5" w:rsidP="008706D5">
      <w:pPr>
        <w:pStyle w:val="ListParagraph"/>
        <w:numPr>
          <w:ilvl w:val="0"/>
          <w:numId w:val="25"/>
        </w:numPr>
        <w:rPr>
          <w:rFonts w:cstheme="minorHAnsi"/>
          <w:szCs w:val="18"/>
        </w:rPr>
      </w:pPr>
      <w:r w:rsidRPr="00DF6929">
        <w:rPr>
          <w:rFonts w:cstheme="minorHAnsi"/>
          <w:szCs w:val="18"/>
        </w:rPr>
        <w:t>Καινοτομία που παράγεται από τις «ανάγκες της αγοράς» (</w:t>
      </w:r>
      <w:r w:rsidRPr="00D52325">
        <w:rPr>
          <w:rFonts w:cstheme="minorHAnsi"/>
          <w:szCs w:val="18"/>
          <w:lang w:val="en-GB"/>
        </w:rPr>
        <w:t>demand</w:t>
      </w:r>
      <w:r w:rsidRPr="00643698">
        <w:rPr>
          <w:rFonts w:cstheme="minorHAnsi"/>
          <w:szCs w:val="18"/>
        </w:rPr>
        <w:t xml:space="preserve"> </w:t>
      </w:r>
      <w:r w:rsidRPr="00D52325">
        <w:rPr>
          <w:rFonts w:cstheme="minorHAnsi"/>
          <w:szCs w:val="18"/>
          <w:lang w:val="en-GB"/>
        </w:rPr>
        <w:t>drive</w:t>
      </w:r>
      <w:r w:rsidRPr="00DF6929">
        <w:rPr>
          <w:rFonts w:cstheme="minorHAnsi"/>
          <w:szCs w:val="18"/>
        </w:rPr>
        <w:t xml:space="preserve">n) </w:t>
      </w:r>
    </w:p>
    <w:p w14:paraId="7C772731" w14:textId="77777777" w:rsidR="008706D5" w:rsidRPr="00DF6929" w:rsidRDefault="008706D5" w:rsidP="008706D5">
      <w:pPr>
        <w:pStyle w:val="ListParagraph"/>
        <w:numPr>
          <w:ilvl w:val="0"/>
          <w:numId w:val="25"/>
        </w:numPr>
        <w:rPr>
          <w:rFonts w:cstheme="minorHAnsi"/>
          <w:szCs w:val="18"/>
        </w:rPr>
      </w:pPr>
      <w:r w:rsidRPr="00DF6929">
        <w:rPr>
          <w:rFonts w:cstheme="minorHAnsi"/>
          <w:szCs w:val="18"/>
        </w:rPr>
        <w:t>Καινοτομία που παράγεται από έρευνα, από επιστημονική περιέργεια (</w:t>
      </w:r>
      <w:r w:rsidRPr="00D52325">
        <w:rPr>
          <w:rFonts w:cstheme="minorHAnsi"/>
          <w:szCs w:val="18"/>
          <w:lang w:val="en-GB"/>
        </w:rPr>
        <w:t>curiosity</w:t>
      </w:r>
      <w:r w:rsidRPr="00643698">
        <w:rPr>
          <w:rFonts w:cstheme="minorHAnsi"/>
          <w:szCs w:val="18"/>
        </w:rPr>
        <w:t xml:space="preserve"> </w:t>
      </w:r>
      <w:r w:rsidRPr="00D52325">
        <w:rPr>
          <w:rFonts w:cstheme="minorHAnsi"/>
          <w:szCs w:val="18"/>
          <w:lang w:val="en-GB"/>
        </w:rPr>
        <w:t>driven</w:t>
      </w:r>
      <w:r w:rsidRPr="00DF6929">
        <w:rPr>
          <w:rFonts w:cstheme="minorHAnsi"/>
          <w:szCs w:val="18"/>
        </w:rPr>
        <w:t>)</w:t>
      </w:r>
    </w:p>
    <w:p w14:paraId="0227784B" w14:textId="77777777" w:rsidR="008706D5" w:rsidRPr="00DF6929" w:rsidRDefault="008706D5" w:rsidP="008706D5">
      <w:pPr>
        <w:pStyle w:val="ListParagraph"/>
        <w:numPr>
          <w:ilvl w:val="0"/>
          <w:numId w:val="25"/>
        </w:numPr>
        <w:rPr>
          <w:rFonts w:cstheme="minorHAnsi"/>
          <w:szCs w:val="18"/>
        </w:rPr>
      </w:pPr>
      <w:r>
        <w:rPr>
          <w:rFonts w:cstheme="minorHAnsi"/>
          <w:szCs w:val="18"/>
        </w:rPr>
        <w:t>Κ</w:t>
      </w:r>
      <w:r w:rsidRPr="00DF6929">
        <w:rPr>
          <w:rFonts w:cstheme="minorHAnsi"/>
          <w:szCs w:val="18"/>
        </w:rPr>
        <w:t>αινοτομία που παράγεται για την εκπλήρωση αποστολής στρατηγικής σημασίας (</w:t>
      </w:r>
      <w:r w:rsidRPr="00D52325">
        <w:rPr>
          <w:rFonts w:cstheme="minorHAnsi"/>
          <w:szCs w:val="18"/>
          <w:lang w:val="en-GB"/>
        </w:rPr>
        <w:t>mission</w:t>
      </w:r>
      <w:r w:rsidRPr="00D52325">
        <w:rPr>
          <w:rFonts w:cstheme="minorHAnsi"/>
          <w:szCs w:val="18"/>
        </w:rPr>
        <w:t>-</w:t>
      </w:r>
      <w:r w:rsidRPr="00D52325">
        <w:rPr>
          <w:rFonts w:cstheme="minorHAnsi"/>
          <w:szCs w:val="18"/>
          <w:lang w:val="en-GB"/>
        </w:rPr>
        <w:t>led</w:t>
      </w:r>
      <w:r w:rsidRPr="00DF6929">
        <w:rPr>
          <w:rFonts w:cstheme="minorHAnsi"/>
          <w:szCs w:val="18"/>
        </w:rPr>
        <w:t xml:space="preserve">) </w:t>
      </w:r>
    </w:p>
    <w:p w14:paraId="5BFBFF4C" w14:textId="77777777" w:rsidR="008706D5" w:rsidRPr="007E78E2" w:rsidRDefault="008706D5" w:rsidP="008706D5">
      <w:pPr>
        <w:rPr>
          <w:rFonts w:cstheme="minorHAnsi"/>
          <w:bCs/>
          <w:i/>
          <w:iCs/>
          <w:szCs w:val="18"/>
          <w:u w:val="single"/>
        </w:rPr>
      </w:pPr>
      <w:r w:rsidRPr="007E78E2">
        <w:rPr>
          <w:rFonts w:cstheme="minorHAnsi"/>
          <w:bCs/>
          <w:i/>
          <w:iCs/>
          <w:szCs w:val="18"/>
          <w:u w:val="single"/>
        </w:rPr>
        <w:t>Διαμεσολαβητές Καινοτομίας</w:t>
      </w:r>
    </w:p>
    <w:p w14:paraId="4337A3E6" w14:textId="0B945B61" w:rsidR="0006411D" w:rsidRPr="008706D5" w:rsidRDefault="008706D5" w:rsidP="006B4E03">
      <w:pPr>
        <w:rPr>
          <w:rFonts w:cstheme="minorHAnsi"/>
          <w:szCs w:val="18"/>
        </w:rPr>
      </w:pPr>
      <w:r>
        <w:rPr>
          <w:rFonts w:cstheme="minorHAnsi"/>
          <w:szCs w:val="18"/>
        </w:rPr>
        <w:t>Η</w:t>
      </w:r>
      <w:r w:rsidRPr="00DF6929">
        <w:rPr>
          <w:rFonts w:cstheme="minorHAnsi"/>
          <w:szCs w:val="18"/>
        </w:rPr>
        <w:t xml:space="preserve"> εισαγωγή και προώθηση των διαμεσολαβητών καινοτομίας (υπηρεσίες στήριξης της καινοτομίας) θα μπορούσαν να έχουν σημαντικό ρόλο οδηγώντας πρωτοβουλίες, οι οποίες φέρνουν κοντά τους ενδιαφερόμενους φορείς ώστε να παρουσιάσουν τις ανάγκες τους. Η διαμεσολάβηση καινοτομίας διαδραματίζει βασικό ρόλο στην ανακάλυψη ιδεών που προέρχονται από την πράξη και βοηθά στην ανάπτυξη συγκεκριμένων σχεδίων/έργων. Ο </w:t>
      </w:r>
      <w:r>
        <w:rPr>
          <w:rFonts w:cstheme="minorHAnsi"/>
          <w:szCs w:val="18"/>
        </w:rPr>
        <w:t xml:space="preserve">ρόλος του </w:t>
      </w:r>
      <w:r w:rsidRPr="00DF6929">
        <w:rPr>
          <w:rFonts w:cstheme="minorHAnsi"/>
          <w:szCs w:val="18"/>
        </w:rPr>
        <w:t>διαμεσολαβητή</w:t>
      </w:r>
      <w:r>
        <w:rPr>
          <w:rFonts w:cstheme="minorHAnsi"/>
          <w:szCs w:val="18"/>
        </w:rPr>
        <w:t xml:space="preserve"> αφορά στην των</w:t>
      </w:r>
      <w:r w:rsidRPr="00DF6929">
        <w:rPr>
          <w:rFonts w:cstheme="minorHAnsi"/>
          <w:szCs w:val="18"/>
        </w:rPr>
        <w:t xml:space="preserve"> εταίρ</w:t>
      </w:r>
      <w:r>
        <w:rPr>
          <w:rFonts w:cstheme="minorHAnsi"/>
          <w:szCs w:val="18"/>
        </w:rPr>
        <w:t>ων</w:t>
      </w:r>
      <w:r w:rsidRPr="00DF6929">
        <w:rPr>
          <w:rFonts w:cstheme="minorHAnsi"/>
          <w:szCs w:val="18"/>
        </w:rPr>
        <w:t xml:space="preserve"> να βρουν ο ένας τον άλλο και </w:t>
      </w:r>
      <w:r>
        <w:rPr>
          <w:rFonts w:cstheme="minorHAnsi"/>
          <w:szCs w:val="18"/>
        </w:rPr>
        <w:t xml:space="preserve">να </w:t>
      </w:r>
      <w:r w:rsidRPr="00DF6929">
        <w:rPr>
          <w:rFonts w:cstheme="minorHAnsi"/>
          <w:szCs w:val="18"/>
        </w:rPr>
        <w:t>διευκολύνει την έναρξη Επιχειρησιακών Ομάδων με συγκεκριμένους στόχους. Ενεργεί σαν καταλύτης και συνδέει φορείς καινοτομίας (ΜΜΕ, ερευνητές, ΜΚΟ, κ.λπ.) γύρω από μια ιδέα που μπορεί να μετατραπεί σε καινοτομία. Οι διαμεσολαβητές βοηθούν στο</w:t>
      </w:r>
      <w:r>
        <w:rPr>
          <w:rFonts w:cstheme="minorHAnsi"/>
          <w:szCs w:val="18"/>
        </w:rPr>
        <w:t xml:space="preserve">ν εντοπισμό και βελτίωση </w:t>
      </w:r>
      <w:r w:rsidRPr="00DF6929">
        <w:rPr>
          <w:rFonts w:cstheme="minorHAnsi"/>
          <w:szCs w:val="18"/>
        </w:rPr>
        <w:t>καινοτόμ</w:t>
      </w:r>
      <w:r>
        <w:rPr>
          <w:rFonts w:cstheme="minorHAnsi"/>
          <w:szCs w:val="18"/>
        </w:rPr>
        <w:t>ων</w:t>
      </w:r>
      <w:r w:rsidRPr="00DF6929">
        <w:rPr>
          <w:rFonts w:cstheme="minorHAnsi"/>
          <w:szCs w:val="18"/>
        </w:rPr>
        <w:t xml:space="preserve"> ιδ</w:t>
      </w:r>
      <w:r>
        <w:rPr>
          <w:rFonts w:cstheme="minorHAnsi"/>
          <w:szCs w:val="18"/>
        </w:rPr>
        <w:t>εών</w:t>
      </w:r>
      <w:r w:rsidRPr="00DF6929">
        <w:rPr>
          <w:rFonts w:cstheme="minorHAnsi"/>
          <w:szCs w:val="18"/>
        </w:rPr>
        <w:t xml:space="preserve">, </w:t>
      </w:r>
      <w:r>
        <w:rPr>
          <w:rFonts w:cstheme="minorHAnsi"/>
          <w:szCs w:val="18"/>
        </w:rPr>
        <w:t xml:space="preserve">στην </w:t>
      </w:r>
      <w:r>
        <w:rPr>
          <w:rFonts w:cstheme="minorHAnsi"/>
          <w:szCs w:val="18"/>
        </w:rPr>
        <w:lastRenderedPageBreak/>
        <w:t>εύρεση</w:t>
      </w:r>
      <w:r w:rsidRPr="00DF6929">
        <w:rPr>
          <w:rFonts w:cstheme="minorHAnsi"/>
          <w:szCs w:val="18"/>
        </w:rPr>
        <w:t xml:space="preserve"> κατάλληλ</w:t>
      </w:r>
      <w:r>
        <w:rPr>
          <w:rFonts w:cstheme="minorHAnsi"/>
          <w:szCs w:val="18"/>
        </w:rPr>
        <w:t>ων</w:t>
      </w:r>
      <w:r w:rsidRPr="00DF6929">
        <w:rPr>
          <w:rFonts w:cstheme="minorHAnsi"/>
          <w:szCs w:val="18"/>
        </w:rPr>
        <w:t xml:space="preserve"> εταίρ</w:t>
      </w:r>
      <w:r>
        <w:rPr>
          <w:rFonts w:cstheme="minorHAnsi"/>
          <w:szCs w:val="18"/>
        </w:rPr>
        <w:t>ων</w:t>
      </w:r>
      <w:r w:rsidRPr="00DF6929">
        <w:rPr>
          <w:rFonts w:cstheme="minorHAnsi"/>
          <w:szCs w:val="18"/>
        </w:rPr>
        <w:t xml:space="preserve"> και χρηματοδοτικ</w:t>
      </w:r>
      <w:r>
        <w:rPr>
          <w:rFonts w:cstheme="minorHAnsi"/>
          <w:szCs w:val="18"/>
        </w:rPr>
        <w:t>ών</w:t>
      </w:r>
      <w:r w:rsidRPr="00DF6929">
        <w:rPr>
          <w:rFonts w:cstheme="minorHAnsi"/>
          <w:szCs w:val="18"/>
        </w:rPr>
        <w:t xml:space="preserve"> εργαλεί</w:t>
      </w:r>
      <w:r>
        <w:rPr>
          <w:rFonts w:cstheme="minorHAnsi"/>
          <w:szCs w:val="18"/>
        </w:rPr>
        <w:t>ων</w:t>
      </w:r>
      <w:r w:rsidRPr="00DF6929">
        <w:rPr>
          <w:rFonts w:cstheme="minorHAnsi"/>
          <w:szCs w:val="18"/>
        </w:rPr>
        <w:t xml:space="preserve"> και </w:t>
      </w:r>
      <w:r>
        <w:rPr>
          <w:rFonts w:cstheme="minorHAnsi"/>
          <w:szCs w:val="18"/>
        </w:rPr>
        <w:t>στον προσδιορισμό</w:t>
      </w:r>
      <w:r w:rsidRPr="00DF6929">
        <w:rPr>
          <w:rFonts w:cstheme="minorHAnsi"/>
          <w:szCs w:val="18"/>
        </w:rPr>
        <w:t xml:space="preserve"> </w:t>
      </w:r>
      <w:r>
        <w:rPr>
          <w:rFonts w:cstheme="minorHAnsi"/>
          <w:szCs w:val="18"/>
        </w:rPr>
        <w:t>των</w:t>
      </w:r>
      <w:r w:rsidRPr="00DF6929">
        <w:rPr>
          <w:rFonts w:cstheme="minorHAnsi"/>
          <w:szCs w:val="18"/>
        </w:rPr>
        <w:t xml:space="preserve"> πιθα</w:t>
      </w:r>
      <w:r>
        <w:rPr>
          <w:rFonts w:cstheme="minorHAnsi"/>
          <w:szCs w:val="18"/>
        </w:rPr>
        <w:t xml:space="preserve">νών ρόλων </w:t>
      </w:r>
      <w:r w:rsidRPr="00DF6929">
        <w:rPr>
          <w:rFonts w:cstheme="minorHAnsi"/>
          <w:szCs w:val="18"/>
        </w:rPr>
        <w:t>για κάθε εταίρο. Η κύρια αποστολή τους είναι να προετοιμάσουν μια πρόταση έργου που ικανοποιεί πλήρως όλους τους φορείς και τους βοηθά να προετοιμάσουν μια επιτυχημένη αίτηση χρηματοδότησης. Οι υπηρεσίες υποστήριξης της καινοτομίας και οι διαμεσολαβητές καινοτομίας προτείνεται να είναι αναγνωρίσιμες και με διάρκεια και να μπορούν να χρηματοδοτηθούν από δράσεις συνεργασίας.</w:t>
      </w:r>
    </w:p>
    <w:p w14:paraId="48977D74" w14:textId="77777777" w:rsidR="0006411D" w:rsidRDefault="0006411D">
      <w:pPr>
        <w:spacing w:before="0" w:after="160" w:line="259" w:lineRule="auto"/>
        <w:jc w:val="left"/>
      </w:pPr>
      <w:r>
        <w:br w:type="page"/>
      </w:r>
    </w:p>
    <w:p w14:paraId="76B4AF3E" w14:textId="77777777" w:rsidR="00EB5844" w:rsidRDefault="00EB5844" w:rsidP="006B4E03"/>
    <w:p w14:paraId="0CB3D124" w14:textId="77777777" w:rsidR="0006411D" w:rsidRPr="0006411D" w:rsidRDefault="0006411D" w:rsidP="0006411D">
      <w:pPr>
        <w:pStyle w:val="Heading1"/>
      </w:pPr>
      <w:bookmarkStart w:id="43" w:name="_Toc22645421"/>
      <w:r>
        <w:t>ΠΑΡΑΡΤΗΜΑ: Κατάλογος υποβληθεισών προτάσεων, εγκρίσεων και εντάξεων ανά Προτεραιότητα της Δράσης «Ερευνώ, Δημιουργώ, Καινοτομώ (Α’ Κύκλος)</w:t>
      </w:r>
      <w:bookmarkEnd w:id="43"/>
    </w:p>
    <w:p w14:paraId="696B100B" w14:textId="2428EC01" w:rsidR="0006411D" w:rsidRPr="00336A10" w:rsidRDefault="00541BA0" w:rsidP="006B4E03">
      <w:r>
        <w:t xml:space="preserve"> </w:t>
      </w:r>
    </w:p>
    <w:sectPr w:rsidR="0006411D" w:rsidRPr="00336A10" w:rsidSect="005476F0">
      <w:footerReference w:type="default" r:id="rId56"/>
      <w:footerReference w:type="first" r:id="rId57"/>
      <w:pgSz w:w="11906" w:h="16838" w:code="9"/>
      <w:pgMar w:top="1440" w:right="1247" w:bottom="1440"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3B280" w14:textId="77777777" w:rsidR="001A16ED" w:rsidRDefault="001A16ED" w:rsidP="008E5875">
      <w:pPr>
        <w:spacing w:before="0" w:line="240" w:lineRule="auto"/>
      </w:pPr>
      <w:r>
        <w:separator/>
      </w:r>
    </w:p>
  </w:endnote>
  <w:endnote w:type="continuationSeparator" w:id="0">
    <w:p w14:paraId="3290D2E0" w14:textId="77777777" w:rsidR="001A16ED" w:rsidRDefault="001A16ED" w:rsidP="008E587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altName w:val="Calibri"/>
    <w:charset w:val="00"/>
    <w:family w:val="swiss"/>
    <w:pitch w:val="variable"/>
    <w:sig w:usb0="00000007" w:usb1="00000000" w:usb2="00000000" w:usb3="00000000" w:csb0="00000093" w:csb1="00000000"/>
  </w:font>
  <w:font w:name="Free Serif Bold">
    <w:altName w:val="Times New Roman"/>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9"/>
      <w:gridCol w:w="3274"/>
    </w:tblGrid>
    <w:tr w:rsidR="00842E11" w14:paraId="770F2D06" w14:textId="77777777" w:rsidTr="00D876E4">
      <w:tc>
        <w:tcPr>
          <w:tcW w:w="3261" w:type="pct"/>
        </w:tcPr>
        <w:p w14:paraId="5B5DE31F" w14:textId="77777777" w:rsidR="00842E11" w:rsidRPr="00913B2D" w:rsidRDefault="00842E11">
          <w:pPr>
            <w:pStyle w:val="Footer"/>
          </w:pPr>
          <w:r>
            <w:t>Γενική Γραμματείας Έρευνας &amp; Τεχνολογίας</w:t>
          </w:r>
        </w:p>
      </w:tc>
      <w:tc>
        <w:tcPr>
          <w:tcW w:w="1739" w:type="pct"/>
          <w:shd w:val="clear" w:color="auto" w:fill="auto"/>
        </w:tcPr>
        <w:p w14:paraId="3BDF0D54"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6</w:t>
          </w:r>
          <w:r w:rsidRPr="00913B2D">
            <w:rPr>
              <w:noProof/>
            </w:rPr>
            <w:fldChar w:fldCharType="end"/>
          </w:r>
        </w:p>
      </w:tc>
    </w:tr>
  </w:tbl>
  <w:p w14:paraId="1C3F3365" w14:textId="77777777" w:rsidR="00842E11" w:rsidRDefault="00842E1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4706"/>
      <w:gridCol w:w="4706"/>
    </w:tblGrid>
    <w:tr w:rsidR="00842E11" w:rsidRPr="002E6C3A" w14:paraId="41B9F471" w14:textId="77777777" w:rsidTr="00D21C6A">
      <w:trPr>
        <w:jc w:val="center"/>
      </w:trPr>
      <w:tc>
        <w:tcPr>
          <w:tcW w:w="4814" w:type="dxa"/>
          <w:shd w:val="clear" w:color="auto" w:fill="auto"/>
        </w:tcPr>
        <w:p w14:paraId="264B8F27" w14:textId="77777777" w:rsidR="00842E11" w:rsidRPr="002E6C3A" w:rsidRDefault="00842E11" w:rsidP="00D21C6A">
          <w:pPr>
            <w:jc w:val="center"/>
            <w:rPr>
              <w:b/>
              <w:sz w:val="22"/>
            </w:rPr>
          </w:pPr>
        </w:p>
      </w:tc>
      <w:tc>
        <w:tcPr>
          <w:tcW w:w="4814" w:type="dxa"/>
          <w:shd w:val="clear" w:color="auto" w:fill="auto"/>
        </w:tcPr>
        <w:p w14:paraId="3BBFA216" w14:textId="77777777" w:rsidR="00842E11" w:rsidRPr="002E6C3A" w:rsidRDefault="00842E11" w:rsidP="00D21C6A">
          <w:pPr>
            <w:jc w:val="center"/>
            <w:rPr>
              <w:b/>
              <w:sz w:val="22"/>
            </w:rPr>
          </w:pPr>
        </w:p>
      </w:tc>
    </w:tr>
  </w:tbl>
  <w:p w14:paraId="15E373B6" w14:textId="77777777" w:rsidR="00842E11" w:rsidRPr="0067770B" w:rsidRDefault="00842E11">
    <w:pPr>
      <w:pStyle w:val="Footer"/>
      <w:rPr>
        <w:lang w:val="en-US"/>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034"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5529"/>
    </w:tblGrid>
    <w:tr w:rsidR="00842E11" w14:paraId="497C7F6B" w14:textId="77777777" w:rsidTr="00FE3FF9">
      <w:tc>
        <w:tcPr>
          <w:tcW w:w="8505" w:type="dxa"/>
        </w:tcPr>
        <w:p w14:paraId="51ED03F0" w14:textId="77777777" w:rsidR="00842E11" w:rsidRPr="00913B2D" w:rsidRDefault="00842E11">
          <w:pPr>
            <w:pStyle w:val="Footer"/>
          </w:pPr>
          <w:r>
            <w:t>Γενική Γραμματείας Έρευνας &amp; Τεχνολογίας</w:t>
          </w:r>
        </w:p>
      </w:tc>
      <w:tc>
        <w:tcPr>
          <w:tcW w:w="5529" w:type="dxa"/>
          <w:shd w:val="clear" w:color="auto" w:fill="auto"/>
        </w:tcPr>
        <w:p w14:paraId="0CBCFE82"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49</w:t>
          </w:r>
          <w:r w:rsidRPr="00913B2D">
            <w:rPr>
              <w:noProof/>
            </w:rPr>
            <w:fldChar w:fldCharType="end"/>
          </w:r>
        </w:p>
      </w:tc>
    </w:tr>
  </w:tbl>
  <w:p w14:paraId="4830FC92" w14:textId="77777777" w:rsidR="00842E11" w:rsidRDefault="00842E1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42BF8F6B" w14:textId="77777777" w:rsidTr="00400EF4">
      <w:tc>
        <w:tcPr>
          <w:tcW w:w="8505" w:type="dxa"/>
        </w:tcPr>
        <w:p w14:paraId="78C4F01C"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363C4F6B"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50</w:t>
          </w:r>
          <w:r w:rsidRPr="00913B2D">
            <w:rPr>
              <w:noProof/>
            </w:rPr>
            <w:fldChar w:fldCharType="end"/>
          </w:r>
        </w:p>
      </w:tc>
    </w:tr>
  </w:tbl>
  <w:p w14:paraId="49EDC3A7" w14:textId="77777777" w:rsidR="00842E11" w:rsidRDefault="00842E1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034"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5529"/>
    </w:tblGrid>
    <w:tr w:rsidR="00842E11" w14:paraId="10D1425C" w14:textId="77777777" w:rsidTr="00FE3FF9">
      <w:tc>
        <w:tcPr>
          <w:tcW w:w="8505" w:type="dxa"/>
        </w:tcPr>
        <w:p w14:paraId="28D90720" w14:textId="77777777" w:rsidR="00842E11" w:rsidRPr="00913B2D" w:rsidRDefault="00842E11">
          <w:pPr>
            <w:pStyle w:val="Footer"/>
          </w:pPr>
          <w:r>
            <w:t>Γενική Γραμματείας Έρευνας &amp; Τεχνολογίας</w:t>
          </w:r>
        </w:p>
      </w:tc>
      <w:tc>
        <w:tcPr>
          <w:tcW w:w="5529" w:type="dxa"/>
          <w:shd w:val="clear" w:color="auto" w:fill="auto"/>
        </w:tcPr>
        <w:p w14:paraId="28F3174A"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52</w:t>
          </w:r>
          <w:r w:rsidRPr="00913B2D">
            <w:rPr>
              <w:noProof/>
            </w:rPr>
            <w:fldChar w:fldCharType="end"/>
          </w:r>
        </w:p>
      </w:tc>
    </w:tr>
  </w:tbl>
  <w:p w14:paraId="46EB7A0B" w14:textId="77777777" w:rsidR="00842E11" w:rsidRDefault="00842E1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398A3FF8" w14:textId="77777777" w:rsidTr="00400EF4">
      <w:tc>
        <w:tcPr>
          <w:tcW w:w="8505" w:type="dxa"/>
        </w:tcPr>
        <w:p w14:paraId="26A414DF"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7FC1669B"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53</w:t>
          </w:r>
          <w:r w:rsidRPr="00913B2D">
            <w:rPr>
              <w:noProof/>
            </w:rPr>
            <w:fldChar w:fldCharType="end"/>
          </w:r>
        </w:p>
      </w:tc>
    </w:tr>
  </w:tbl>
  <w:p w14:paraId="07C4EA15" w14:textId="77777777" w:rsidR="00842E11" w:rsidRDefault="00842E1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0979"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86"/>
      <w:gridCol w:w="2693"/>
    </w:tblGrid>
    <w:tr w:rsidR="00842E11" w14:paraId="04C25652" w14:textId="77777777" w:rsidTr="003078EE">
      <w:tc>
        <w:tcPr>
          <w:tcW w:w="18286" w:type="dxa"/>
        </w:tcPr>
        <w:p w14:paraId="5CCAB0EF" w14:textId="77777777" w:rsidR="00842E11" w:rsidRPr="00913B2D" w:rsidRDefault="00842E11">
          <w:pPr>
            <w:pStyle w:val="Footer"/>
          </w:pPr>
          <w:r>
            <w:t>Γενική Γραμματείας Έρευνας &amp; Τεχνολογίας</w:t>
          </w:r>
        </w:p>
      </w:tc>
      <w:tc>
        <w:tcPr>
          <w:tcW w:w="2693" w:type="dxa"/>
          <w:shd w:val="clear" w:color="auto" w:fill="auto"/>
        </w:tcPr>
        <w:p w14:paraId="66F29EC8"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55</w:t>
          </w:r>
          <w:r w:rsidRPr="00913B2D">
            <w:rPr>
              <w:noProof/>
            </w:rPr>
            <w:fldChar w:fldCharType="end"/>
          </w:r>
        </w:p>
      </w:tc>
    </w:tr>
  </w:tbl>
  <w:p w14:paraId="2E763E57" w14:textId="77777777" w:rsidR="00842E11" w:rsidRDefault="00842E1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1AF58B58" w14:textId="77777777" w:rsidTr="00400EF4">
      <w:tc>
        <w:tcPr>
          <w:tcW w:w="8505" w:type="dxa"/>
        </w:tcPr>
        <w:p w14:paraId="4F6D3EC8"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2D0E5C3E"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56</w:t>
          </w:r>
          <w:r w:rsidRPr="00913B2D">
            <w:rPr>
              <w:noProof/>
            </w:rPr>
            <w:fldChar w:fldCharType="end"/>
          </w:r>
        </w:p>
      </w:tc>
    </w:tr>
  </w:tbl>
  <w:p w14:paraId="58EF7A1F" w14:textId="77777777" w:rsidR="00842E11" w:rsidRDefault="00842E1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21263"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12758"/>
    </w:tblGrid>
    <w:tr w:rsidR="00842E11" w14:paraId="722C443D" w14:textId="77777777" w:rsidTr="00FE3FF9">
      <w:tc>
        <w:tcPr>
          <w:tcW w:w="8505" w:type="dxa"/>
        </w:tcPr>
        <w:p w14:paraId="316FB7D5" w14:textId="77777777" w:rsidR="00842E11" w:rsidRPr="00913B2D" w:rsidRDefault="00842E11">
          <w:pPr>
            <w:pStyle w:val="Footer"/>
          </w:pPr>
          <w:r>
            <w:t>Γενική Γραμματείας Έρευνας &amp; Τεχνολογίας</w:t>
          </w:r>
        </w:p>
      </w:tc>
      <w:tc>
        <w:tcPr>
          <w:tcW w:w="12758" w:type="dxa"/>
          <w:shd w:val="clear" w:color="auto" w:fill="auto"/>
        </w:tcPr>
        <w:p w14:paraId="25EC37FA"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57</w:t>
          </w:r>
          <w:r w:rsidRPr="00913B2D">
            <w:rPr>
              <w:noProof/>
            </w:rPr>
            <w:fldChar w:fldCharType="end"/>
          </w:r>
        </w:p>
      </w:tc>
    </w:tr>
  </w:tbl>
  <w:p w14:paraId="2742D0DF" w14:textId="77777777" w:rsidR="00842E11" w:rsidRDefault="00842E1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718C8CED" w14:textId="77777777" w:rsidTr="00400EF4">
      <w:tc>
        <w:tcPr>
          <w:tcW w:w="8505" w:type="dxa"/>
        </w:tcPr>
        <w:p w14:paraId="2DF199B3"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28A23308"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60</w:t>
          </w:r>
          <w:r w:rsidRPr="00913B2D">
            <w:rPr>
              <w:noProof/>
            </w:rPr>
            <w:fldChar w:fldCharType="end"/>
          </w:r>
        </w:p>
      </w:tc>
    </w:tr>
  </w:tbl>
  <w:p w14:paraId="380743D4" w14:textId="77777777" w:rsidR="00842E11" w:rsidRDefault="00842E1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1"/>
      <w:gridCol w:w="5192"/>
    </w:tblGrid>
    <w:tr w:rsidR="00842E11" w14:paraId="6AC5889E" w14:textId="77777777" w:rsidTr="00FE3FF9">
      <w:tc>
        <w:tcPr>
          <w:tcW w:w="8505" w:type="dxa"/>
        </w:tcPr>
        <w:p w14:paraId="6FA8B3BF" w14:textId="77777777" w:rsidR="00842E11" w:rsidRPr="00913B2D" w:rsidRDefault="00842E11">
          <w:pPr>
            <w:pStyle w:val="Footer"/>
          </w:pPr>
          <w:r>
            <w:t>Γενική Γραμματείας Έρευνας &amp; Τεχνολογίας</w:t>
          </w:r>
        </w:p>
      </w:tc>
      <w:tc>
        <w:tcPr>
          <w:tcW w:w="12333" w:type="dxa"/>
          <w:shd w:val="clear" w:color="auto" w:fill="auto"/>
        </w:tcPr>
        <w:p w14:paraId="3604A1F2"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62</w:t>
          </w:r>
          <w:r w:rsidRPr="00913B2D">
            <w:rPr>
              <w:noProof/>
            </w:rPr>
            <w:fldChar w:fldCharType="end"/>
          </w:r>
        </w:p>
      </w:tc>
    </w:tr>
  </w:tbl>
  <w:p w14:paraId="37170F15" w14:textId="77777777" w:rsidR="00842E11" w:rsidRDefault="00842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9"/>
      <w:gridCol w:w="3274"/>
    </w:tblGrid>
    <w:tr w:rsidR="00842E11" w14:paraId="4E7D30F2" w14:textId="77777777" w:rsidTr="00D876E4">
      <w:tc>
        <w:tcPr>
          <w:tcW w:w="3261" w:type="pct"/>
        </w:tcPr>
        <w:p w14:paraId="7D675C2E" w14:textId="77777777" w:rsidR="00842E11" w:rsidRPr="00913B2D" w:rsidRDefault="00842E11">
          <w:pPr>
            <w:pStyle w:val="Footer"/>
          </w:pPr>
          <w:r>
            <w:t>Γενική Γραμματείας Έρευνας &amp; Τεχνολογίας</w:t>
          </w:r>
        </w:p>
      </w:tc>
      <w:tc>
        <w:tcPr>
          <w:tcW w:w="1739" w:type="pct"/>
          <w:shd w:val="clear" w:color="auto" w:fill="auto"/>
        </w:tcPr>
        <w:p w14:paraId="014851F7"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19</w:t>
          </w:r>
          <w:r w:rsidRPr="00913B2D">
            <w:rPr>
              <w:noProof/>
            </w:rPr>
            <w:fldChar w:fldCharType="end"/>
          </w:r>
        </w:p>
      </w:tc>
    </w:tr>
  </w:tbl>
  <w:p w14:paraId="33CB80F1" w14:textId="77777777" w:rsidR="00842E11" w:rsidRDefault="00842E1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1374B653" w14:textId="77777777" w:rsidTr="00400EF4">
      <w:tc>
        <w:tcPr>
          <w:tcW w:w="8505" w:type="dxa"/>
        </w:tcPr>
        <w:p w14:paraId="47DF384D"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597FB5F7"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65</w:t>
          </w:r>
          <w:r w:rsidRPr="00913B2D">
            <w:rPr>
              <w:noProof/>
            </w:rPr>
            <w:fldChar w:fldCharType="end"/>
          </w:r>
        </w:p>
      </w:tc>
    </w:tr>
  </w:tbl>
  <w:p w14:paraId="7F834FB6" w14:textId="77777777" w:rsidR="00842E11" w:rsidRDefault="00842E11">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4706"/>
      <w:gridCol w:w="4706"/>
    </w:tblGrid>
    <w:tr w:rsidR="00842E11" w:rsidRPr="002E6C3A" w14:paraId="6132873C" w14:textId="77777777" w:rsidTr="00F07C91">
      <w:trPr>
        <w:jc w:val="center"/>
      </w:trPr>
      <w:tc>
        <w:tcPr>
          <w:tcW w:w="4814" w:type="dxa"/>
          <w:shd w:val="clear" w:color="auto" w:fill="auto"/>
        </w:tcPr>
        <w:p w14:paraId="732BB4E0" w14:textId="77777777" w:rsidR="00842E11" w:rsidRPr="002E6C3A" w:rsidRDefault="00842E11" w:rsidP="00F07C91">
          <w:pPr>
            <w:jc w:val="center"/>
            <w:rPr>
              <w:b/>
              <w:sz w:val="22"/>
            </w:rPr>
          </w:pPr>
        </w:p>
      </w:tc>
      <w:tc>
        <w:tcPr>
          <w:tcW w:w="4814" w:type="dxa"/>
          <w:shd w:val="clear" w:color="auto" w:fill="auto"/>
        </w:tcPr>
        <w:p w14:paraId="6EC6F1AE" w14:textId="77777777" w:rsidR="00842E11" w:rsidRPr="002E6C3A" w:rsidRDefault="00842E11" w:rsidP="00F07C91">
          <w:pPr>
            <w:jc w:val="center"/>
            <w:rPr>
              <w:b/>
              <w:sz w:val="22"/>
            </w:rPr>
          </w:pPr>
        </w:p>
      </w:tc>
    </w:tr>
  </w:tbl>
  <w:p w14:paraId="6A7AFFB5" w14:textId="77777777" w:rsidR="00842E11" w:rsidRPr="0067770B" w:rsidRDefault="00842E11">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9"/>
      <w:gridCol w:w="3274"/>
    </w:tblGrid>
    <w:tr w:rsidR="00842E11" w14:paraId="0B57C331" w14:textId="77777777" w:rsidTr="003078EE">
      <w:tc>
        <w:tcPr>
          <w:tcW w:w="3261" w:type="pct"/>
        </w:tcPr>
        <w:p w14:paraId="28FC6752" w14:textId="77777777" w:rsidR="00842E11" w:rsidRPr="00913B2D" w:rsidRDefault="00842E11">
          <w:pPr>
            <w:pStyle w:val="Footer"/>
          </w:pPr>
          <w:r>
            <w:t>Γενική Γραμματείας Έρευνας &amp; Τεχνολογίας</w:t>
          </w:r>
        </w:p>
      </w:tc>
      <w:tc>
        <w:tcPr>
          <w:tcW w:w="1739" w:type="pct"/>
          <w:shd w:val="clear" w:color="auto" w:fill="auto"/>
        </w:tcPr>
        <w:p w14:paraId="76147EF7"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24</w:t>
          </w:r>
          <w:r w:rsidRPr="00913B2D">
            <w:rPr>
              <w:noProof/>
            </w:rPr>
            <w:fldChar w:fldCharType="end"/>
          </w:r>
        </w:p>
      </w:tc>
    </w:tr>
  </w:tbl>
  <w:p w14:paraId="40E7F336" w14:textId="77777777" w:rsidR="00842E11" w:rsidRDefault="00842E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6"/>
      <w:gridCol w:w="3390"/>
    </w:tblGrid>
    <w:tr w:rsidR="00842E11" w14:paraId="580CBD0E" w14:textId="77777777" w:rsidTr="003078EE">
      <w:tc>
        <w:tcPr>
          <w:tcW w:w="3261" w:type="pct"/>
        </w:tcPr>
        <w:p w14:paraId="0E161CEA" w14:textId="77777777" w:rsidR="00842E11" w:rsidRPr="00913B2D" w:rsidRDefault="00842E11">
          <w:pPr>
            <w:pStyle w:val="Footer"/>
          </w:pPr>
          <w:r>
            <w:t>Γενική Γραμματείας Έρευνας &amp; Τεχνολογίας</w:t>
          </w:r>
        </w:p>
      </w:tc>
      <w:tc>
        <w:tcPr>
          <w:tcW w:w="1739" w:type="pct"/>
          <w:shd w:val="clear" w:color="auto" w:fill="auto"/>
        </w:tcPr>
        <w:p w14:paraId="015FECD1"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25</w:t>
          </w:r>
          <w:r w:rsidRPr="00913B2D">
            <w:rPr>
              <w:noProof/>
            </w:rPr>
            <w:fldChar w:fldCharType="end"/>
          </w:r>
        </w:p>
      </w:tc>
    </w:tr>
  </w:tbl>
  <w:p w14:paraId="7BBDA597" w14:textId="77777777" w:rsidR="00842E11" w:rsidRDefault="00842E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6BA56BCF" w14:textId="77777777" w:rsidTr="00400EF4">
      <w:tc>
        <w:tcPr>
          <w:tcW w:w="8505" w:type="dxa"/>
        </w:tcPr>
        <w:p w14:paraId="03D81B12"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149322A9"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30</w:t>
          </w:r>
          <w:r w:rsidRPr="00913B2D">
            <w:rPr>
              <w:noProof/>
            </w:rPr>
            <w:fldChar w:fldCharType="end"/>
          </w:r>
        </w:p>
      </w:tc>
    </w:tr>
  </w:tbl>
  <w:p w14:paraId="4425C9CD" w14:textId="77777777" w:rsidR="00842E11" w:rsidRDefault="00842E1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3041"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4536"/>
    </w:tblGrid>
    <w:tr w:rsidR="00842E11" w14:paraId="39844F89" w14:textId="77777777" w:rsidTr="00FE3FF9">
      <w:tc>
        <w:tcPr>
          <w:tcW w:w="8505" w:type="dxa"/>
        </w:tcPr>
        <w:p w14:paraId="5169158F" w14:textId="77777777" w:rsidR="00842E11" w:rsidRPr="00913B2D" w:rsidRDefault="00842E11">
          <w:pPr>
            <w:pStyle w:val="Footer"/>
          </w:pPr>
          <w:r>
            <w:t>Γενική Γραμματείας Έρευνας &amp; Τεχνολογίας</w:t>
          </w:r>
        </w:p>
      </w:tc>
      <w:tc>
        <w:tcPr>
          <w:tcW w:w="4536" w:type="dxa"/>
          <w:shd w:val="clear" w:color="auto" w:fill="auto"/>
        </w:tcPr>
        <w:p w14:paraId="476CF1C8"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31</w:t>
          </w:r>
          <w:r w:rsidRPr="00913B2D">
            <w:rPr>
              <w:noProof/>
            </w:rPr>
            <w:fldChar w:fldCharType="end"/>
          </w:r>
        </w:p>
      </w:tc>
    </w:tr>
  </w:tbl>
  <w:p w14:paraId="23EC185B" w14:textId="77777777" w:rsidR="00842E11" w:rsidRDefault="00842E1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845"/>
    </w:tblGrid>
    <w:tr w:rsidR="00842E11" w14:paraId="3D45F682" w14:textId="77777777" w:rsidTr="00400EF4">
      <w:tc>
        <w:tcPr>
          <w:tcW w:w="8505" w:type="dxa"/>
        </w:tcPr>
        <w:p w14:paraId="4B8C95E4" w14:textId="77777777" w:rsidR="00842E11" w:rsidRPr="00913B2D" w:rsidRDefault="00842E11">
          <w:pPr>
            <w:pStyle w:val="Footer"/>
          </w:pPr>
          <w:r>
            <w:t>Γενική Γραμματείας Έρευνας &amp; Τεχνολογίας</w:t>
          </w:r>
        </w:p>
      </w:tc>
      <w:tc>
        <w:tcPr>
          <w:tcW w:w="845" w:type="dxa"/>
          <w:shd w:val="clear" w:color="auto" w:fill="auto"/>
        </w:tcPr>
        <w:p w14:paraId="6B5F2CC8"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36</w:t>
          </w:r>
          <w:r w:rsidRPr="00913B2D">
            <w:rPr>
              <w:noProof/>
            </w:rPr>
            <w:fldChar w:fldCharType="end"/>
          </w:r>
        </w:p>
      </w:tc>
    </w:tr>
  </w:tbl>
  <w:p w14:paraId="400EAAD3" w14:textId="77777777" w:rsidR="00842E11" w:rsidRDefault="00842E1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3041" w:type="dxa"/>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4536"/>
    </w:tblGrid>
    <w:tr w:rsidR="00842E11" w14:paraId="7FE3CBFC" w14:textId="77777777" w:rsidTr="00FE3FF9">
      <w:tc>
        <w:tcPr>
          <w:tcW w:w="8505" w:type="dxa"/>
        </w:tcPr>
        <w:p w14:paraId="08003241" w14:textId="77777777" w:rsidR="00842E11" w:rsidRPr="00913B2D" w:rsidRDefault="00842E11">
          <w:pPr>
            <w:pStyle w:val="Footer"/>
          </w:pPr>
          <w:r>
            <w:t>Γενική Γραμματείας Έρευνας &amp; Τεχνολογίας</w:t>
          </w:r>
        </w:p>
      </w:tc>
      <w:tc>
        <w:tcPr>
          <w:tcW w:w="4536" w:type="dxa"/>
          <w:shd w:val="clear" w:color="auto" w:fill="auto"/>
        </w:tcPr>
        <w:p w14:paraId="0A948CA2"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37</w:t>
          </w:r>
          <w:r w:rsidRPr="00913B2D">
            <w:rPr>
              <w:noProof/>
            </w:rPr>
            <w:fldChar w:fldCharType="end"/>
          </w:r>
        </w:p>
      </w:tc>
    </w:tr>
  </w:tbl>
  <w:p w14:paraId="61157808" w14:textId="77777777" w:rsidR="00842E11" w:rsidRDefault="00842E1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4"/>
      <w:gridCol w:w="3709"/>
    </w:tblGrid>
    <w:tr w:rsidR="00842E11" w14:paraId="0EA6FFAF" w14:textId="77777777" w:rsidTr="00BF4454">
      <w:tc>
        <w:tcPr>
          <w:tcW w:w="3030" w:type="pct"/>
        </w:tcPr>
        <w:p w14:paraId="252ACF43" w14:textId="77777777" w:rsidR="00842E11" w:rsidRPr="00913B2D" w:rsidRDefault="00842E11">
          <w:pPr>
            <w:pStyle w:val="Footer"/>
          </w:pPr>
          <w:r>
            <w:t>Γενική Γραμματείας Έρευνας &amp; Τεχνολογίας</w:t>
          </w:r>
        </w:p>
      </w:tc>
      <w:tc>
        <w:tcPr>
          <w:tcW w:w="1970" w:type="pct"/>
          <w:shd w:val="clear" w:color="auto" w:fill="auto"/>
        </w:tcPr>
        <w:p w14:paraId="765DFC5A" w14:textId="77777777" w:rsidR="00842E11" w:rsidRDefault="00842E11" w:rsidP="00913B2D">
          <w:pPr>
            <w:pStyle w:val="Footer"/>
            <w:jc w:val="right"/>
          </w:pPr>
          <w:r w:rsidRPr="00913B2D">
            <w:fldChar w:fldCharType="begin"/>
          </w:r>
          <w:r w:rsidRPr="00913B2D">
            <w:instrText xml:space="preserve"> PAGE   \* MERGEFORMAT </w:instrText>
          </w:r>
          <w:r w:rsidRPr="00913B2D">
            <w:fldChar w:fldCharType="separate"/>
          </w:r>
          <w:r>
            <w:rPr>
              <w:noProof/>
            </w:rPr>
            <w:t>48</w:t>
          </w:r>
          <w:r w:rsidRPr="00913B2D">
            <w:rPr>
              <w:noProof/>
            </w:rPr>
            <w:fldChar w:fldCharType="end"/>
          </w:r>
        </w:p>
      </w:tc>
    </w:tr>
  </w:tbl>
  <w:p w14:paraId="37ABA122" w14:textId="77777777" w:rsidR="00842E11" w:rsidRDefault="00842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A4545" w14:textId="77777777" w:rsidR="001A16ED" w:rsidRDefault="001A16ED" w:rsidP="008E5875">
      <w:pPr>
        <w:spacing w:before="0" w:line="240" w:lineRule="auto"/>
      </w:pPr>
      <w:r>
        <w:separator/>
      </w:r>
    </w:p>
  </w:footnote>
  <w:footnote w:type="continuationSeparator" w:id="0">
    <w:p w14:paraId="75D7D4A2" w14:textId="77777777" w:rsidR="001A16ED" w:rsidRDefault="001A16ED" w:rsidP="008E5875">
      <w:pPr>
        <w:spacing w:before="0" w:line="240" w:lineRule="auto"/>
      </w:pPr>
      <w:r>
        <w:continuationSeparator/>
      </w:r>
    </w:p>
  </w:footnote>
  <w:footnote w:id="1">
    <w:p w14:paraId="797D55F0" w14:textId="77777777" w:rsidR="00842E11" w:rsidRPr="00312189" w:rsidRDefault="00842E11" w:rsidP="003770DC">
      <w:pPr>
        <w:pStyle w:val="FootnoteText"/>
        <w:rPr>
          <w:sz w:val="14"/>
          <w:szCs w:val="14"/>
        </w:rPr>
      </w:pPr>
      <w:r w:rsidRPr="00CB38AE">
        <w:rPr>
          <w:rStyle w:val="FootnoteReference"/>
          <w:sz w:val="14"/>
          <w:szCs w:val="14"/>
        </w:rPr>
        <w:footnoteRef/>
      </w:r>
      <w:r w:rsidRPr="00CB38AE">
        <w:rPr>
          <w:sz w:val="14"/>
          <w:szCs w:val="14"/>
        </w:rPr>
        <w:t xml:space="preserve"> Οι </w:t>
      </w:r>
      <w:r w:rsidRPr="00CB38AE">
        <w:rPr>
          <w:sz w:val="14"/>
          <w:szCs w:val="14"/>
          <w:lang w:val="en-GB"/>
        </w:rPr>
        <w:t>Key</w:t>
      </w:r>
      <w:r w:rsidRPr="00CB38AE">
        <w:rPr>
          <w:sz w:val="14"/>
          <w:szCs w:val="14"/>
        </w:rPr>
        <w:t xml:space="preserve"> </w:t>
      </w:r>
      <w:r w:rsidRPr="00CB38AE">
        <w:rPr>
          <w:sz w:val="14"/>
          <w:szCs w:val="14"/>
          <w:lang w:val="en-GB"/>
        </w:rPr>
        <w:t>Enabling</w:t>
      </w:r>
      <w:r w:rsidRPr="00CB38AE">
        <w:rPr>
          <w:sz w:val="14"/>
          <w:szCs w:val="14"/>
        </w:rPr>
        <w:t xml:space="preserve"> </w:t>
      </w:r>
      <w:r w:rsidRPr="00CB38AE">
        <w:rPr>
          <w:sz w:val="14"/>
          <w:szCs w:val="14"/>
          <w:lang w:val="en-GB"/>
        </w:rPr>
        <w:t>Technologies</w:t>
      </w:r>
      <w:r w:rsidRPr="00CB38AE">
        <w:rPr>
          <w:sz w:val="14"/>
          <w:szCs w:val="14"/>
        </w:rPr>
        <w:t xml:space="preserve"> (</w:t>
      </w:r>
      <w:r w:rsidRPr="00CB38AE">
        <w:rPr>
          <w:sz w:val="14"/>
          <w:szCs w:val="14"/>
          <w:lang w:val="en-GB"/>
        </w:rPr>
        <w:t>KETs</w:t>
      </w:r>
      <w:r w:rsidRPr="00CB38AE">
        <w:rPr>
          <w:sz w:val="14"/>
          <w:szCs w:val="14"/>
        </w:rPr>
        <w:t>) (</w:t>
      </w:r>
      <w:r w:rsidRPr="00CB38AE">
        <w:rPr>
          <w:sz w:val="14"/>
          <w:szCs w:val="14"/>
          <w:lang w:val="en-GB"/>
        </w:rPr>
        <w:t>nanotechnology</w:t>
      </w:r>
      <w:r w:rsidRPr="00CB38AE">
        <w:rPr>
          <w:sz w:val="14"/>
          <w:szCs w:val="14"/>
        </w:rPr>
        <w:t xml:space="preserve">, </w:t>
      </w:r>
      <w:r w:rsidRPr="00CB38AE">
        <w:rPr>
          <w:sz w:val="14"/>
          <w:szCs w:val="14"/>
          <w:lang w:val="en-GB"/>
        </w:rPr>
        <w:t>micro</w:t>
      </w:r>
      <w:r w:rsidRPr="00CB38AE">
        <w:rPr>
          <w:sz w:val="14"/>
          <w:szCs w:val="14"/>
        </w:rPr>
        <w:t>-</w:t>
      </w:r>
      <w:r w:rsidRPr="00CB38AE">
        <w:rPr>
          <w:sz w:val="14"/>
          <w:szCs w:val="14"/>
          <w:lang w:val="en-GB"/>
        </w:rPr>
        <w:t>nanoelectronics</w:t>
      </w:r>
      <w:r w:rsidRPr="00CB38AE">
        <w:rPr>
          <w:sz w:val="14"/>
          <w:szCs w:val="14"/>
        </w:rPr>
        <w:t xml:space="preserve">, </w:t>
      </w:r>
      <w:r w:rsidRPr="00CB38AE">
        <w:rPr>
          <w:sz w:val="14"/>
          <w:szCs w:val="14"/>
          <w:lang w:val="en-GB"/>
        </w:rPr>
        <w:t>industrial</w:t>
      </w:r>
      <w:r w:rsidRPr="00CB38AE">
        <w:rPr>
          <w:sz w:val="14"/>
          <w:szCs w:val="14"/>
        </w:rPr>
        <w:t xml:space="preserve"> </w:t>
      </w:r>
      <w:r w:rsidRPr="00CB38AE">
        <w:rPr>
          <w:sz w:val="14"/>
          <w:szCs w:val="14"/>
          <w:lang w:val="en-GB"/>
        </w:rPr>
        <w:t>biotechnology</w:t>
      </w:r>
      <w:r w:rsidRPr="00CB38AE">
        <w:rPr>
          <w:sz w:val="14"/>
          <w:szCs w:val="14"/>
        </w:rPr>
        <w:t xml:space="preserve">, </w:t>
      </w:r>
      <w:r w:rsidRPr="00CB38AE">
        <w:rPr>
          <w:sz w:val="14"/>
          <w:szCs w:val="14"/>
          <w:lang w:val="en-GB"/>
        </w:rPr>
        <w:t>advanced</w:t>
      </w:r>
      <w:r w:rsidRPr="00CB38AE">
        <w:rPr>
          <w:sz w:val="14"/>
          <w:szCs w:val="14"/>
        </w:rPr>
        <w:t xml:space="preserve"> </w:t>
      </w:r>
      <w:r w:rsidRPr="00CB38AE">
        <w:rPr>
          <w:sz w:val="14"/>
          <w:szCs w:val="14"/>
          <w:lang w:val="en-GB"/>
        </w:rPr>
        <w:t>materials</w:t>
      </w:r>
      <w:r w:rsidRPr="00CB38AE">
        <w:rPr>
          <w:sz w:val="14"/>
          <w:szCs w:val="14"/>
        </w:rPr>
        <w:t xml:space="preserve">, </w:t>
      </w:r>
      <w:r w:rsidRPr="00CB38AE">
        <w:rPr>
          <w:sz w:val="14"/>
          <w:szCs w:val="14"/>
          <w:lang w:val="en-GB"/>
        </w:rPr>
        <w:t>photonics</w:t>
      </w:r>
      <w:r w:rsidRPr="00CB38AE">
        <w:rPr>
          <w:sz w:val="14"/>
          <w:szCs w:val="14"/>
        </w:rPr>
        <w:t xml:space="preserve">, </w:t>
      </w:r>
      <w:r w:rsidRPr="00CB38AE">
        <w:rPr>
          <w:sz w:val="14"/>
          <w:szCs w:val="14"/>
          <w:lang w:val="en-GB"/>
        </w:rPr>
        <w:t>advanced</w:t>
      </w:r>
      <w:r w:rsidRPr="00CB38AE">
        <w:rPr>
          <w:sz w:val="14"/>
          <w:szCs w:val="14"/>
        </w:rPr>
        <w:t xml:space="preserve"> </w:t>
      </w:r>
      <w:r w:rsidRPr="00CB38AE">
        <w:rPr>
          <w:sz w:val="14"/>
          <w:szCs w:val="14"/>
          <w:lang w:val="en-GB"/>
        </w:rPr>
        <w:t>manufacturing</w:t>
      </w:r>
      <w:r w:rsidRPr="00CB38AE">
        <w:rPr>
          <w:sz w:val="14"/>
          <w:szCs w:val="14"/>
        </w:rPr>
        <w:t xml:space="preserve"> </w:t>
      </w:r>
      <w:r w:rsidRPr="00CB38AE">
        <w:rPr>
          <w:sz w:val="14"/>
          <w:szCs w:val="14"/>
          <w:lang w:val="en-GB"/>
        </w:rPr>
        <w:t>technologies</w:t>
      </w:r>
      <w:r w:rsidRPr="00CB38AE">
        <w:rPr>
          <w:sz w:val="14"/>
          <w:szCs w:val="14"/>
        </w:rPr>
        <w:t xml:space="preserve"> και   </w:t>
      </w:r>
      <w:r w:rsidRPr="00CB38AE">
        <w:rPr>
          <w:sz w:val="14"/>
          <w:szCs w:val="14"/>
          <w:lang w:val="en-GB"/>
        </w:rPr>
        <w:t>ICT</w:t>
      </w:r>
      <w:r w:rsidRPr="00CB38AE">
        <w:rPr>
          <w:sz w:val="14"/>
          <w:szCs w:val="14"/>
        </w:rPr>
        <w:t>)  αποτελούν κύριες πηγές καινοτομίας, παρέχοντας τα απαραίτητα δομικά στοιχεία για το χτίσιμο της ‘τεχνολογικής ετοιμότητας΄ που θα επιτρέψει την ανάδειξη μιας ευρείας γκάμας εφαρμογών και προϊόντων που ανταποκρίνονται σε κοινωνικές προκλήσεις της εποχής μας &amp; τις παγκόσμιες προκλήσεις του μέλλοντος. Οι KETs συμβάλλουν στην ανάπτυξη καινοτόμων λύσεων που διαπερνούν όλους τους τομείς προτεραιότητας (π.χ. ΤΠΕ, υλικά και κατασκευές, Αγροδιατροφή, ενέργεια, μεταφορές, βιοεπιστήμες &amp; υγεία / φάρμακα) και μπορούν να δημιουργήσουν προϋποθέσεις για μια πιο παραγωγική, ανταγωνιστική και αποδοτική ως προς τους ενεργειακούς και άλλους πόρους οικονομία.</w:t>
      </w:r>
    </w:p>
  </w:footnote>
  <w:footnote w:id="2">
    <w:p w14:paraId="5856E19B" w14:textId="77777777" w:rsidR="00842E11" w:rsidRDefault="00842E11" w:rsidP="003770D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9C802" w14:textId="77777777" w:rsidR="00842E11" w:rsidRDefault="00842E11" w:rsidP="00913B2D">
    <w:pPr>
      <w:pStyle w:val="Header"/>
    </w:pPr>
  </w:p>
  <w:p w14:paraId="384AD10A" w14:textId="3836076A" w:rsidR="00842E11" w:rsidRPr="00746A69" w:rsidRDefault="00842E11" w:rsidP="00913B2D">
    <w:pPr>
      <w:pStyle w:val="Header"/>
      <w:pBdr>
        <w:bottom w:val="single" w:sz="4" w:space="1" w:color="7F7F7F" w:themeColor="text1" w:themeTint="80"/>
      </w:pBdr>
      <w:jc w:val="right"/>
    </w:pPr>
    <w:r w:rsidRPr="00746A69">
      <w:t>2</w:t>
    </w:r>
    <w:r w:rsidRPr="00746A69">
      <w:rPr>
        <w:vertAlign w:val="superscript"/>
      </w:rPr>
      <w:t>η</w:t>
    </w:r>
    <w:r>
      <w:t xml:space="preserve"> ΕΚΘΕΣΗ ΠΡΟΟΔΟΥ ΤΗΣ ΕΘΝΙΚΗΣ ΣΤΡΑΤΗΓΙΚΗΣ ΕΞΥΠΝΗΣ ΕΞΕΙΔΙΚΕΥΣΗΣ-</w:t>
    </w:r>
  </w:p>
  <w:p w14:paraId="29423E15" w14:textId="0D37FEC8" w:rsidR="00842E11" w:rsidRDefault="00842E11" w:rsidP="00913B2D">
    <w:pPr>
      <w:pStyle w:val="Header"/>
      <w:pBdr>
        <w:bottom w:val="single" w:sz="4" w:space="1" w:color="7F7F7F" w:themeColor="text1" w:themeTint="80"/>
      </w:pBdr>
      <w:jc w:val="right"/>
    </w:pPr>
    <w:r>
      <w:t>ΕΤΟΣ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55BE"/>
    <w:multiLevelType w:val="hybridMultilevel"/>
    <w:tmpl w:val="370662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8E75FC"/>
    <w:multiLevelType w:val="hybridMultilevel"/>
    <w:tmpl w:val="17DEFF42"/>
    <w:lvl w:ilvl="0" w:tplc="FFFFFFFF">
      <w:start w:val="1"/>
      <w:numFmt w:val="bullet"/>
      <w:lvlText w:val=""/>
      <w:lvlJc w:val="left"/>
      <w:pPr>
        <w:ind w:left="720" w:hanging="360"/>
      </w:pPr>
      <w:rPr>
        <w:rFonts w:ascii="Symbol" w:hAnsi="Symbol" w:hint="default"/>
        <w:b/>
        <w:i w:val="0"/>
        <w:color w:val="auto"/>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82B79F1"/>
    <w:multiLevelType w:val="hybridMultilevel"/>
    <w:tmpl w:val="DF7063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A1E5968"/>
    <w:multiLevelType w:val="hybridMultilevel"/>
    <w:tmpl w:val="83DCEF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BE0425E"/>
    <w:multiLevelType w:val="hybridMultilevel"/>
    <w:tmpl w:val="4A7CEC48"/>
    <w:lvl w:ilvl="0" w:tplc="DF30EE46">
      <w:start w:val="1"/>
      <w:numFmt w:val="bullet"/>
      <w:pStyle w:val="ListBullet2"/>
      <w:lvlText w:val=""/>
      <w:lvlJc w:val="left"/>
      <w:pPr>
        <w:tabs>
          <w:tab w:val="num" w:pos="492"/>
        </w:tabs>
        <w:ind w:left="492" w:hanging="432"/>
      </w:pPr>
      <w:rPr>
        <w:rFonts w:ascii="Symbol" w:hAnsi="Symbol" w:hint="default"/>
      </w:rPr>
    </w:lvl>
    <w:lvl w:ilvl="1" w:tplc="1DE2A898">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B82692"/>
    <w:multiLevelType w:val="multilevel"/>
    <w:tmpl w:val="FE6CFA6A"/>
    <w:lvl w:ilvl="0">
      <w:start w:val="1"/>
      <w:numFmt w:val="decimal"/>
      <w:pStyle w:val="Heading1"/>
      <w:lvlText w:val="%1."/>
      <w:lvlJc w:val="left"/>
      <w:pPr>
        <w:ind w:left="432" w:hanging="432"/>
      </w:pPr>
      <w:rPr>
        <w:rFonts w:ascii="Century Gothic" w:hAnsi="Century Gothic" w:hint="default"/>
        <w:b/>
        <w:i w:val="0"/>
        <w:color w:val="auto"/>
        <w:sz w:val="28"/>
      </w:rPr>
    </w:lvl>
    <w:lvl w:ilvl="1">
      <w:start w:val="1"/>
      <w:numFmt w:val="decimal"/>
      <w:pStyle w:val="Heading2"/>
      <w:lvlText w:val="%1.%2"/>
      <w:lvlJc w:val="left"/>
      <w:pPr>
        <w:ind w:left="576" w:hanging="576"/>
      </w:pPr>
      <w:rPr>
        <w:rFonts w:ascii="Century Gothic" w:hAnsi="Century Gothic" w:hint="default"/>
        <w:b/>
        <w:i w:val="0"/>
        <w:color w:val="auto"/>
        <w:sz w:val="26"/>
      </w:rPr>
    </w:lvl>
    <w:lvl w:ilvl="2">
      <w:start w:val="1"/>
      <w:numFmt w:val="decimal"/>
      <w:pStyle w:val="Heading3"/>
      <w:lvlText w:val="%1.%2.%3"/>
      <w:lvlJc w:val="left"/>
      <w:pPr>
        <w:ind w:left="720" w:hanging="720"/>
      </w:pPr>
      <w:rPr>
        <w:rFonts w:ascii="Century Gothic" w:hAnsi="Century Gothic" w:hint="default"/>
        <w:b/>
        <w:i w:val="0"/>
        <w:sz w:val="22"/>
      </w:rPr>
    </w:lvl>
    <w:lvl w:ilvl="3">
      <w:start w:val="1"/>
      <w:numFmt w:val="decimal"/>
      <w:pStyle w:val="Heading4"/>
      <w:lvlText w:val="%1.%2.%3.%4"/>
      <w:lvlJc w:val="left"/>
      <w:pPr>
        <w:ind w:left="864" w:hanging="864"/>
      </w:pPr>
      <w:rPr>
        <w:rFonts w:ascii="Century Gothic" w:hAnsi="Century Gothic" w:hint="default"/>
        <w:b/>
        <w:i w:val="0"/>
        <w:sz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E4D4C5C"/>
    <w:multiLevelType w:val="hybridMultilevel"/>
    <w:tmpl w:val="642AF5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234BF"/>
    <w:multiLevelType w:val="hybridMultilevel"/>
    <w:tmpl w:val="A2566F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4860CC5"/>
    <w:multiLevelType w:val="hybridMultilevel"/>
    <w:tmpl w:val="19EA8B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0D4850"/>
    <w:multiLevelType w:val="multilevel"/>
    <w:tmpl w:val="3E549740"/>
    <w:styleLink w:val="Style1"/>
    <w:lvl w:ilvl="0">
      <w:start w:val="1"/>
      <w:numFmt w:val="upperLetter"/>
      <w:lvlText w:val="ΕΝΟΤΗΤΑ %1:"/>
      <w:lvlJc w:val="left"/>
      <w:pPr>
        <w:ind w:left="19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Α.%2"/>
      <w:lvlJc w:val="left"/>
      <w:pPr>
        <w:ind w:left="454" w:hanging="454"/>
      </w:pPr>
      <w:rPr>
        <w:rFonts w:hint="default"/>
      </w:rPr>
    </w:lvl>
    <w:lvl w:ilvl="2">
      <w:start w:val="1"/>
      <w:numFmt w:val="decimal"/>
      <w:lvlText w:val="Α.%2.%3"/>
      <w:lvlJc w:val="left"/>
      <w:pPr>
        <w:ind w:left="680" w:hanging="680"/>
      </w:pPr>
      <w:rPr>
        <w:rFonts w:hint="default"/>
      </w:rPr>
    </w:lvl>
    <w:lvl w:ilvl="3">
      <w:start w:val="1"/>
      <w:numFmt w:val="decimal"/>
      <w:lvlText w:val="Α.%2.%3.%4"/>
      <w:lvlJc w:val="left"/>
      <w:pPr>
        <w:ind w:left="737" w:hanging="737"/>
      </w:pPr>
      <w:rPr>
        <w:rFonts w:hint="default"/>
      </w:rPr>
    </w:lvl>
    <w:lvl w:ilvl="4">
      <w:start w:val="1"/>
      <w:numFmt w:val="decimal"/>
      <w:lvlText w:val="Α.%2.%3.%4.%5"/>
      <w:lvlJc w:val="left"/>
      <w:pPr>
        <w:ind w:left="1078" w:hanging="794"/>
      </w:pPr>
      <w:rPr>
        <w:rFonts w:hint="default"/>
        <w:sz w:val="20"/>
        <w:szCs w:val="20"/>
      </w:rPr>
    </w:lvl>
    <w:lvl w:ilvl="5">
      <w:start w:val="1"/>
      <w:numFmt w:val="decimal"/>
      <w:lvlText w:val="Α.%2.%3.%4.%5.%6"/>
      <w:lvlJc w:val="left"/>
      <w:pPr>
        <w:ind w:left="737" w:hanging="73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BC3477"/>
    <w:multiLevelType w:val="hybridMultilevel"/>
    <w:tmpl w:val="138C2574"/>
    <w:lvl w:ilvl="0" w:tplc="047EC0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90900"/>
    <w:multiLevelType w:val="hybridMultilevel"/>
    <w:tmpl w:val="D960EE40"/>
    <w:lvl w:ilvl="0" w:tplc="C772F2C0">
      <w:start w:val="1"/>
      <w:numFmt w:val="bullet"/>
      <w:pStyle w:val="ListParagraphlevel2"/>
      <w:lvlText w:val="&gt;"/>
      <w:lvlJc w:val="left"/>
      <w:pPr>
        <w:ind w:left="720" w:hanging="360"/>
      </w:pPr>
      <w:rPr>
        <w:rFonts w:ascii="Calibri" w:hAnsi="Calibri" w:hint="default"/>
        <w:b/>
        <w:bCs w:val="0"/>
        <w:i w:val="0"/>
        <w:iCs w:val="0"/>
        <w:caps w:val="0"/>
        <w:strike w:val="0"/>
        <w:dstrike w:val="0"/>
        <w:vanish w:val="0"/>
        <w:color w:val="7F7F7F"/>
        <w:spacing w:val="0"/>
        <w:kern w:val="0"/>
        <w:position w:val="0"/>
        <w:sz w:val="26"/>
        <w:szCs w:val="2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FAE1EAC"/>
    <w:multiLevelType w:val="hybridMultilevel"/>
    <w:tmpl w:val="7F8CAC6A"/>
    <w:lvl w:ilvl="0" w:tplc="A0789B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5636F69"/>
    <w:multiLevelType w:val="hybridMultilevel"/>
    <w:tmpl w:val="8DF81072"/>
    <w:lvl w:ilvl="0" w:tplc="57EA44D0">
      <w:start w:val="1"/>
      <w:numFmt w:val="bullet"/>
      <w:pStyle w:val="ListBullet"/>
      <w:lvlText w:val=""/>
      <w:lvlJc w:val="left"/>
      <w:pPr>
        <w:ind w:left="360" w:hanging="360"/>
      </w:pPr>
      <w:rPr>
        <w:rFonts w:ascii="Wingdings" w:hAnsi="Wingdings" w:hint="default"/>
        <w:b w:val="0"/>
        <w:i w:val="0"/>
        <w:caps w:val="0"/>
        <w:strike w:val="0"/>
        <w:dstrike w:val="0"/>
        <w:vanish w:val="0"/>
        <w:color w:val="990000"/>
        <w:spacing w:val="0"/>
        <w:w w:val="100"/>
        <w:position w:val="0"/>
        <w:sz w:val="24"/>
        <w:u w:val="none"/>
        <w:vertAlign w:val="baseline"/>
      </w:rPr>
    </w:lvl>
    <w:lvl w:ilvl="1" w:tplc="04080003">
      <w:start w:val="1"/>
      <w:numFmt w:val="bullet"/>
      <w:lvlText w:val="o"/>
      <w:lvlJc w:val="left"/>
      <w:pPr>
        <w:ind w:left="1552" w:hanging="360"/>
      </w:pPr>
      <w:rPr>
        <w:rFonts w:ascii="Courier New" w:hAnsi="Courier New" w:cs="Courier New" w:hint="default"/>
      </w:rPr>
    </w:lvl>
    <w:lvl w:ilvl="2" w:tplc="04080005">
      <w:start w:val="1"/>
      <w:numFmt w:val="bullet"/>
      <w:lvlText w:val=""/>
      <w:lvlJc w:val="left"/>
      <w:pPr>
        <w:ind w:left="2272" w:hanging="360"/>
      </w:pPr>
      <w:rPr>
        <w:rFonts w:ascii="Wingdings" w:hAnsi="Wingdings" w:hint="default"/>
      </w:rPr>
    </w:lvl>
    <w:lvl w:ilvl="3" w:tplc="04080001">
      <w:start w:val="1"/>
      <w:numFmt w:val="bullet"/>
      <w:lvlText w:val=""/>
      <w:lvlJc w:val="left"/>
      <w:pPr>
        <w:ind w:left="2992" w:hanging="360"/>
      </w:pPr>
      <w:rPr>
        <w:rFonts w:ascii="Symbol" w:hAnsi="Symbol" w:hint="default"/>
      </w:rPr>
    </w:lvl>
    <w:lvl w:ilvl="4" w:tplc="04080003" w:tentative="1">
      <w:start w:val="1"/>
      <w:numFmt w:val="bullet"/>
      <w:lvlText w:val="o"/>
      <w:lvlJc w:val="left"/>
      <w:pPr>
        <w:ind w:left="3712" w:hanging="360"/>
      </w:pPr>
      <w:rPr>
        <w:rFonts w:ascii="Courier New" w:hAnsi="Courier New" w:cs="Courier New" w:hint="default"/>
      </w:rPr>
    </w:lvl>
    <w:lvl w:ilvl="5" w:tplc="04080005" w:tentative="1">
      <w:start w:val="1"/>
      <w:numFmt w:val="bullet"/>
      <w:lvlText w:val=""/>
      <w:lvlJc w:val="left"/>
      <w:pPr>
        <w:ind w:left="4432" w:hanging="360"/>
      </w:pPr>
      <w:rPr>
        <w:rFonts w:ascii="Wingdings" w:hAnsi="Wingdings" w:hint="default"/>
      </w:rPr>
    </w:lvl>
    <w:lvl w:ilvl="6" w:tplc="04080001" w:tentative="1">
      <w:start w:val="1"/>
      <w:numFmt w:val="bullet"/>
      <w:lvlText w:val=""/>
      <w:lvlJc w:val="left"/>
      <w:pPr>
        <w:ind w:left="5152" w:hanging="360"/>
      </w:pPr>
      <w:rPr>
        <w:rFonts w:ascii="Symbol" w:hAnsi="Symbol" w:hint="default"/>
      </w:rPr>
    </w:lvl>
    <w:lvl w:ilvl="7" w:tplc="04080003" w:tentative="1">
      <w:start w:val="1"/>
      <w:numFmt w:val="bullet"/>
      <w:lvlText w:val="o"/>
      <w:lvlJc w:val="left"/>
      <w:pPr>
        <w:ind w:left="5872" w:hanging="360"/>
      </w:pPr>
      <w:rPr>
        <w:rFonts w:ascii="Courier New" w:hAnsi="Courier New" w:cs="Courier New" w:hint="default"/>
      </w:rPr>
    </w:lvl>
    <w:lvl w:ilvl="8" w:tplc="04080005" w:tentative="1">
      <w:start w:val="1"/>
      <w:numFmt w:val="bullet"/>
      <w:lvlText w:val=""/>
      <w:lvlJc w:val="left"/>
      <w:pPr>
        <w:ind w:left="6592" w:hanging="360"/>
      </w:pPr>
      <w:rPr>
        <w:rFonts w:ascii="Wingdings" w:hAnsi="Wingdings" w:hint="default"/>
      </w:rPr>
    </w:lvl>
  </w:abstractNum>
  <w:abstractNum w:abstractNumId="14" w15:restartNumberingAfterBreak="0">
    <w:nsid w:val="30D87E92"/>
    <w:multiLevelType w:val="hybridMultilevel"/>
    <w:tmpl w:val="83D899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D510BD7"/>
    <w:multiLevelType w:val="hybridMultilevel"/>
    <w:tmpl w:val="6C7642F2"/>
    <w:lvl w:ilvl="0" w:tplc="8BA00D70">
      <w:start w:val="1"/>
      <w:numFmt w:val="decimal"/>
      <w:lvlText w:val="%1."/>
      <w:lvlJc w:val="left"/>
      <w:pPr>
        <w:ind w:left="720" w:hanging="360"/>
      </w:pPr>
      <w:rPr>
        <w:rFonts w:ascii="Century Gothic" w:hAnsi="Century Gothic" w:hint="default"/>
        <w:b w:val="0"/>
        <w:i w:val="0"/>
        <w:sz w:val="18"/>
        <w:szCs w:val="18"/>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F6B2C23"/>
    <w:multiLevelType w:val="hybridMultilevel"/>
    <w:tmpl w:val="F24E5D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5D53E0B"/>
    <w:multiLevelType w:val="hybridMultilevel"/>
    <w:tmpl w:val="069C129E"/>
    <w:lvl w:ilvl="0" w:tplc="41AAA10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795681A"/>
    <w:multiLevelType w:val="hybridMultilevel"/>
    <w:tmpl w:val="0A3CE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565255"/>
    <w:multiLevelType w:val="hybridMultilevel"/>
    <w:tmpl w:val="562E97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EB08B0"/>
    <w:multiLevelType w:val="hybridMultilevel"/>
    <w:tmpl w:val="DB40E5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178410D"/>
    <w:multiLevelType w:val="hybridMultilevel"/>
    <w:tmpl w:val="99B8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15D3B"/>
    <w:multiLevelType w:val="hybridMultilevel"/>
    <w:tmpl w:val="BDEA2AA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23" w15:restartNumberingAfterBreak="0">
    <w:nsid w:val="5FD54289"/>
    <w:multiLevelType w:val="hybridMultilevel"/>
    <w:tmpl w:val="75AA8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484735"/>
    <w:multiLevelType w:val="hybridMultilevel"/>
    <w:tmpl w:val="2AE4FB5C"/>
    <w:lvl w:ilvl="0" w:tplc="FE1AE4B2">
      <w:start w:val="1"/>
      <w:numFmt w:val="bullet"/>
      <w:pStyle w:val="bullet1"/>
      <w:lvlText w:val=""/>
      <w:lvlJc w:val="left"/>
      <w:pPr>
        <w:ind w:left="786" w:hanging="360"/>
      </w:pPr>
      <w:rPr>
        <w:rFonts w:ascii="Wingdings" w:hAnsi="Wingdings" w:hint="default"/>
        <w:color w:val="F88D62"/>
        <w:sz w:val="28"/>
        <w:szCs w:val="20"/>
      </w:rPr>
    </w:lvl>
    <w:lvl w:ilvl="1" w:tplc="F31E70CA">
      <w:start w:val="1"/>
      <w:numFmt w:val="bullet"/>
      <w:pStyle w:val="bullet2"/>
      <w:lvlText w:val="o"/>
      <w:lvlJc w:val="left"/>
      <w:pPr>
        <w:ind w:left="1287" w:hanging="360"/>
      </w:pPr>
      <w:rPr>
        <w:rFonts w:ascii="Courier New" w:hAnsi="Courier New" w:cs="Courier New" w:hint="default"/>
        <w:color w:val="F88D62"/>
      </w:rPr>
    </w:lvl>
    <w:lvl w:ilvl="2" w:tplc="7FC06B26">
      <w:numFmt w:val="bullet"/>
      <w:pStyle w:val="bullet3"/>
      <w:lvlText w:val="•"/>
      <w:lvlJc w:val="left"/>
      <w:pPr>
        <w:ind w:left="2007" w:hanging="360"/>
      </w:pPr>
      <w:rPr>
        <w:rFonts w:ascii="Helvetica" w:eastAsia="Calibri" w:hAnsi="Helvetica" w:cs="Helvetica" w:hint="default"/>
        <w:sz w:val="22"/>
      </w:rPr>
    </w:lvl>
    <w:lvl w:ilvl="3" w:tplc="04080001" w:tentative="1">
      <w:start w:val="1"/>
      <w:numFmt w:val="bullet"/>
      <w:lvlText w:val=""/>
      <w:lvlJc w:val="left"/>
      <w:pPr>
        <w:ind w:left="2727" w:hanging="360"/>
      </w:pPr>
      <w:rPr>
        <w:rFonts w:ascii="Symbol" w:hAnsi="Symbol" w:hint="default"/>
      </w:rPr>
    </w:lvl>
    <w:lvl w:ilvl="4" w:tplc="04080003" w:tentative="1">
      <w:start w:val="1"/>
      <w:numFmt w:val="bullet"/>
      <w:lvlText w:val="o"/>
      <w:lvlJc w:val="left"/>
      <w:pPr>
        <w:ind w:left="3447" w:hanging="360"/>
      </w:pPr>
      <w:rPr>
        <w:rFonts w:ascii="Courier New" w:hAnsi="Courier New" w:cs="Courier New" w:hint="default"/>
      </w:rPr>
    </w:lvl>
    <w:lvl w:ilvl="5" w:tplc="04080005" w:tentative="1">
      <w:start w:val="1"/>
      <w:numFmt w:val="bullet"/>
      <w:lvlText w:val=""/>
      <w:lvlJc w:val="left"/>
      <w:pPr>
        <w:ind w:left="4167" w:hanging="360"/>
      </w:pPr>
      <w:rPr>
        <w:rFonts w:ascii="Wingdings" w:hAnsi="Wingdings" w:hint="default"/>
      </w:rPr>
    </w:lvl>
    <w:lvl w:ilvl="6" w:tplc="04080001" w:tentative="1">
      <w:start w:val="1"/>
      <w:numFmt w:val="bullet"/>
      <w:lvlText w:val=""/>
      <w:lvlJc w:val="left"/>
      <w:pPr>
        <w:ind w:left="4887" w:hanging="360"/>
      </w:pPr>
      <w:rPr>
        <w:rFonts w:ascii="Symbol" w:hAnsi="Symbol" w:hint="default"/>
      </w:rPr>
    </w:lvl>
    <w:lvl w:ilvl="7" w:tplc="04080003" w:tentative="1">
      <w:start w:val="1"/>
      <w:numFmt w:val="bullet"/>
      <w:lvlText w:val="o"/>
      <w:lvlJc w:val="left"/>
      <w:pPr>
        <w:ind w:left="5607" w:hanging="360"/>
      </w:pPr>
      <w:rPr>
        <w:rFonts w:ascii="Courier New" w:hAnsi="Courier New" w:cs="Courier New" w:hint="default"/>
      </w:rPr>
    </w:lvl>
    <w:lvl w:ilvl="8" w:tplc="04080005" w:tentative="1">
      <w:start w:val="1"/>
      <w:numFmt w:val="bullet"/>
      <w:lvlText w:val=""/>
      <w:lvlJc w:val="left"/>
      <w:pPr>
        <w:ind w:left="6327" w:hanging="360"/>
      </w:pPr>
      <w:rPr>
        <w:rFonts w:ascii="Wingdings" w:hAnsi="Wingdings" w:hint="default"/>
      </w:rPr>
    </w:lvl>
  </w:abstractNum>
  <w:abstractNum w:abstractNumId="25" w15:restartNumberingAfterBreak="0">
    <w:nsid w:val="6C140DDC"/>
    <w:multiLevelType w:val="hybridMultilevel"/>
    <w:tmpl w:val="2E140A60"/>
    <w:lvl w:ilvl="0" w:tplc="81A4DA4A">
      <w:numFmt w:val="bullet"/>
      <w:lvlText w:val="•"/>
      <w:lvlJc w:val="left"/>
      <w:pPr>
        <w:ind w:left="1080" w:hanging="720"/>
      </w:pPr>
      <w:rPr>
        <w:rFonts w:ascii="Century Gothic" w:eastAsia="Calibri"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CB385C"/>
    <w:multiLevelType w:val="hybridMultilevel"/>
    <w:tmpl w:val="C756C6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6AC7A0B"/>
    <w:multiLevelType w:val="hybridMultilevel"/>
    <w:tmpl w:val="7548E6B0"/>
    <w:lvl w:ilvl="0" w:tplc="FFFFFFFF">
      <w:start w:val="1"/>
      <w:numFmt w:val="decimal"/>
      <w:pStyle w:val="StyleSxima"/>
      <w:lvlText w:val="Σχήμα %1:"/>
      <w:lvlJc w:val="center"/>
      <w:pPr>
        <w:tabs>
          <w:tab w:val="num" w:pos="1134"/>
        </w:tabs>
        <w:ind w:left="1134" w:hanging="680"/>
      </w:pPr>
      <w:rPr>
        <w:rFonts w:ascii="Book Antiqua" w:hAnsi="Book Antiqua" w:hint="default"/>
        <w:b/>
        <w:i w:val="0"/>
        <w:sz w:val="20"/>
      </w:rPr>
    </w:lvl>
    <w:lvl w:ilvl="1" w:tplc="FFFFFFFF">
      <w:start w:val="1"/>
      <w:numFmt w:val="bullet"/>
      <w:lvlText w:val=""/>
      <w:lvlJc w:val="left"/>
      <w:pPr>
        <w:tabs>
          <w:tab w:val="num" w:pos="1440"/>
        </w:tabs>
        <w:ind w:left="1440" w:hanging="360"/>
      </w:pPr>
      <w:rPr>
        <w:rFonts w:ascii="Symbol" w:hAnsi="Symbol" w:hint="default"/>
        <w:b/>
        <w:i w:val="0"/>
        <w:color w:val="auto"/>
        <w:sz w:val="18"/>
        <w:szCs w:val="18"/>
      </w:r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BAD68DF"/>
    <w:multiLevelType w:val="hybridMultilevel"/>
    <w:tmpl w:val="F9AE25EA"/>
    <w:lvl w:ilvl="0" w:tplc="FFFFFFFF">
      <w:start w:val="1"/>
      <w:numFmt w:val="bullet"/>
      <w:lvlText w:val=""/>
      <w:lvlJc w:val="left"/>
      <w:pPr>
        <w:ind w:left="720" w:hanging="360"/>
      </w:pPr>
      <w:rPr>
        <w:rFonts w:ascii="Symbol" w:hAnsi="Symbol" w:hint="default"/>
        <w:b/>
        <w:i w:val="0"/>
        <w:color w:val="auto"/>
        <w:sz w:val="18"/>
        <w:szCs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D253AEA"/>
    <w:multiLevelType w:val="hybridMultilevel"/>
    <w:tmpl w:val="E95860CA"/>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15:restartNumberingAfterBreak="0">
    <w:nsid w:val="7DB25DED"/>
    <w:multiLevelType w:val="multilevel"/>
    <w:tmpl w:val="7F566A32"/>
    <w:lvl w:ilvl="0">
      <w:start w:val="1"/>
      <w:numFmt w:val="upperLetter"/>
      <w:pStyle w:val="Title"/>
      <w:lvlText w:val="ΕΝΟΤΗΤΑ %1:"/>
      <w:lvlJc w:val="left"/>
      <w:pPr>
        <w:ind w:left="19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Α.%2"/>
      <w:lvlJc w:val="left"/>
      <w:pPr>
        <w:ind w:left="454" w:hanging="454"/>
      </w:pPr>
      <w:rPr>
        <w:rFonts w:hint="default"/>
      </w:rPr>
    </w:lvl>
    <w:lvl w:ilvl="2">
      <w:start w:val="1"/>
      <w:numFmt w:val="decimal"/>
      <w:lvlText w:val="Α.%2.%3"/>
      <w:lvlJc w:val="left"/>
      <w:pPr>
        <w:ind w:left="680" w:hanging="680"/>
      </w:pPr>
      <w:rPr>
        <w:rFonts w:hint="default"/>
      </w:rPr>
    </w:lvl>
    <w:lvl w:ilvl="3">
      <w:start w:val="1"/>
      <w:numFmt w:val="decimal"/>
      <w:lvlText w:val="Α.%2.%3.%4"/>
      <w:lvlJc w:val="left"/>
      <w:pPr>
        <w:ind w:left="737" w:hanging="737"/>
      </w:pPr>
      <w:rPr>
        <w:rFonts w:hint="default"/>
      </w:rPr>
    </w:lvl>
    <w:lvl w:ilvl="4">
      <w:start w:val="1"/>
      <w:numFmt w:val="decimal"/>
      <w:lvlText w:val="Α.%2.%3.%4.%5"/>
      <w:lvlJc w:val="left"/>
      <w:pPr>
        <w:ind w:left="794" w:hanging="794"/>
      </w:pPr>
      <w:rPr>
        <w:rFonts w:hint="default"/>
        <w:sz w:val="20"/>
        <w:szCs w:val="20"/>
      </w:rPr>
    </w:lvl>
    <w:lvl w:ilvl="5">
      <w:start w:val="1"/>
      <w:numFmt w:val="decimal"/>
      <w:lvlText w:val="Α.%2.%3.%4.%5.%6"/>
      <w:lvlJc w:val="left"/>
      <w:pPr>
        <w:ind w:left="737" w:hanging="73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F942E95"/>
    <w:multiLevelType w:val="hybridMultilevel"/>
    <w:tmpl w:val="FAA67460"/>
    <w:styleLink w:val="Style1BulletedDarkRed3"/>
    <w:lvl w:ilvl="0" w:tplc="FBD26F08">
      <w:start w:val="1"/>
      <w:numFmt w:val="bullet"/>
      <w:pStyle w:val="ullet2"/>
      <w:lvlText w:val=""/>
      <w:lvlJc w:val="left"/>
      <w:pPr>
        <w:ind w:left="360" w:hanging="360"/>
      </w:pPr>
      <w:rPr>
        <w:rFonts w:ascii="Wingdings" w:hAnsi="Wingdings" w:hint="default"/>
        <w:color w:val="800000"/>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9"/>
  </w:num>
  <w:num w:numId="2">
    <w:abstractNumId w:val="30"/>
  </w:num>
  <w:num w:numId="3">
    <w:abstractNumId w:val="27"/>
  </w:num>
  <w:num w:numId="4">
    <w:abstractNumId w:val="13"/>
  </w:num>
  <w:num w:numId="5">
    <w:abstractNumId w:val="4"/>
  </w:num>
  <w:num w:numId="6">
    <w:abstractNumId w:val="24"/>
  </w:num>
  <w:num w:numId="7">
    <w:abstractNumId w:val="31"/>
  </w:num>
  <w:num w:numId="8">
    <w:abstractNumId w:val="11"/>
  </w:num>
  <w:num w:numId="9">
    <w:abstractNumId w:val="5"/>
  </w:num>
  <w:num w:numId="10">
    <w:abstractNumId w:val="20"/>
  </w:num>
  <w:num w:numId="11">
    <w:abstractNumId w:val="28"/>
  </w:num>
  <w:num w:numId="12">
    <w:abstractNumId w:val="17"/>
  </w:num>
  <w:num w:numId="13">
    <w:abstractNumId w:val="12"/>
  </w:num>
  <w:num w:numId="14">
    <w:abstractNumId w:val="22"/>
  </w:num>
  <w:num w:numId="15">
    <w:abstractNumId w:val="2"/>
  </w:num>
  <w:num w:numId="16">
    <w:abstractNumId w:val="18"/>
  </w:num>
  <w:num w:numId="17">
    <w:abstractNumId w:val="6"/>
  </w:num>
  <w:num w:numId="18">
    <w:abstractNumId w:val="21"/>
  </w:num>
  <w:num w:numId="19">
    <w:abstractNumId w:val="23"/>
  </w:num>
  <w:num w:numId="20">
    <w:abstractNumId w:val="0"/>
  </w:num>
  <w:num w:numId="21">
    <w:abstractNumId w:val="14"/>
  </w:num>
  <w:num w:numId="22">
    <w:abstractNumId w:val="15"/>
  </w:num>
  <w:num w:numId="23">
    <w:abstractNumId w:val="26"/>
  </w:num>
  <w:num w:numId="24">
    <w:abstractNumId w:val="19"/>
  </w:num>
  <w:num w:numId="25">
    <w:abstractNumId w:val="16"/>
  </w:num>
  <w:num w:numId="26">
    <w:abstractNumId w:val="1"/>
  </w:num>
  <w:num w:numId="27">
    <w:abstractNumId w:val="10"/>
  </w:num>
  <w:num w:numId="28">
    <w:abstractNumId w:val="3"/>
  </w:num>
  <w:num w:numId="29">
    <w:abstractNumId w:val="29"/>
  </w:num>
  <w:num w:numId="30">
    <w:abstractNumId w:val="25"/>
  </w:num>
  <w:num w:numId="31">
    <w:abstractNumId w:val="7"/>
  </w:num>
  <w:num w:numId="32">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875"/>
    <w:rsid w:val="00003238"/>
    <w:rsid w:val="0000404B"/>
    <w:rsid w:val="00004D5A"/>
    <w:rsid w:val="00005818"/>
    <w:rsid w:val="0001063E"/>
    <w:rsid w:val="0001119B"/>
    <w:rsid w:val="00013C19"/>
    <w:rsid w:val="00026FF4"/>
    <w:rsid w:val="0003032C"/>
    <w:rsid w:val="00033C46"/>
    <w:rsid w:val="00041CF6"/>
    <w:rsid w:val="0005598D"/>
    <w:rsid w:val="0006411D"/>
    <w:rsid w:val="0006566B"/>
    <w:rsid w:val="00066905"/>
    <w:rsid w:val="00071F87"/>
    <w:rsid w:val="0009077B"/>
    <w:rsid w:val="000A3838"/>
    <w:rsid w:val="000A5F8E"/>
    <w:rsid w:val="0011315C"/>
    <w:rsid w:val="00114124"/>
    <w:rsid w:val="001167E2"/>
    <w:rsid w:val="001215EA"/>
    <w:rsid w:val="00122B23"/>
    <w:rsid w:val="00132968"/>
    <w:rsid w:val="00134FAF"/>
    <w:rsid w:val="00135743"/>
    <w:rsid w:val="0013687E"/>
    <w:rsid w:val="0014374A"/>
    <w:rsid w:val="001537A4"/>
    <w:rsid w:val="00185BBE"/>
    <w:rsid w:val="001A16ED"/>
    <w:rsid w:val="001A593B"/>
    <w:rsid w:val="001A7F75"/>
    <w:rsid w:val="001B23E7"/>
    <w:rsid w:val="001B2C96"/>
    <w:rsid w:val="001B79CF"/>
    <w:rsid w:val="001B7E9E"/>
    <w:rsid w:val="001D2954"/>
    <w:rsid w:val="001D47E9"/>
    <w:rsid w:val="001D742B"/>
    <w:rsid w:val="001E3922"/>
    <w:rsid w:val="001E71E2"/>
    <w:rsid w:val="00202712"/>
    <w:rsid w:val="00202CE1"/>
    <w:rsid w:val="00216A04"/>
    <w:rsid w:val="0023575A"/>
    <w:rsid w:val="0023773B"/>
    <w:rsid w:val="002428B9"/>
    <w:rsid w:val="00246249"/>
    <w:rsid w:val="002500DB"/>
    <w:rsid w:val="00257C91"/>
    <w:rsid w:val="0026685F"/>
    <w:rsid w:val="00266DBB"/>
    <w:rsid w:val="00271818"/>
    <w:rsid w:val="002760D9"/>
    <w:rsid w:val="00281C63"/>
    <w:rsid w:val="002838A6"/>
    <w:rsid w:val="002879D2"/>
    <w:rsid w:val="002906B4"/>
    <w:rsid w:val="002A0499"/>
    <w:rsid w:val="002A374E"/>
    <w:rsid w:val="002B3D16"/>
    <w:rsid w:val="002C08E8"/>
    <w:rsid w:val="002E0366"/>
    <w:rsid w:val="002E2DC0"/>
    <w:rsid w:val="00303C13"/>
    <w:rsid w:val="00305C7F"/>
    <w:rsid w:val="003078EE"/>
    <w:rsid w:val="00312189"/>
    <w:rsid w:val="003254F0"/>
    <w:rsid w:val="003305C1"/>
    <w:rsid w:val="0033076B"/>
    <w:rsid w:val="00333509"/>
    <w:rsid w:val="00336A10"/>
    <w:rsid w:val="00337301"/>
    <w:rsid w:val="00350523"/>
    <w:rsid w:val="00355D5C"/>
    <w:rsid w:val="003632D5"/>
    <w:rsid w:val="00370C56"/>
    <w:rsid w:val="003770DC"/>
    <w:rsid w:val="00381BC6"/>
    <w:rsid w:val="00397ACE"/>
    <w:rsid w:val="003A7437"/>
    <w:rsid w:val="003C7591"/>
    <w:rsid w:val="003D021E"/>
    <w:rsid w:val="003D1916"/>
    <w:rsid w:val="003D1BCA"/>
    <w:rsid w:val="003D262C"/>
    <w:rsid w:val="003E6037"/>
    <w:rsid w:val="003E6266"/>
    <w:rsid w:val="003E7153"/>
    <w:rsid w:val="00400EF4"/>
    <w:rsid w:val="00411411"/>
    <w:rsid w:val="00435055"/>
    <w:rsid w:val="0044305E"/>
    <w:rsid w:val="0044681F"/>
    <w:rsid w:val="00450C14"/>
    <w:rsid w:val="00472598"/>
    <w:rsid w:val="00483515"/>
    <w:rsid w:val="00483B86"/>
    <w:rsid w:val="00492BFD"/>
    <w:rsid w:val="00494216"/>
    <w:rsid w:val="00495104"/>
    <w:rsid w:val="00496A53"/>
    <w:rsid w:val="004A6364"/>
    <w:rsid w:val="004B057B"/>
    <w:rsid w:val="004B1B24"/>
    <w:rsid w:val="004B753A"/>
    <w:rsid w:val="004C5799"/>
    <w:rsid w:val="004D30B3"/>
    <w:rsid w:val="004D752D"/>
    <w:rsid w:val="004E26E5"/>
    <w:rsid w:val="004F31A9"/>
    <w:rsid w:val="004F551F"/>
    <w:rsid w:val="004F7719"/>
    <w:rsid w:val="00500CB8"/>
    <w:rsid w:val="0052042E"/>
    <w:rsid w:val="00524AAA"/>
    <w:rsid w:val="0052538D"/>
    <w:rsid w:val="00532B5A"/>
    <w:rsid w:val="005416EE"/>
    <w:rsid w:val="00541BA0"/>
    <w:rsid w:val="005476F0"/>
    <w:rsid w:val="00550E4D"/>
    <w:rsid w:val="00552917"/>
    <w:rsid w:val="005556AE"/>
    <w:rsid w:val="00561137"/>
    <w:rsid w:val="0056124B"/>
    <w:rsid w:val="0056774A"/>
    <w:rsid w:val="005824C4"/>
    <w:rsid w:val="00597B4B"/>
    <w:rsid w:val="005A04C8"/>
    <w:rsid w:val="005A3029"/>
    <w:rsid w:val="005B099C"/>
    <w:rsid w:val="005B3D3A"/>
    <w:rsid w:val="005C12E2"/>
    <w:rsid w:val="005C735D"/>
    <w:rsid w:val="005D07E8"/>
    <w:rsid w:val="005E4F27"/>
    <w:rsid w:val="005E7641"/>
    <w:rsid w:val="005F1DE3"/>
    <w:rsid w:val="005F5D19"/>
    <w:rsid w:val="00600820"/>
    <w:rsid w:val="00604D8F"/>
    <w:rsid w:val="00610A4C"/>
    <w:rsid w:val="0061319E"/>
    <w:rsid w:val="00614454"/>
    <w:rsid w:val="0061605D"/>
    <w:rsid w:val="00624DF3"/>
    <w:rsid w:val="00626112"/>
    <w:rsid w:val="00626FE3"/>
    <w:rsid w:val="00636DEA"/>
    <w:rsid w:val="00640185"/>
    <w:rsid w:val="00640A25"/>
    <w:rsid w:val="00646DDA"/>
    <w:rsid w:val="00651313"/>
    <w:rsid w:val="0065535D"/>
    <w:rsid w:val="0065794A"/>
    <w:rsid w:val="00660CDA"/>
    <w:rsid w:val="00674E54"/>
    <w:rsid w:val="00696052"/>
    <w:rsid w:val="006A0A79"/>
    <w:rsid w:val="006B4E03"/>
    <w:rsid w:val="006B5239"/>
    <w:rsid w:val="006B6150"/>
    <w:rsid w:val="006B7D9D"/>
    <w:rsid w:val="006C1583"/>
    <w:rsid w:val="006C35A7"/>
    <w:rsid w:val="006C426D"/>
    <w:rsid w:val="006C79D6"/>
    <w:rsid w:val="006D6BB5"/>
    <w:rsid w:val="006E037E"/>
    <w:rsid w:val="006E5AC8"/>
    <w:rsid w:val="006F3D7B"/>
    <w:rsid w:val="00704704"/>
    <w:rsid w:val="007063C8"/>
    <w:rsid w:val="007074E2"/>
    <w:rsid w:val="00711DA4"/>
    <w:rsid w:val="00712ED7"/>
    <w:rsid w:val="0071408F"/>
    <w:rsid w:val="00717C8C"/>
    <w:rsid w:val="00726799"/>
    <w:rsid w:val="00727101"/>
    <w:rsid w:val="00735DA4"/>
    <w:rsid w:val="007375CD"/>
    <w:rsid w:val="00746A69"/>
    <w:rsid w:val="007603E6"/>
    <w:rsid w:val="007635FD"/>
    <w:rsid w:val="00766A04"/>
    <w:rsid w:val="0078181C"/>
    <w:rsid w:val="007C7F7B"/>
    <w:rsid w:val="007F6EB5"/>
    <w:rsid w:val="00802D5F"/>
    <w:rsid w:val="00804D5C"/>
    <w:rsid w:val="00821221"/>
    <w:rsid w:val="00833098"/>
    <w:rsid w:val="00835758"/>
    <w:rsid w:val="00842E11"/>
    <w:rsid w:val="0084380A"/>
    <w:rsid w:val="00844B65"/>
    <w:rsid w:val="00847369"/>
    <w:rsid w:val="0085167C"/>
    <w:rsid w:val="00853066"/>
    <w:rsid w:val="0085705F"/>
    <w:rsid w:val="008622D4"/>
    <w:rsid w:val="0086315E"/>
    <w:rsid w:val="00863818"/>
    <w:rsid w:val="008706D5"/>
    <w:rsid w:val="00872A71"/>
    <w:rsid w:val="00874063"/>
    <w:rsid w:val="00875F75"/>
    <w:rsid w:val="00883454"/>
    <w:rsid w:val="008863F3"/>
    <w:rsid w:val="0089033F"/>
    <w:rsid w:val="008962CE"/>
    <w:rsid w:val="0089712F"/>
    <w:rsid w:val="008A2263"/>
    <w:rsid w:val="008A3D7A"/>
    <w:rsid w:val="008B5B19"/>
    <w:rsid w:val="008C5455"/>
    <w:rsid w:val="008D772B"/>
    <w:rsid w:val="008D7C94"/>
    <w:rsid w:val="008E03B1"/>
    <w:rsid w:val="008E5875"/>
    <w:rsid w:val="008E6EE8"/>
    <w:rsid w:val="008F0183"/>
    <w:rsid w:val="00907CF3"/>
    <w:rsid w:val="00913B2D"/>
    <w:rsid w:val="00926924"/>
    <w:rsid w:val="009576A4"/>
    <w:rsid w:val="009677A7"/>
    <w:rsid w:val="009750EF"/>
    <w:rsid w:val="00975CDE"/>
    <w:rsid w:val="00991E04"/>
    <w:rsid w:val="009A0B99"/>
    <w:rsid w:val="009C23C4"/>
    <w:rsid w:val="009D18C4"/>
    <w:rsid w:val="009F6D0E"/>
    <w:rsid w:val="00A12A57"/>
    <w:rsid w:val="00A2591E"/>
    <w:rsid w:val="00A2764F"/>
    <w:rsid w:val="00A332A9"/>
    <w:rsid w:val="00A3379D"/>
    <w:rsid w:val="00A3403F"/>
    <w:rsid w:val="00A3742F"/>
    <w:rsid w:val="00A405B8"/>
    <w:rsid w:val="00A500BE"/>
    <w:rsid w:val="00A56E01"/>
    <w:rsid w:val="00A70C40"/>
    <w:rsid w:val="00A77741"/>
    <w:rsid w:val="00A77820"/>
    <w:rsid w:val="00A82AC3"/>
    <w:rsid w:val="00A94BA9"/>
    <w:rsid w:val="00AC4828"/>
    <w:rsid w:val="00AC494F"/>
    <w:rsid w:val="00AD5C83"/>
    <w:rsid w:val="00AF01F7"/>
    <w:rsid w:val="00B017E9"/>
    <w:rsid w:val="00B053C0"/>
    <w:rsid w:val="00B05A01"/>
    <w:rsid w:val="00B12FD1"/>
    <w:rsid w:val="00B2394C"/>
    <w:rsid w:val="00B24913"/>
    <w:rsid w:val="00B2496F"/>
    <w:rsid w:val="00B2679D"/>
    <w:rsid w:val="00B34C18"/>
    <w:rsid w:val="00B407F5"/>
    <w:rsid w:val="00B44B51"/>
    <w:rsid w:val="00B51735"/>
    <w:rsid w:val="00B56EF7"/>
    <w:rsid w:val="00B64376"/>
    <w:rsid w:val="00B70D59"/>
    <w:rsid w:val="00B744C4"/>
    <w:rsid w:val="00B80979"/>
    <w:rsid w:val="00B8210E"/>
    <w:rsid w:val="00B86CCE"/>
    <w:rsid w:val="00BB003C"/>
    <w:rsid w:val="00BC2D56"/>
    <w:rsid w:val="00BC7BD3"/>
    <w:rsid w:val="00BD3DED"/>
    <w:rsid w:val="00BD4534"/>
    <w:rsid w:val="00BF1727"/>
    <w:rsid w:val="00BF2E9B"/>
    <w:rsid w:val="00BF4454"/>
    <w:rsid w:val="00BF4CFC"/>
    <w:rsid w:val="00C05541"/>
    <w:rsid w:val="00C10F81"/>
    <w:rsid w:val="00C17BF2"/>
    <w:rsid w:val="00C221BF"/>
    <w:rsid w:val="00C250A8"/>
    <w:rsid w:val="00C40AEF"/>
    <w:rsid w:val="00C535D7"/>
    <w:rsid w:val="00C723C0"/>
    <w:rsid w:val="00C762EE"/>
    <w:rsid w:val="00C80E86"/>
    <w:rsid w:val="00C94DAE"/>
    <w:rsid w:val="00C95E85"/>
    <w:rsid w:val="00C96080"/>
    <w:rsid w:val="00CA4B40"/>
    <w:rsid w:val="00CA4E84"/>
    <w:rsid w:val="00CB38AE"/>
    <w:rsid w:val="00CB65E5"/>
    <w:rsid w:val="00CB6820"/>
    <w:rsid w:val="00CC12A3"/>
    <w:rsid w:val="00CD0C8B"/>
    <w:rsid w:val="00CE5F86"/>
    <w:rsid w:val="00CF3301"/>
    <w:rsid w:val="00CF5E7B"/>
    <w:rsid w:val="00D12D65"/>
    <w:rsid w:val="00D21C6A"/>
    <w:rsid w:val="00D2223C"/>
    <w:rsid w:val="00D22350"/>
    <w:rsid w:val="00D30CF2"/>
    <w:rsid w:val="00D33C75"/>
    <w:rsid w:val="00D371B0"/>
    <w:rsid w:val="00D46530"/>
    <w:rsid w:val="00D50A6C"/>
    <w:rsid w:val="00D56CA9"/>
    <w:rsid w:val="00D638CE"/>
    <w:rsid w:val="00D64A39"/>
    <w:rsid w:val="00D6760E"/>
    <w:rsid w:val="00D70C40"/>
    <w:rsid w:val="00D81BB3"/>
    <w:rsid w:val="00D8594F"/>
    <w:rsid w:val="00D876E4"/>
    <w:rsid w:val="00D90118"/>
    <w:rsid w:val="00D948D9"/>
    <w:rsid w:val="00D951D0"/>
    <w:rsid w:val="00DA7751"/>
    <w:rsid w:val="00DA77D1"/>
    <w:rsid w:val="00DB2BEC"/>
    <w:rsid w:val="00DC0EA6"/>
    <w:rsid w:val="00DD0737"/>
    <w:rsid w:val="00DD389F"/>
    <w:rsid w:val="00DD4D12"/>
    <w:rsid w:val="00DD7F46"/>
    <w:rsid w:val="00DE631F"/>
    <w:rsid w:val="00E00588"/>
    <w:rsid w:val="00E0699D"/>
    <w:rsid w:val="00E117D1"/>
    <w:rsid w:val="00E23C94"/>
    <w:rsid w:val="00E262F7"/>
    <w:rsid w:val="00E40646"/>
    <w:rsid w:val="00E44E6F"/>
    <w:rsid w:val="00E46D6B"/>
    <w:rsid w:val="00E503A1"/>
    <w:rsid w:val="00E544A6"/>
    <w:rsid w:val="00E55D2C"/>
    <w:rsid w:val="00E62DC6"/>
    <w:rsid w:val="00E643A6"/>
    <w:rsid w:val="00E66DA2"/>
    <w:rsid w:val="00E7325D"/>
    <w:rsid w:val="00E75022"/>
    <w:rsid w:val="00E75CB8"/>
    <w:rsid w:val="00E76FBF"/>
    <w:rsid w:val="00E80189"/>
    <w:rsid w:val="00E8260A"/>
    <w:rsid w:val="00EA1C4C"/>
    <w:rsid w:val="00EB5844"/>
    <w:rsid w:val="00ED1F74"/>
    <w:rsid w:val="00ED6AB2"/>
    <w:rsid w:val="00EF3FE5"/>
    <w:rsid w:val="00F00656"/>
    <w:rsid w:val="00F07C91"/>
    <w:rsid w:val="00F10452"/>
    <w:rsid w:val="00F13AB8"/>
    <w:rsid w:val="00F210B4"/>
    <w:rsid w:val="00F211E5"/>
    <w:rsid w:val="00F423A8"/>
    <w:rsid w:val="00F513A2"/>
    <w:rsid w:val="00F56EA7"/>
    <w:rsid w:val="00F6070F"/>
    <w:rsid w:val="00F65603"/>
    <w:rsid w:val="00F736C3"/>
    <w:rsid w:val="00F9631C"/>
    <w:rsid w:val="00FB0920"/>
    <w:rsid w:val="00FB1E0F"/>
    <w:rsid w:val="00FC29E5"/>
    <w:rsid w:val="00FC7151"/>
    <w:rsid w:val="00FD06D6"/>
    <w:rsid w:val="00FD24E7"/>
    <w:rsid w:val="00FE3FF9"/>
    <w:rsid w:val="00FF4621"/>
    <w:rsid w:val="00FF49F6"/>
    <w:rsid w:val="00FF4E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50E53"/>
  <w15:docId w15:val="{40FEB03D-9E5F-4978-82FF-3BF148DFA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5875"/>
    <w:pPr>
      <w:spacing w:before="120" w:after="0" w:line="276" w:lineRule="auto"/>
      <w:jc w:val="both"/>
    </w:pPr>
    <w:rPr>
      <w:rFonts w:ascii="Century Gothic" w:eastAsia="Calibri" w:hAnsi="Century Gothic" w:cs="Times New Roman"/>
      <w:sz w:val="18"/>
    </w:rPr>
  </w:style>
  <w:style w:type="paragraph" w:styleId="Heading1">
    <w:name w:val="heading 1"/>
    <w:basedOn w:val="Normal"/>
    <w:next w:val="Normal"/>
    <w:link w:val="Heading1Char"/>
    <w:uiPriority w:val="9"/>
    <w:qFormat/>
    <w:rsid w:val="003D021E"/>
    <w:pPr>
      <w:numPr>
        <w:numId w:val="9"/>
      </w:numPr>
      <w:spacing w:before="240" w:after="120"/>
      <w:outlineLvl w:val="0"/>
    </w:pPr>
    <w:rPr>
      <w:rFonts w:eastAsia="Times New Roman"/>
      <w:b/>
      <w:kern w:val="28"/>
      <w:sz w:val="28"/>
      <w:szCs w:val="44"/>
    </w:rPr>
  </w:style>
  <w:style w:type="paragraph" w:styleId="Heading2">
    <w:name w:val="heading 2"/>
    <w:basedOn w:val="Heading1"/>
    <w:next w:val="Normal"/>
    <w:link w:val="Heading2Char"/>
    <w:qFormat/>
    <w:rsid w:val="001E3922"/>
    <w:pPr>
      <w:numPr>
        <w:ilvl w:val="1"/>
      </w:numPr>
      <w:jc w:val="left"/>
      <w:outlineLvl w:val="1"/>
    </w:pPr>
    <w:rPr>
      <w:sz w:val="26"/>
      <w:szCs w:val="22"/>
    </w:rPr>
  </w:style>
  <w:style w:type="paragraph" w:styleId="Heading3">
    <w:name w:val="heading 3"/>
    <w:basedOn w:val="Heading2"/>
    <w:next w:val="Normal"/>
    <w:link w:val="Heading3Char"/>
    <w:uiPriority w:val="9"/>
    <w:qFormat/>
    <w:rsid w:val="008E5875"/>
    <w:pPr>
      <w:keepNext/>
      <w:numPr>
        <w:ilvl w:val="2"/>
      </w:numPr>
      <w:outlineLvl w:val="2"/>
    </w:pPr>
    <w:rPr>
      <w:sz w:val="22"/>
    </w:rPr>
  </w:style>
  <w:style w:type="paragraph" w:styleId="Heading4">
    <w:name w:val="heading 4"/>
    <w:basedOn w:val="Heading3"/>
    <w:next w:val="Normal"/>
    <w:link w:val="Heading4Char"/>
    <w:qFormat/>
    <w:rsid w:val="008E5875"/>
    <w:pPr>
      <w:numPr>
        <w:ilvl w:val="3"/>
      </w:numPr>
      <w:outlineLvl w:val="3"/>
    </w:pPr>
    <w:rPr>
      <w:bCs/>
      <w:iCs/>
      <w:kern w:val="0"/>
      <w:sz w:val="20"/>
      <w:szCs w:val="20"/>
      <w:lang w:eastAsia="el-GR"/>
    </w:rPr>
  </w:style>
  <w:style w:type="paragraph" w:styleId="Heading5">
    <w:name w:val="heading 5"/>
    <w:basedOn w:val="Normal"/>
    <w:next w:val="Normal"/>
    <w:link w:val="Heading5Char"/>
    <w:qFormat/>
    <w:rsid w:val="008E5875"/>
    <w:pPr>
      <w:keepNext/>
      <w:keepLines/>
      <w:numPr>
        <w:ilvl w:val="4"/>
        <w:numId w:val="9"/>
      </w:numPr>
      <w:spacing w:before="200" w:after="120" w:line="240" w:lineRule="auto"/>
      <w:outlineLvl w:val="4"/>
    </w:pPr>
    <w:rPr>
      <w:rFonts w:eastAsia="Times New Roman"/>
      <w:b/>
      <w:color w:val="990000"/>
      <w:szCs w:val="18"/>
      <w:lang w:eastAsia="el-GR"/>
    </w:rPr>
  </w:style>
  <w:style w:type="paragraph" w:styleId="Heading6">
    <w:name w:val="heading 6"/>
    <w:basedOn w:val="Normal"/>
    <w:next w:val="Normal"/>
    <w:link w:val="Heading6Char"/>
    <w:uiPriority w:val="9"/>
    <w:unhideWhenUsed/>
    <w:qFormat/>
    <w:rsid w:val="008E5875"/>
    <w:pPr>
      <w:numPr>
        <w:ilvl w:val="5"/>
        <w:numId w:val="9"/>
      </w:num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unhideWhenUsed/>
    <w:qFormat/>
    <w:rsid w:val="008E5875"/>
    <w:pPr>
      <w:numPr>
        <w:ilvl w:val="6"/>
        <w:numId w:val="9"/>
      </w:numPr>
      <w:spacing w:before="240" w:after="6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8E5875"/>
    <w:pPr>
      <w:numPr>
        <w:ilvl w:val="7"/>
        <w:numId w:val="9"/>
      </w:num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8E5875"/>
    <w:pPr>
      <w:numPr>
        <w:ilvl w:val="8"/>
        <w:numId w:val="9"/>
      </w:numPr>
      <w:spacing w:before="240" w:after="60"/>
      <w:outlineLvl w:val="8"/>
    </w:pPr>
    <w:rPr>
      <w:rFonts w:ascii="Calibri Light" w:eastAsia="Times New Roman" w:hAnsi="Calibri Light"/>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21E"/>
    <w:rPr>
      <w:rFonts w:ascii="Century Gothic" w:eastAsia="Times New Roman" w:hAnsi="Century Gothic" w:cs="Times New Roman"/>
      <w:b/>
      <w:kern w:val="28"/>
      <w:sz w:val="28"/>
      <w:szCs w:val="44"/>
    </w:rPr>
  </w:style>
  <w:style w:type="character" w:customStyle="1" w:styleId="Heading2Char">
    <w:name w:val="Heading 2 Char"/>
    <w:basedOn w:val="DefaultParagraphFont"/>
    <w:link w:val="Heading2"/>
    <w:rsid w:val="001E3922"/>
    <w:rPr>
      <w:rFonts w:ascii="Century Gothic" w:eastAsia="Times New Roman" w:hAnsi="Century Gothic" w:cs="Times New Roman"/>
      <w:b/>
      <w:kern w:val="28"/>
      <w:sz w:val="26"/>
    </w:rPr>
  </w:style>
  <w:style w:type="character" w:customStyle="1" w:styleId="Heading3Char">
    <w:name w:val="Heading 3 Char"/>
    <w:basedOn w:val="DefaultParagraphFont"/>
    <w:link w:val="Heading3"/>
    <w:uiPriority w:val="9"/>
    <w:rsid w:val="008E5875"/>
    <w:rPr>
      <w:rFonts w:ascii="Century Gothic" w:eastAsia="Times New Roman" w:hAnsi="Century Gothic" w:cs="Times New Roman"/>
      <w:b/>
      <w:kern w:val="28"/>
    </w:rPr>
  </w:style>
  <w:style w:type="character" w:customStyle="1" w:styleId="Heading4Char">
    <w:name w:val="Heading 4 Char"/>
    <w:basedOn w:val="DefaultParagraphFont"/>
    <w:link w:val="Heading4"/>
    <w:rsid w:val="008E5875"/>
    <w:rPr>
      <w:rFonts w:ascii="Century Gothic" w:eastAsia="Times New Roman" w:hAnsi="Century Gothic" w:cs="Times New Roman"/>
      <w:b/>
      <w:bCs/>
      <w:iCs/>
      <w:sz w:val="20"/>
      <w:szCs w:val="20"/>
      <w:lang w:eastAsia="el-GR"/>
    </w:rPr>
  </w:style>
  <w:style w:type="character" w:customStyle="1" w:styleId="Heading5Char">
    <w:name w:val="Heading 5 Char"/>
    <w:basedOn w:val="DefaultParagraphFont"/>
    <w:link w:val="Heading5"/>
    <w:rsid w:val="008E5875"/>
    <w:rPr>
      <w:rFonts w:ascii="Century Gothic" w:eastAsia="Times New Roman" w:hAnsi="Century Gothic" w:cs="Times New Roman"/>
      <w:b/>
      <w:color w:val="990000"/>
      <w:sz w:val="18"/>
      <w:szCs w:val="18"/>
      <w:lang w:eastAsia="el-GR"/>
    </w:rPr>
  </w:style>
  <w:style w:type="character" w:customStyle="1" w:styleId="Heading6Char">
    <w:name w:val="Heading 6 Char"/>
    <w:basedOn w:val="DefaultParagraphFont"/>
    <w:link w:val="Heading6"/>
    <w:uiPriority w:val="9"/>
    <w:rsid w:val="008E5875"/>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8E587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8E587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8E5875"/>
    <w:rPr>
      <w:rFonts w:ascii="Calibri Light" w:eastAsia="Times New Roman" w:hAnsi="Calibri Light" w:cs="Times New Roman"/>
    </w:rPr>
  </w:style>
  <w:style w:type="paragraph" w:styleId="Header">
    <w:name w:val="header"/>
    <w:basedOn w:val="Normal"/>
    <w:link w:val="HeaderChar"/>
    <w:uiPriority w:val="99"/>
    <w:unhideWhenUsed/>
    <w:rsid w:val="008E5875"/>
    <w:pPr>
      <w:tabs>
        <w:tab w:val="center" w:pos="4153"/>
        <w:tab w:val="right" w:pos="8306"/>
      </w:tabs>
      <w:spacing w:before="0" w:line="240" w:lineRule="auto"/>
    </w:pPr>
  </w:style>
  <w:style w:type="character" w:customStyle="1" w:styleId="HeaderChar">
    <w:name w:val="Header Char"/>
    <w:basedOn w:val="DefaultParagraphFont"/>
    <w:link w:val="Header"/>
    <w:uiPriority w:val="99"/>
    <w:rsid w:val="008E5875"/>
    <w:rPr>
      <w:rFonts w:ascii="Century Gothic" w:eastAsia="Calibri" w:hAnsi="Century Gothic" w:cs="Times New Roman"/>
      <w:sz w:val="18"/>
    </w:rPr>
  </w:style>
  <w:style w:type="paragraph" w:styleId="Footer">
    <w:name w:val="footer"/>
    <w:aliases w:val="ft,fo"/>
    <w:basedOn w:val="Normal"/>
    <w:link w:val="FooterChar"/>
    <w:uiPriority w:val="99"/>
    <w:unhideWhenUsed/>
    <w:rsid w:val="008E5875"/>
    <w:pPr>
      <w:tabs>
        <w:tab w:val="center" w:pos="4153"/>
        <w:tab w:val="right" w:pos="8306"/>
      </w:tabs>
      <w:spacing w:before="0" w:line="240" w:lineRule="auto"/>
    </w:pPr>
  </w:style>
  <w:style w:type="character" w:customStyle="1" w:styleId="FooterChar">
    <w:name w:val="Footer Char"/>
    <w:aliases w:val="ft Char,fo Char"/>
    <w:basedOn w:val="DefaultParagraphFont"/>
    <w:link w:val="Footer"/>
    <w:uiPriority w:val="99"/>
    <w:rsid w:val="008E5875"/>
    <w:rPr>
      <w:rFonts w:ascii="Century Gothic" w:eastAsia="Calibri" w:hAnsi="Century Gothic" w:cs="Times New Roman"/>
      <w:sz w:val="18"/>
    </w:rPr>
  </w:style>
  <w:style w:type="paragraph" w:styleId="ListParagraph">
    <w:name w:val="List Paragraph"/>
    <w:aliases w:val="List Paragraph1,Γράφημα"/>
    <w:basedOn w:val="Normal"/>
    <w:link w:val="ListParagraphChar"/>
    <w:uiPriority w:val="34"/>
    <w:qFormat/>
    <w:rsid w:val="008E5875"/>
    <w:pPr>
      <w:contextualSpacing/>
    </w:pPr>
  </w:style>
  <w:style w:type="paragraph" w:customStyle="1" w:styleId="bullet2">
    <w:name w:val="bullet 2"/>
    <w:basedOn w:val="bullet1"/>
    <w:qFormat/>
    <w:rsid w:val="008E5875"/>
    <w:pPr>
      <w:numPr>
        <w:ilvl w:val="1"/>
      </w:numPr>
      <w:ind w:left="786"/>
    </w:pPr>
  </w:style>
  <w:style w:type="paragraph" w:styleId="FootnoteText">
    <w:name w:val="footnote text"/>
    <w:basedOn w:val="Normal"/>
    <w:link w:val="FootnoteTextChar"/>
    <w:uiPriority w:val="99"/>
    <w:semiHidden/>
    <w:unhideWhenUsed/>
    <w:rsid w:val="008E5875"/>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E5875"/>
    <w:rPr>
      <w:rFonts w:ascii="Century Gothic" w:eastAsia="Calibri" w:hAnsi="Century Gothic" w:cs="Times New Roman"/>
      <w:sz w:val="20"/>
      <w:szCs w:val="20"/>
    </w:rPr>
  </w:style>
  <w:style w:type="character" w:styleId="FootnoteReference">
    <w:name w:val="footnote reference"/>
    <w:uiPriority w:val="99"/>
    <w:semiHidden/>
    <w:unhideWhenUsed/>
    <w:rsid w:val="008E5875"/>
    <w:rPr>
      <w:vertAlign w:val="superscript"/>
    </w:rPr>
  </w:style>
  <w:style w:type="character" w:styleId="Hyperlink">
    <w:name w:val="Hyperlink"/>
    <w:uiPriority w:val="99"/>
    <w:unhideWhenUsed/>
    <w:rsid w:val="008E5875"/>
    <w:rPr>
      <w:color w:val="0563C1"/>
      <w:u w:val="single"/>
    </w:rPr>
  </w:style>
  <w:style w:type="paragraph" w:styleId="Title">
    <w:name w:val="Title"/>
    <w:basedOn w:val="Normal"/>
    <w:next w:val="Normal"/>
    <w:link w:val="TitleChar"/>
    <w:uiPriority w:val="10"/>
    <w:qFormat/>
    <w:rsid w:val="008E5875"/>
    <w:pPr>
      <w:numPr>
        <w:numId w:val="2"/>
      </w:numPr>
      <w:spacing w:before="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10"/>
    <w:rsid w:val="008E5875"/>
    <w:rPr>
      <w:rFonts w:ascii="Calibri Light" w:eastAsia="Times New Roman" w:hAnsi="Calibri Light" w:cs="Times New Roman"/>
      <w:spacing w:val="-10"/>
      <w:kern w:val="28"/>
      <w:sz w:val="56"/>
      <w:szCs w:val="56"/>
    </w:rPr>
  </w:style>
  <w:style w:type="numbering" w:customStyle="1" w:styleId="Style1">
    <w:name w:val="Style1"/>
    <w:uiPriority w:val="99"/>
    <w:rsid w:val="008E5875"/>
    <w:pPr>
      <w:numPr>
        <w:numId w:val="1"/>
      </w:numPr>
    </w:pPr>
  </w:style>
  <w:style w:type="character" w:customStyle="1" w:styleId="ListParagraphChar">
    <w:name w:val="List Paragraph Char"/>
    <w:aliases w:val="List Paragraph1 Char,Γράφημα Char"/>
    <w:link w:val="ListParagraph"/>
    <w:uiPriority w:val="34"/>
    <w:locked/>
    <w:rsid w:val="008E5875"/>
    <w:rPr>
      <w:rFonts w:ascii="Century Gothic" w:eastAsia="Calibri" w:hAnsi="Century Gothic" w:cs="Times New Roman"/>
      <w:sz w:val="18"/>
    </w:rPr>
  </w:style>
  <w:style w:type="paragraph" w:customStyle="1" w:styleId="StyleSxima">
    <w:name w:val="Style Sxima"/>
    <w:basedOn w:val="Normal"/>
    <w:rsid w:val="008E5875"/>
    <w:pPr>
      <w:numPr>
        <w:numId w:val="3"/>
      </w:numPr>
      <w:spacing w:after="240" w:line="240" w:lineRule="auto"/>
      <w:jc w:val="center"/>
    </w:pPr>
    <w:rPr>
      <w:rFonts w:ascii="Book Antiqua" w:eastAsia="Times New Roman" w:hAnsi="Book Antiqua"/>
      <w:b/>
      <w:sz w:val="20"/>
      <w:szCs w:val="20"/>
      <w:lang w:val="x-none" w:eastAsia="x-none"/>
    </w:rPr>
  </w:style>
  <w:style w:type="table" w:styleId="TableGrid">
    <w:name w:val="Table Grid"/>
    <w:basedOn w:val="TableNormal"/>
    <w:uiPriority w:val="39"/>
    <w:rsid w:val="008E5875"/>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ListBullet2"/>
    <w:link w:val="ListBulletChar"/>
    <w:rsid w:val="008E5875"/>
    <w:pPr>
      <w:numPr>
        <w:numId w:val="4"/>
      </w:numPr>
      <w:tabs>
        <w:tab w:val="left" w:pos="426"/>
      </w:tabs>
      <w:spacing w:before="60" w:line="240" w:lineRule="auto"/>
      <w:contextualSpacing w:val="0"/>
    </w:pPr>
    <w:rPr>
      <w:rFonts w:ascii="Arial Narrow" w:eastAsia="Times New Roman" w:hAnsi="Arial Narrow"/>
      <w:sz w:val="22"/>
      <w:szCs w:val="24"/>
      <w:lang w:eastAsia="el-GR"/>
    </w:rPr>
  </w:style>
  <w:style w:type="character" w:customStyle="1" w:styleId="ListBulletChar">
    <w:name w:val="List Bullet Char"/>
    <w:link w:val="ListBullet"/>
    <w:rsid w:val="008E5875"/>
    <w:rPr>
      <w:rFonts w:ascii="Arial Narrow" w:eastAsia="Times New Roman" w:hAnsi="Arial Narrow" w:cs="Times New Roman"/>
      <w:szCs w:val="24"/>
      <w:lang w:eastAsia="el-GR"/>
    </w:rPr>
  </w:style>
  <w:style w:type="paragraph" w:customStyle="1" w:styleId="TableHeading">
    <w:name w:val="Table Heading"/>
    <w:basedOn w:val="BodyText"/>
    <w:autoRedefine/>
    <w:rsid w:val="008E5875"/>
    <w:pPr>
      <w:spacing w:before="240" w:line="240" w:lineRule="auto"/>
      <w:jc w:val="center"/>
    </w:pPr>
    <w:rPr>
      <w:rFonts w:ascii="Calibri" w:eastAsia="Times New Roman" w:hAnsi="Calibri" w:cs="Calibri"/>
      <w:sz w:val="20"/>
      <w:szCs w:val="20"/>
      <w:lang w:eastAsia="en-GB"/>
    </w:rPr>
  </w:style>
  <w:style w:type="paragraph" w:customStyle="1" w:styleId="bullet1">
    <w:name w:val="bullet 1"/>
    <w:basedOn w:val="Normal"/>
    <w:qFormat/>
    <w:rsid w:val="008E5875"/>
    <w:pPr>
      <w:numPr>
        <w:numId w:val="6"/>
      </w:numPr>
    </w:pPr>
  </w:style>
  <w:style w:type="paragraph" w:customStyle="1" w:styleId="a">
    <w:name w:val="Υποκεφαλίδα"/>
    <w:basedOn w:val="Normal"/>
    <w:next w:val="Normal"/>
    <w:qFormat/>
    <w:rsid w:val="008E5875"/>
    <w:pPr>
      <w:pBdr>
        <w:top w:val="single" w:sz="4" w:space="1" w:color="800000"/>
        <w:left w:val="single" w:sz="4" w:space="0" w:color="800000"/>
        <w:bottom w:val="single" w:sz="4" w:space="1" w:color="800000"/>
        <w:right w:val="single" w:sz="4" w:space="0" w:color="800000"/>
      </w:pBdr>
      <w:shd w:val="clear" w:color="auto" w:fill="C0C0C0"/>
      <w:spacing w:after="120" w:line="300" w:lineRule="atLeast"/>
    </w:pPr>
    <w:rPr>
      <w:rFonts w:ascii="Arial Narrow" w:eastAsia="Times New Roman" w:hAnsi="Arial Narrow"/>
      <w:b/>
      <w:sz w:val="20"/>
      <w:szCs w:val="20"/>
    </w:rPr>
  </w:style>
  <w:style w:type="paragraph" w:customStyle="1" w:styleId="CustomCaption">
    <w:name w:val="Custom Caption"/>
    <w:basedOn w:val="Normal"/>
    <w:next w:val="Normal"/>
    <w:qFormat/>
    <w:rsid w:val="008E5875"/>
    <w:pPr>
      <w:jc w:val="center"/>
    </w:pPr>
    <w:rPr>
      <w:rFonts w:ascii="Arial Narrow" w:hAnsi="Arial Narrow"/>
      <w:b/>
      <w:bCs/>
      <w:szCs w:val="18"/>
    </w:rPr>
  </w:style>
  <w:style w:type="paragraph" w:customStyle="1" w:styleId="ullet2">
    <w:name w:val="Βullet 2"/>
    <w:basedOn w:val="ListParagraph"/>
    <w:qFormat/>
    <w:rsid w:val="008E5875"/>
    <w:pPr>
      <w:numPr>
        <w:numId w:val="7"/>
      </w:numPr>
      <w:spacing w:line="264" w:lineRule="auto"/>
    </w:pPr>
    <w:rPr>
      <w:rFonts w:ascii="Arial Narrow" w:hAnsi="Arial Narrow"/>
      <w:sz w:val="22"/>
      <w:szCs w:val="20"/>
      <w:lang w:val="x-none" w:eastAsia="x-none"/>
    </w:rPr>
  </w:style>
  <w:style w:type="numbering" w:customStyle="1" w:styleId="Style1BulletedDarkRed3">
    <w:name w:val="Style 1 Bulleted Dark Red3"/>
    <w:basedOn w:val="NoList"/>
    <w:rsid w:val="008E5875"/>
    <w:pPr>
      <w:numPr>
        <w:numId w:val="7"/>
      </w:numPr>
    </w:pPr>
  </w:style>
  <w:style w:type="paragraph" w:styleId="ListBullet2">
    <w:name w:val="List Bullet 2"/>
    <w:basedOn w:val="Normal"/>
    <w:uiPriority w:val="99"/>
    <w:semiHidden/>
    <w:unhideWhenUsed/>
    <w:rsid w:val="008E5875"/>
    <w:pPr>
      <w:numPr>
        <w:numId w:val="5"/>
      </w:numPr>
      <w:contextualSpacing/>
    </w:pPr>
  </w:style>
  <w:style w:type="paragraph" w:styleId="BodyText">
    <w:name w:val="Body Text"/>
    <w:basedOn w:val="Normal"/>
    <w:link w:val="BodyTextChar"/>
    <w:unhideWhenUsed/>
    <w:rsid w:val="008E5875"/>
    <w:pPr>
      <w:spacing w:after="120"/>
    </w:pPr>
  </w:style>
  <w:style w:type="character" w:customStyle="1" w:styleId="BodyTextChar">
    <w:name w:val="Body Text Char"/>
    <w:basedOn w:val="DefaultParagraphFont"/>
    <w:link w:val="BodyText"/>
    <w:rsid w:val="008E5875"/>
    <w:rPr>
      <w:rFonts w:ascii="Century Gothic" w:eastAsia="Calibri" w:hAnsi="Century Gothic" w:cs="Times New Roman"/>
      <w:sz w:val="18"/>
    </w:rPr>
  </w:style>
  <w:style w:type="paragraph" w:styleId="BalloonText">
    <w:name w:val="Balloon Text"/>
    <w:basedOn w:val="Normal"/>
    <w:link w:val="BalloonTextChar"/>
    <w:uiPriority w:val="99"/>
    <w:semiHidden/>
    <w:unhideWhenUsed/>
    <w:rsid w:val="008E5875"/>
    <w:pPr>
      <w:spacing w:before="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E5875"/>
    <w:rPr>
      <w:rFonts w:ascii="Segoe UI" w:eastAsia="Calibri" w:hAnsi="Segoe UI" w:cs="Segoe UI"/>
      <w:sz w:val="18"/>
      <w:szCs w:val="18"/>
    </w:rPr>
  </w:style>
  <w:style w:type="paragraph" w:styleId="Revision">
    <w:name w:val="Revision"/>
    <w:hidden/>
    <w:uiPriority w:val="99"/>
    <w:semiHidden/>
    <w:rsid w:val="008E5875"/>
    <w:pPr>
      <w:spacing w:after="0" w:line="240" w:lineRule="auto"/>
    </w:pPr>
    <w:rPr>
      <w:rFonts w:ascii="Century Gothic" w:eastAsia="Calibri" w:hAnsi="Century Gothic" w:cs="Times New Roman"/>
      <w:sz w:val="18"/>
    </w:rPr>
  </w:style>
  <w:style w:type="character" w:styleId="CommentReference">
    <w:name w:val="annotation reference"/>
    <w:uiPriority w:val="99"/>
    <w:semiHidden/>
    <w:unhideWhenUsed/>
    <w:rsid w:val="008E5875"/>
    <w:rPr>
      <w:sz w:val="16"/>
      <w:szCs w:val="16"/>
    </w:rPr>
  </w:style>
  <w:style w:type="paragraph" w:styleId="CommentText">
    <w:name w:val="annotation text"/>
    <w:basedOn w:val="Normal"/>
    <w:link w:val="CommentTextChar"/>
    <w:uiPriority w:val="99"/>
    <w:semiHidden/>
    <w:unhideWhenUsed/>
    <w:rsid w:val="008E5875"/>
    <w:rPr>
      <w:sz w:val="20"/>
      <w:szCs w:val="20"/>
    </w:rPr>
  </w:style>
  <w:style w:type="character" w:customStyle="1" w:styleId="CommentTextChar">
    <w:name w:val="Comment Text Char"/>
    <w:basedOn w:val="DefaultParagraphFont"/>
    <w:link w:val="CommentText"/>
    <w:uiPriority w:val="99"/>
    <w:semiHidden/>
    <w:rsid w:val="008E5875"/>
    <w:rPr>
      <w:rFonts w:ascii="Century Gothic" w:eastAsia="Calibri" w:hAnsi="Century Gothic" w:cs="Times New Roman"/>
      <w:sz w:val="20"/>
      <w:szCs w:val="20"/>
    </w:rPr>
  </w:style>
  <w:style w:type="paragraph" w:styleId="CommentSubject">
    <w:name w:val="annotation subject"/>
    <w:basedOn w:val="CommentText"/>
    <w:next w:val="CommentText"/>
    <w:link w:val="CommentSubjectChar"/>
    <w:uiPriority w:val="99"/>
    <w:semiHidden/>
    <w:unhideWhenUsed/>
    <w:rsid w:val="008E5875"/>
    <w:rPr>
      <w:b/>
      <w:bCs/>
    </w:rPr>
  </w:style>
  <w:style w:type="character" w:customStyle="1" w:styleId="CommentSubjectChar">
    <w:name w:val="Comment Subject Char"/>
    <w:basedOn w:val="CommentTextChar"/>
    <w:link w:val="CommentSubject"/>
    <w:uiPriority w:val="99"/>
    <w:semiHidden/>
    <w:rsid w:val="008E5875"/>
    <w:rPr>
      <w:rFonts w:ascii="Century Gothic" w:eastAsia="Calibri" w:hAnsi="Century Gothic" w:cs="Times New Roman"/>
      <w:b/>
      <w:bCs/>
      <w:sz w:val="20"/>
      <w:szCs w:val="20"/>
    </w:rPr>
  </w:style>
  <w:style w:type="paragraph" w:customStyle="1" w:styleId="ListParagraphlevel2">
    <w:name w:val="List Paragraph level 2"/>
    <w:basedOn w:val="Normal"/>
    <w:rsid w:val="008E5875"/>
    <w:pPr>
      <w:numPr>
        <w:numId w:val="8"/>
      </w:numPr>
    </w:pPr>
  </w:style>
  <w:style w:type="paragraph" w:styleId="TOC1">
    <w:name w:val="toc 1"/>
    <w:basedOn w:val="Normal"/>
    <w:next w:val="Normal"/>
    <w:autoRedefine/>
    <w:uiPriority w:val="39"/>
    <w:unhideWhenUsed/>
    <w:rsid w:val="008E5875"/>
    <w:pPr>
      <w:shd w:val="clear" w:color="auto" w:fill="D9D9D9"/>
    </w:pPr>
    <w:rPr>
      <w:b/>
    </w:rPr>
  </w:style>
  <w:style w:type="paragraph" w:styleId="TOC2">
    <w:name w:val="toc 2"/>
    <w:basedOn w:val="Normal"/>
    <w:next w:val="Normal"/>
    <w:autoRedefine/>
    <w:uiPriority w:val="39"/>
    <w:unhideWhenUsed/>
    <w:rsid w:val="00B407F5"/>
    <w:pPr>
      <w:tabs>
        <w:tab w:val="left" w:pos="880"/>
        <w:tab w:val="right" w:leader="dot" w:pos="9350"/>
      </w:tabs>
      <w:spacing w:before="80"/>
      <w:ind w:left="181"/>
    </w:pPr>
  </w:style>
  <w:style w:type="paragraph" w:styleId="TOC3">
    <w:name w:val="toc 3"/>
    <w:basedOn w:val="Normal"/>
    <w:next w:val="Normal"/>
    <w:autoRedefine/>
    <w:uiPriority w:val="39"/>
    <w:unhideWhenUsed/>
    <w:rsid w:val="008E5875"/>
    <w:pPr>
      <w:ind w:left="360"/>
    </w:pPr>
  </w:style>
  <w:style w:type="table" w:customStyle="1" w:styleId="TableGridLight1">
    <w:name w:val="Table Grid Light1"/>
    <w:basedOn w:val="TableNormal"/>
    <w:uiPriority w:val="40"/>
    <w:rsid w:val="008E5875"/>
    <w:pPr>
      <w:spacing w:after="0" w:line="240" w:lineRule="auto"/>
    </w:pPr>
    <w:rPr>
      <w:rFonts w:ascii="Calibri" w:eastAsia="Calibri" w:hAnsi="Calibri" w:cs="Times New Roman"/>
      <w:sz w:val="20"/>
      <w:szCs w:val="20"/>
      <w:lang w:eastAsia="el-G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ullet3">
    <w:name w:val="bullet 3"/>
    <w:basedOn w:val="bullet1"/>
    <w:qFormat/>
    <w:rsid w:val="008E5875"/>
    <w:pPr>
      <w:numPr>
        <w:ilvl w:val="2"/>
      </w:numPr>
    </w:pPr>
  </w:style>
  <w:style w:type="paragraph" w:styleId="NormalWeb">
    <w:name w:val="Normal (Web)"/>
    <w:basedOn w:val="Normal"/>
    <w:uiPriority w:val="99"/>
    <w:unhideWhenUsed/>
    <w:rsid w:val="008E5875"/>
    <w:pPr>
      <w:spacing w:before="100" w:beforeAutospacing="1" w:after="100" w:afterAutospacing="1" w:line="240" w:lineRule="auto"/>
      <w:jc w:val="left"/>
    </w:pPr>
    <w:rPr>
      <w:rFonts w:ascii="Times New Roman" w:eastAsia="Times New Roman" w:hAnsi="Times New Roman"/>
      <w:sz w:val="24"/>
      <w:szCs w:val="24"/>
      <w:lang w:eastAsia="el-GR"/>
    </w:rPr>
  </w:style>
  <w:style w:type="paragraph" w:customStyle="1" w:styleId="1">
    <w:name w:val="Παράγραφος λίστας1"/>
    <w:basedOn w:val="Normal"/>
    <w:rsid w:val="008E5875"/>
    <w:pPr>
      <w:spacing w:before="0" w:after="120" w:line="264" w:lineRule="auto"/>
      <w:ind w:left="720"/>
      <w:jc w:val="left"/>
    </w:pPr>
    <w:rPr>
      <w:rFonts w:ascii="Calibri" w:eastAsia="Times New Roman" w:hAnsi="Calibri" w:cs="Calibri"/>
      <w:sz w:val="21"/>
      <w:szCs w:val="21"/>
    </w:rPr>
  </w:style>
  <w:style w:type="character" w:styleId="BookTitle">
    <w:name w:val="Book Title"/>
    <w:uiPriority w:val="33"/>
    <w:qFormat/>
    <w:rsid w:val="008E5875"/>
    <w:rPr>
      <w:b/>
      <w:bCs/>
      <w:i/>
      <w:iCs/>
      <w:spacing w:val="5"/>
    </w:rPr>
  </w:style>
  <w:style w:type="paragraph" w:styleId="TOC4">
    <w:name w:val="toc 4"/>
    <w:basedOn w:val="Normal"/>
    <w:next w:val="Normal"/>
    <w:autoRedefine/>
    <w:uiPriority w:val="39"/>
    <w:unhideWhenUsed/>
    <w:rsid w:val="008E5875"/>
    <w:pPr>
      <w:ind w:left="540"/>
    </w:pPr>
  </w:style>
  <w:style w:type="character" w:styleId="Emphasis">
    <w:name w:val="Emphasis"/>
    <w:uiPriority w:val="20"/>
    <w:qFormat/>
    <w:rsid w:val="008E5875"/>
    <w:rPr>
      <w:i/>
      <w:iCs/>
    </w:rPr>
  </w:style>
  <w:style w:type="paragraph" w:customStyle="1" w:styleId="Default">
    <w:name w:val="Default"/>
    <w:rsid w:val="008E5875"/>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gmail-msolistparagraph">
    <w:name w:val="gmail-msolistparagraph"/>
    <w:basedOn w:val="Normal"/>
    <w:rsid w:val="008E5875"/>
    <w:pPr>
      <w:spacing w:before="100" w:beforeAutospacing="1" w:after="100" w:afterAutospacing="1" w:line="240" w:lineRule="auto"/>
      <w:jc w:val="left"/>
    </w:pPr>
    <w:rPr>
      <w:rFonts w:ascii="Times New Roman" w:hAnsi="Times New Roman"/>
      <w:sz w:val="24"/>
      <w:szCs w:val="24"/>
      <w:lang w:eastAsia="el-GR"/>
    </w:rPr>
  </w:style>
  <w:style w:type="paragraph" w:styleId="NoSpacing">
    <w:name w:val="No Spacing"/>
    <w:uiPriority w:val="1"/>
    <w:qFormat/>
    <w:rsid w:val="008E5875"/>
    <w:pPr>
      <w:spacing w:after="0" w:line="240" w:lineRule="auto"/>
    </w:pPr>
    <w:rPr>
      <w:rFonts w:ascii="Calibri" w:eastAsia="Calibri" w:hAnsi="Calibri" w:cs="Times New Roman"/>
      <w:lang w:val="en-US"/>
    </w:rPr>
  </w:style>
  <w:style w:type="character" w:customStyle="1" w:styleId="part-2">
    <w:name w:val="part-2"/>
    <w:rsid w:val="008E5875"/>
  </w:style>
  <w:style w:type="character" w:styleId="Strong">
    <w:name w:val="Strong"/>
    <w:uiPriority w:val="22"/>
    <w:qFormat/>
    <w:rsid w:val="008E5875"/>
    <w:rPr>
      <w:b/>
      <w:bCs/>
    </w:rPr>
  </w:style>
  <w:style w:type="character" w:customStyle="1" w:styleId="fontstyle01">
    <w:name w:val="fontstyle01"/>
    <w:rsid w:val="008E5875"/>
    <w:rPr>
      <w:rFonts w:ascii="GillSans" w:hAnsi="GillSans" w:hint="default"/>
      <w:b w:val="0"/>
      <w:bCs w:val="0"/>
      <w:i w:val="0"/>
      <w:iCs w:val="0"/>
      <w:color w:val="000000"/>
      <w:sz w:val="20"/>
      <w:szCs w:val="20"/>
    </w:rPr>
  </w:style>
  <w:style w:type="paragraph" w:customStyle="1" w:styleId="rprtbody1">
    <w:name w:val="rprtbody1"/>
    <w:basedOn w:val="Normal"/>
    <w:rsid w:val="008E5875"/>
    <w:pPr>
      <w:spacing w:before="34" w:after="34" w:line="240" w:lineRule="auto"/>
      <w:jc w:val="left"/>
    </w:pPr>
    <w:rPr>
      <w:rFonts w:ascii="Times New Roman" w:eastAsia="Times New Roman" w:hAnsi="Times New Roman"/>
      <w:sz w:val="28"/>
      <w:szCs w:val="28"/>
      <w:lang w:eastAsia="el-GR"/>
    </w:rPr>
  </w:style>
  <w:style w:type="character" w:customStyle="1" w:styleId="highlight">
    <w:name w:val="highlight"/>
    <w:rsid w:val="008E5875"/>
  </w:style>
  <w:style w:type="paragraph" w:customStyle="1" w:styleId="WW-Default">
    <w:name w:val="WW-Default"/>
    <w:rsid w:val="008E5875"/>
    <w:pPr>
      <w:widowControl w:val="0"/>
      <w:suppressAutoHyphens/>
      <w:autoSpaceDE w:val="0"/>
      <w:spacing w:after="0" w:line="240" w:lineRule="auto"/>
    </w:pPr>
    <w:rPr>
      <w:rFonts w:ascii="Free Serif Bold" w:eastAsia="Times New Roman" w:hAnsi="Free Serif Bold" w:cs="Free Serif Bold"/>
      <w:color w:val="000000"/>
      <w:sz w:val="24"/>
      <w:szCs w:val="24"/>
      <w:lang w:val="fr-FR" w:eastAsia="zh-CN"/>
    </w:rPr>
  </w:style>
  <w:style w:type="character" w:customStyle="1" w:styleId="jrnl">
    <w:name w:val="jrnl"/>
    <w:rsid w:val="008E5875"/>
  </w:style>
  <w:style w:type="character" w:customStyle="1" w:styleId="apple-converted-space">
    <w:name w:val="apple-converted-space"/>
    <w:uiPriority w:val="99"/>
    <w:rsid w:val="008E5875"/>
    <w:rPr>
      <w:rFonts w:cs="Times New Roman"/>
    </w:rPr>
  </w:style>
  <w:style w:type="paragraph" w:customStyle="1" w:styleId="ColorfulList-Accent11">
    <w:name w:val="Colorful List - Accent 11"/>
    <w:basedOn w:val="Normal"/>
    <w:uiPriority w:val="99"/>
    <w:rsid w:val="008E5875"/>
    <w:pPr>
      <w:spacing w:before="0" w:line="240" w:lineRule="auto"/>
      <w:ind w:left="720"/>
      <w:contextualSpacing/>
      <w:jc w:val="left"/>
    </w:pPr>
    <w:rPr>
      <w:rFonts w:ascii="Calibri" w:eastAsia="MS Mincho" w:hAnsi="Calibri"/>
      <w:sz w:val="24"/>
      <w:szCs w:val="24"/>
      <w:lang w:val="en-GB" w:eastAsia="fr-FR"/>
    </w:rPr>
  </w:style>
  <w:style w:type="paragraph" w:customStyle="1" w:styleId="ColorfulList-Accent12">
    <w:name w:val="Colorful List - Accent 12"/>
    <w:basedOn w:val="Normal"/>
    <w:uiPriority w:val="99"/>
    <w:rsid w:val="008E5875"/>
    <w:pPr>
      <w:spacing w:before="0" w:line="360" w:lineRule="auto"/>
      <w:ind w:left="720"/>
      <w:contextualSpacing/>
    </w:pPr>
    <w:rPr>
      <w:rFonts w:ascii="Calibri" w:hAnsi="Calibri"/>
      <w:sz w:val="22"/>
    </w:rPr>
  </w:style>
  <w:style w:type="character" w:customStyle="1" w:styleId="shorttext">
    <w:name w:val="short_text"/>
    <w:rsid w:val="008E5875"/>
  </w:style>
  <w:style w:type="paragraph" w:customStyle="1" w:styleId="p">
    <w:name w:val="p"/>
    <w:basedOn w:val="Normal"/>
    <w:rsid w:val="008E5875"/>
    <w:pPr>
      <w:spacing w:before="100" w:beforeAutospacing="1" w:after="100" w:afterAutospacing="1" w:line="240" w:lineRule="auto"/>
      <w:jc w:val="left"/>
    </w:pPr>
    <w:rPr>
      <w:rFonts w:ascii="Times New Roman" w:eastAsia="Times New Roman" w:hAnsi="Times New Roman"/>
      <w:sz w:val="24"/>
      <w:szCs w:val="24"/>
      <w:lang w:eastAsia="el-GR"/>
    </w:rPr>
  </w:style>
  <w:style w:type="character" w:styleId="FollowedHyperlink">
    <w:name w:val="FollowedHyperlink"/>
    <w:uiPriority w:val="99"/>
    <w:semiHidden/>
    <w:unhideWhenUsed/>
    <w:rsid w:val="008E5875"/>
    <w:rPr>
      <w:color w:val="800080"/>
      <w:u w:val="single"/>
    </w:rPr>
  </w:style>
  <w:style w:type="character" w:styleId="SubtleReference">
    <w:name w:val="Subtle Reference"/>
    <w:uiPriority w:val="31"/>
    <w:qFormat/>
    <w:rsid w:val="008E5875"/>
    <w:rPr>
      <w:smallCaps/>
      <w:color w:val="5A5A5A"/>
    </w:rPr>
  </w:style>
  <w:style w:type="character" w:customStyle="1" w:styleId="tlid-translation">
    <w:name w:val="tlid-translation"/>
    <w:rsid w:val="008E5875"/>
  </w:style>
  <w:style w:type="table" w:customStyle="1" w:styleId="TableGrid1">
    <w:name w:val="Table Grid1"/>
    <w:basedOn w:val="TableNormal"/>
    <w:next w:val="TableGrid"/>
    <w:uiPriority w:val="59"/>
    <w:rsid w:val="008E58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E58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D6AB2"/>
    <w:pPr>
      <w:spacing w:after="80" w:line="240" w:lineRule="auto"/>
      <w:jc w:val="center"/>
    </w:pPr>
    <w:rPr>
      <w:rFonts w:asciiTheme="minorHAnsi" w:eastAsiaTheme="minorHAnsi" w:hAnsiTheme="minorHAnsi" w:cstheme="minorBidi"/>
      <w:b/>
      <w:iCs/>
      <w:sz w:val="16"/>
      <w:szCs w:val="18"/>
    </w:rPr>
  </w:style>
  <w:style w:type="character" w:customStyle="1" w:styleId="UnresolvedMention1">
    <w:name w:val="Unresolved Mention1"/>
    <w:basedOn w:val="DefaultParagraphFont"/>
    <w:uiPriority w:val="99"/>
    <w:semiHidden/>
    <w:unhideWhenUsed/>
    <w:rsid w:val="00624DF3"/>
    <w:rPr>
      <w:color w:val="605E5C"/>
      <w:shd w:val="clear" w:color="auto" w:fill="E1DFDD"/>
    </w:rPr>
  </w:style>
  <w:style w:type="character" w:styleId="PlaceholderText">
    <w:name w:val="Placeholder Text"/>
    <w:basedOn w:val="DefaultParagraphFont"/>
    <w:uiPriority w:val="99"/>
    <w:semiHidden/>
    <w:rsid w:val="00712ED7"/>
    <w:rPr>
      <w:color w:val="808080"/>
    </w:rPr>
  </w:style>
  <w:style w:type="paragraph" w:styleId="EndnoteText">
    <w:name w:val="endnote text"/>
    <w:basedOn w:val="Normal"/>
    <w:link w:val="EndnoteTextChar"/>
    <w:uiPriority w:val="99"/>
    <w:semiHidden/>
    <w:unhideWhenUsed/>
    <w:rsid w:val="0006566B"/>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06566B"/>
    <w:rPr>
      <w:rFonts w:ascii="Century Gothic" w:eastAsia="Calibri" w:hAnsi="Century Gothic" w:cs="Times New Roman"/>
      <w:sz w:val="20"/>
      <w:szCs w:val="20"/>
    </w:rPr>
  </w:style>
  <w:style w:type="character" w:styleId="EndnoteReference">
    <w:name w:val="endnote reference"/>
    <w:basedOn w:val="DefaultParagraphFont"/>
    <w:uiPriority w:val="99"/>
    <w:semiHidden/>
    <w:unhideWhenUsed/>
    <w:rsid w:val="000656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65532">
      <w:bodyDiv w:val="1"/>
      <w:marLeft w:val="0"/>
      <w:marRight w:val="0"/>
      <w:marTop w:val="0"/>
      <w:marBottom w:val="0"/>
      <w:divBdr>
        <w:top w:val="none" w:sz="0" w:space="0" w:color="auto"/>
        <w:left w:val="none" w:sz="0" w:space="0" w:color="auto"/>
        <w:bottom w:val="none" w:sz="0" w:space="0" w:color="auto"/>
        <w:right w:val="none" w:sz="0" w:space="0" w:color="auto"/>
      </w:divBdr>
    </w:div>
    <w:div w:id="83452485">
      <w:bodyDiv w:val="1"/>
      <w:marLeft w:val="0"/>
      <w:marRight w:val="0"/>
      <w:marTop w:val="0"/>
      <w:marBottom w:val="0"/>
      <w:divBdr>
        <w:top w:val="none" w:sz="0" w:space="0" w:color="auto"/>
        <w:left w:val="none" w:sz="0" w:space="0" w:color="auto"/>
        <w:bottom w:val="none" w:sz="0" w:space="0" w:color="auto"/>
        <w:right w:val="none" w:sz="0" w:space="0" w:color="auto"/>
      </w:divBdr>
    </w:div>
    <w:div w:id="83499186">
      <w:bodyDiv w:val="1"/>
      <w:marLeft w:val="0"/>
      <w:marRight w:val="0"/>
      <w:marTop w:val="0"/>
      <w:marBottom w:val="0"/>
      <w:divBdr>
        <w:top w:val="none" w:sz="0" w:space="0" w:color="auto"/>
        <w:left w:val="none" w:sz="0" w:space="0" w:color="auto"/>
        <w:bottom w:val="none" w:sz="0" w:space="0" w:color="auto"/>
        <w:right w:val="none" w:sz="0" w:space="0" w:color="auto"/>
      </w:divBdr>
    </w:div>
    <w:div w:id="151409762">
      <w:bodyDiv w:val="1"/>
      <w:marLeft w:val="0"/>
      <w:marRight w:val="0"/>
      <w:marTop w:val="0"/>
      <w:marBottom w:val="0"/>
      <w:divBdr>
        <w:top w:val="none" w:sz="0" w:space="0" w:color="auto"/>
        <w:left w:val="none" w:sz="0" w:space="0" w:color="auto"/>
        <w:bottom w:val="none" w:sz="0" w:space="0" w:color="auto"/>
        <w:right w:val="none" w:sz="0" w:space="0" w:color="auto"/>
      </w:divBdr>
    </w:div>
    <w:div w:id="172453863">
      <w:bodyDiv w:val="1"/>
      <w:marLeft w:val="0"/>
      <w:marRight w:val="0"/>
      <w:marTop w:val="0"/>
      <w:marBottom w:val="0"/>
      <w:divBdr>
        <w:top w:val="none" w:sz="0" w:space="0" w:color="auto"/>
        <w:left w:val="none" w:sz="0" w:space="0" w:color="auto"/>
        <w:bottom w:val="none" w:sz="0" w:space="0" w:color="auto"/>
        <w:right w:val="none" w:sz="0" w:space="0" w:color="auto"/>
      </w:divBdr>
    </w:div>
    <w:div w:id="198057038">
      <w:bodyDiv w:val="1"/>
      <w:marLeft w:val="0"/>
      <w:marRight w:val="0"/>
      <w:marTop w:val="0"/>
      <w:marBottom w:val="0"/>
      <w:divBdr>
        <w:top w:val="none" w:sz="0" w:space="0" w:color="auto"/>
        <w:left w:val="none" w:sz="0" w:space="0" w:color="auto"/>
        <w:bottom w:val="none" w:sz="0" w:space="0" w:color="auto"/>
        <w:right w:val="none" w:sz="0" w:space="0" w:color="auto"/>
      </w:divBdr>
    </w:div>
    <w:div w:id="283929748">
      <w:bodyDiv w:val="1"/>
      <w:marLeft w:val="0"/>
      <w:marRight w:val="0"/>
      <w:marTop w:val="0"/>
      <w:marBottom w:val="0"/>
      <w:divBdr>
        <w:top w:val="none" w:sz="0" w:space="0" w:color="auto"/>
        <w:left w:val="none" w:sz="0" w:space="0" w:color="auto"/>
        <w:bottom w:val="none" w:sz="0" w:space="0" w:color="auto"/>
        <w:right w:val="none" w:sz="0" w:space="0" w:color="auto"/>
      </w:divBdr>
    </w:div>
    <w:div w:id="290016450">
      <w:bodyDiv w:val="1"/>
      <w:marLeft w:val="0"/>
      <w:marRight w:val="0"/>
      <w:marTop w:val="0"/>
      <w:marBottom w:val="0"/>
      <w:divBdr>
        <w:top w:val="none" w:sz="0" w:space="0" w:color="auto"/>
        <w:left w:val="none" w:sz="0" w:space="0" w:color="auto"/>
        <w:bottom w:val="none" w:sz="0" w:space="0" w:color="auto"/>
        <w:right w:val="none" w:sz="0" w:space="0" w:color="auto"/>
      </w:divBdr>
    </w:div>
    <w:div w:id="291444959">
      <w:bodyDiv w:val="1"/>
      <w:marLeft w:val="0"/>
      <w:marRight w:val="0"/>
      <w:marTop w:val="0"/>
      <w:marBottom w:val="0"/>
      <w:divBdr>
        <w:top w:val="none" w:sz="0" w:space="0" w:color="auto"/>
        <w:left w:val="none" w:sz="0" w:space="0" w:color="auto"/>
        <w:bottom w:val="none" w:sz="0" w:space="0" w:color="auto"/>
        <w:right w:val="none" w:sz="0" w:space="0" w:color="auto"/>
      </w:divBdr>
    </w:div>
    <w:div w:id="306978090">
      <w:bodyDiv w:val="1"/>
      <w:marLeft w:val="0"/>
      <w:marRight w:val="0"/>
      <w:marTop w:val="0"/>
      <w:marBottom w:val="0"/>
      <w:divBdr>
        <w:top w:val="none" w:sz="0" w:space="0" w:color="auto"/>
        <w:left w:val="none" w:sz="0" w:space="0" w:color="auto"/>
        <w:bottom w:val="none" w:sz="0" w:space="0" w:color="auto"/>
        <w:right w:val="none" w:sz="0" w:space="0" w:color="auto"/>
      </w:divBdr>
    </w:div>
    <w:div w:id="623776651">
      <w:bodyDiv w:val="1"/>
      <w:marLeft w:val="0"/>
      <w:marRight w:val="0"/>
      <w:marTop w:val="0"/>
      <w:marBottom w:val="0"/>
      <w:divBdr>
        <w:top w:val="none" w:sz="0" w:space="0" w:color="auto"/>
        <w:left w:val="none" w:sz="0" w:space="0" w:color="auto"/>
        <w:bottom w:val="none" w:sz="0" w:space="0" w:color="auto"/>
        <w:right w:val="none" w:sz="0" w:space="0" w:color="auto"/>
      </w:divBdr>
    </w:div>
    <w:div w:id="794636341">
      <w:bodyDiv w:val="1"/>
      <w:marLeft w:val="0"/>
      <w:marRight w:val="0"/>
      <w:marTop w:val="0"/>
      <w:marBottom w:val="0"/>
      <w:divBdr>
        <w:top w:val="none" w:sz="0" w:space="0" w:color="auto"/>
        <w:left w:val="none" w:sz="0" w:space="0" w:color="auto"/>
        <w:bottom w:val="none" w:sz="0" w:space="0" w:color="auto"/>
        <w:right w:val="none" w:sz="0" w:space="0" w:color="auto"/>
      </w:divBdr>
    </w:div>
    <w:div w:id="796677767">
      <w:bodyDiv w:val="1"/>
      <w:marLeft w:val="0"/>
      <w:marRight w:val="0"/>
      <w:marTop w:val="0"/>
      <w:marBottom w:val="0"/>
      <w:divBdr>
        <w:top w:val="none" w:sz="0" w:space="0" w:color="auto"/>
        <w:left w:val="none" w:sz="0" w:space="0" w:color="auto"/>
        <w:bottom w:val="none" w:sz="0" w:space="0" w:color="auto"/>
        <w:right w:val="none" w:sz="0" w:space="0" w:color="auto"/>
      </w:divBdr>
    </w:div>
    <w:div w:id="803422529">
      <w:bodyDiv w:val="1"/>
      <w:marLeft w:val="0"/>
      <w:marRight w:val="0"/>
      <w:marTop w:val="0"/>
      <w:marBottom w:val="0"/>
      <w:divBdr>
        <w:top w:val="none" w:sz="0" w:space="0" w:color="auto"/>
        <w:left w:val="none" w:sz="0" w:space="0" w:color="auto"/>
        <w:bottom w:val="none" w:sz="0" w:space="0" w:color="auto"/>
        <w:right w:val="none" w:sz="0" w:space="0" w:color="auto"/>
      </w:divBdr>
    </w:div>
    <w:div w:id="823549643">
      <w:bodyDiv w:val="1"/>
      <w:marLeft w:val="0"/>
      <w:marRight w:val="0"/>
      <w:marTop w:val="0"/>
      <w:marBottom w:val="0"/>
      <w:divBdr>
        <w:top w:val="none" w:sz="0" w:space="0" w:color="auto"/>
        <w:left w:val="none" w:sz="0" w:space="0" w:color="auto"/>
        <w:bottom w:val="none" w:sz="0" w:space="0" w:color="auto"/>
        <w:right w:val="none" w:sz="0" w:space="0" w:color="auto"/>
      </w:divBdr>
    </w:div>
    <w:div w:id="851454395">
      <w:bodyDiv w:val="1"/>
      <w:marLeft w:val="0"/>
      <w:marRight w:val="0"/>
      <w:marTop w:val="0"/>
      <w:marBottom w:val="0"/>
      <w:divBdr>
        <w:top w:val="none" w:sz="0" w:space="0" w:color="auto"/>
        <w:left w:val="none" w:sz="0" w:space="0" w:color="auto"/>
        <w:bottom w:val="none" w:sz="0" w:space="0" w:color="auto"/>
        <w:right w:val="none" w:sz="0" w:space="0" w:color="auto"/>
      </w:divBdr>
    </w:div>
    <w:div w:id="881526901">
      <w:bodyDiv w:val="1"/>
      <w:marLeft w:val="0"/>
      <w:marRight w:val="0"/>
      <w:marTop w:val="0"/>
      <w:marBottom w:val="0"/>
      <w:divBdr>
        <w:top w:val="none" w:sz="0" w:space="0" w:color="auto"/>
        <w:left w:val="none" w:sz="0" w:space="0" w:color="auto"/>
        <w:bottom w:val="none" w:sz="0" w:space="0" w:color="auto"/>
        <w:right w:val="none" w:sz="0" w:space="0" w:color="auto"/>
      </w:divBdr>
    </w:div>
    <w:div w:id="936014797">
      <w:bodyDiv w:val="1"/>
      <w:marLeft w:val="0"/>
      <w:marRight w:val="0"/>
      <w:marTop w:val="0"/>
      <w:marBottom w:val="0"/>
      <w:divBdr>
        <w:top w:val="none" w:sz="0" w:space="0" w:color="auto"/>
        <w:left w:val="none" w:sz="0" w:space="0" w:color="auto"/>
        <w:bottom w:val="none" w:sz="0" w:space="0" w:color="auto"/>
        <w:right w:val="none" w:sz="0" w:space="0" w:color="auto"/>
      </w:divBdr>
    </w:div>
    <w:div w:id="1275331188">
      <w:bodyDiv w:val="1"/>
      <w:marLeft w:val="0"/>
      <w:marRight w:val="0"/>
      <w:marTop w:val="0"/>
      <w:marBottom w:val="0"/>
      <w:divBdr>
        <w:top w:val="none" w:sz="0" w:space="0" w:color="auto"/>
        <w:left w:val="none" w:sz="0" w:space="0" w:color="auto"/>
        <w:bottom w:val="none" w:sz="0" w:space="0" w:color="auto"/>
        <w:right w:val="none" w:sz="0" w:space="0" w:color="auto"/>
      </w:divBdr>
    </w:div>
    <w:div w:id="1281035135">
      <w:bodyDiv w:val="1"/>
      <w:marLeft w:val="0"/>
      <w:marRight w:val="0"/>
      <w:marTop w:val="0"/>
      <w:marBottom w:val="0"/>
      <w:divBdr>
        <w:top w:val="none" w:sz="0" w:space="0" w:color="auto"/>
        <w:left w:val="none" w:sz="0" w:space="0" w:color="auto"/>
        <w:bottom w:val="none" w:sz="0" w:space="0" w:color="auto"/>
        <w:right w:val="none" w:sz="0" w:space="0" w:color="auto"/>
      </w:divBdr>
    </w:div>
    <w:div w:id="1294140510">
      <w:bodyDiv w:val="1"/>
      <w:marLeft w:val="0"/>
      <w:marRight w:val="0"/>
      <w:marTop w:val="0"/>
      <w:marBottom w:val="0"/>
      <w:divBdr>
        <w:top w:val="none" w:sz="0" w:space="0" w:color="auto"/>
        <w:left w:val="none" w:sz="0" w:space="0" w:color="auto"/>
        <w:bottom w:val="none" w:sz="0" w:space="0" w:color="auto"/>
        <w:right w:val="none" w:sz="0" w:space="0" w:color="auto"/>
      </w:divBdr>
    </w:div>
    <w:div w:id="1301768778">
      <w:bodyDiv w:val="1"/>
      <w:marLeft w:val="0"/>
      <w:marRight w:val="0"/>
      <w:marTop w:val="0"/>
      <w:marBottom w:val="0"/>
      <w:divBdr>
        <w:top w:val="none" w:sz="0" w:space="0" w:color="auto"/>
        <w:left w:val="none" w:sz="0" w:space="0" w:color="auto"/>
        <w:bottom w:val="none" w:sz="0" w:space="0" w:color="auto"/>
        <w:right w:val="none" w:sz="0" w:space="0" w:color="auto"/>
      </w:divBdr>
    </w:div>
    <w:div w:id="1328443250">
      <w:bodyDiv w:val="1"/>
      <w:marLeft w:val="0"/>
      <w:marRight w:val="0"/>
      <w:marTop w:val="0"/>
      <w:marBottom w:val="0"/>
      <w:divBdr>
        <w:top w:val="none" w:sz="0" w:space="0" w:color="auto"/>
        <w:left w:val="none" w:sz="0" w:space="0" w:color="auto"/>
        <w:bottom w:val="none" w:sz="0" w:space="0" w:color="auto"/>
        <w:right w:val="none" w:sz="0" w:space="0" w:color="auto"/>
      </w:divBdr>
    </w:div>
    <w:div w:id="1350840616">
      <w:bodyDiv w:val="1"/>
      <w:marLeft w:val="0"/>
      <w:marRight w:val="0"/>
      <w:marTop w:val="0"/>
      <w:marBottom w:val="0"/>
      <w:divBdr>
        <w:top w:val="none" w:sz="0" w:space="0" w:color="auto"/>
        <w:left w:val="none" w:sz="0" w:space="0" w:color="auto"/>
        <w:bottom w:val="none" w:sz="0" w:space="0" w:color="auto"/>
        <w:right w:val="none" w:sz="0" w:space="0" w:color="auto"/>
      </w:divBdr>
    </w:div>
    <w:div w:id="1404063639">
      <w:bodyDiv w:val="1"/>
      <w:marLeft w:val="0"/>
      <w:marRight w:val="0"/>
      <w:marTop w:val="0"/>
      <w:marBottom w:val="0"/>
      <w:divBdr>
        <w:top w:val="none" w:sz="0" w:space="0" w:color="auto"/>
        <w:left w:val="none" w:sz="0" w:space="0" w:color="auto"/>
        <w:bottom w:val="none" w:sz="0" w:space="0" w:color="auto"/>
        <w:right w:val="none" w:sz="0" w:space="0" w:color="auto"/>
      </w:divBdr>
    </w:div>
    <w:div w:id="1463647753">
      <w:bodyDiv w:val="1"/>
      <w:marLeft w:val="0"/>
      <w:marRight w:val="0"/>
      <w:marTop w:val="0"/>
      <w:marBottom w:val="0"/>
      <w:divBdr>
        <w:top w:val="none" w:sz="0" w:space="0" w:color="auto"/>
        <w:left w:val="none" w:sz="0" w:space="0" w:color="auto"/>
        <w:bottom w:val="none" w:sz="0" w:space="0" w:color="auto"/>
        <w:right w:val="none" w:sz="0" w:space="0" w:color="auto"/>
      </w:divBdr>
    </w:div>
    <w:div w:id="1478494525">
      <w:bodyDiv w:val="1"/>
      <w:marLeft w:val="0"/>
      <w:marRight w:val="0"/>
      <w:marTop w:val="0"/>
      <w:marBottom w:val="0"/>
      <w:divBdr>
        <w:top w:val="none" w:sz="0" w:space="0" w:color="auto"/>
        <w:left w:val="none" w:sz="0" w:space="0" w:color="auto"/>
        <w:bottom w:val="none" w:sz="0" w:space="0" w:color="auto"/>
        <w:right w:val="none" w:sz="0" w:space="0" w:color="auto"/>
      </w:divBdr>
    </w:div>
    <w:div w:id="1585720143">
      <w:bodyDiv w:val="1"/>
      <w:marLeft w:val="0"/>
      <w:marRight w:val="0"/>
      <w:marTop w:val="0"/>
      <w:marBottom w:val="0"/>
      <w:divBdr>
        <w:top w:val="none" w:sz="0" w:space="0" w:color="auto"/>
        <w:left w:val="none" w:sz="0" w:space="0" w:color="auto"/>
        <w:bottom w:val="none" w:sz="0" w:space="0" w:color="auto"/>
        <w:right w:val="none" w:sz="0" w:space="0" w:color="auto"/>
      </w:divBdr>
    </w:div>
    <w:div w:id="1619488269">
      <w:bodyDiv w:val="1"/>
      <w:marLeft w:val="0"/>
      <w:marRight w:val="0"/>
      <w:marTop w:val="0"/>
      <w:marBottom w:val="0"/>
      <w:divBdr>
        <w:top w:val="none" w:sz="0" w:space="0" w:color="auto"/>
        <w:left w:val="none" w:sz="0" w:space="0" w:color="auto"/>
        <w:bottom w:val="none" w:sz="0" w:space="0" w:color="auto"/>
        <w:right w:val="none" w:sz="0" w:space="0" w:color="auto"/>
      </w:divBdr>
    </w:div>
    <w:div w:id="1665474380">
      <w:bodyDiv w:val="1"/>
      <w:marLeft w:val="0"/>
      <w:marRight w:val="0"/>
      <w:marTop w:val="0"/>
      <w:marBottom w:val="0"/>
      <w:divBdr>
        <w:top w:val="none" w:sz="0" w:space="0" w:color="auto"/>
        <w:left w:val="none" w:sz="0" w:space="0" w:color="auto"/>
        <w:bottom w:val="none" w:sz="0" w:space="0" w:color="auto"/>
        <w:right w:val="none" w:sz="0" w:space="0" w:color="auto"/>
      </w:divBdr>
    </w:div>
    <w:div w:id="1740905859">
      <w:bodyDiv w:val="1"/>
      <w:marLeft w:val="0"/>
      <w:marRight w:val="0"/>
      <w:marTop w:val="0"/>
      <w:marBottom w:val="0"/>
      <w:divBdr>
        <w:top w:val="none" w:sz="0" w:space="0" w:color="auto"/>
        <w:left w:val="none" w:sz="0" w:space="0" w:color="auto"/>
        <w:bottom w:val="none" w:sz="0" w:space="0" w:color="auto"/>
        <w:right w:val="none" w:sz="0" w:space="0" w:color="auto"/>
      </w:divBdr>
    </w:div>
    <w:div w:id="1785073200">
      <w:bodyDiv w:val="1"/>
      <w:marLeft w:val="0"/>
      <w:marRight w:val="0"/>
      <w:marTop w:val="0"/>
      <w:marBottom w:val="0"/>
      <w:divBdr>
        <w:top w:val="none" w:sz="0" w:space="0" w:color="auto"/>
        <w:left w:val="none" w:sz="0" w:space="0" w:color="auto"/>
        <w:bottom w:val="none" w:sz="0" w:space="0" w:color="auto"/>
        <w:right w:val="none" w:sz="0" w:space="0" w:color="auto"/>
      </w:divBdr>
    </w:div>
    <w:div w:id="1832409165">
      <w:bodyDiv w:val="1"/>
      <w:marLeft w:val="0"/>
      <w:marRight w:val="0"/>
      <w:marTop w:val="0"/>
      <w:marBottom w:val="0"/>
      <w:divBdr>
        <w:top w:val="none" w:sz="0" w:space="0" w:color="auto"/>
        <w:left w:val="none" w:sz="0" w:space="0" w:color="auto"/>
        <w:bottom w:val="none" w:sz="0" w:space="0" w:color="auto"/>
        <w:right w:val="none" w:sz="0" w:space="0" w:color="auto"/>
      </w:divBdr>
    </w:div>
    <w:div w:id="1845128452">
      <w:bodyDiv w:val="1"/>
      <w:marLeft w:val="0"/>
      <w:marRight w:val="0"/>
      <w:marTop w:val="0"/>
      <w:marBottom w:val="0"/>
      <w:divBdr>
        <w:top w:val="none" w:sz="0" w:space="0" w:color="auto"/>
        <w:left w:val="none" w:sz="0" w:space="0" w:color="auto"/>
        <w:bottom w:val="none" w:sz="0" w:space="0" w:color="auto"/>
        <w:right w:val="none" w:sz="0" w:space="0" w:color="auto"/>
      </w:divBdr>
    </w:div>
    <w:div w:id="1879507367">
      <w:bodyDiv w:val="1"/>
      <w:marLeft w:val="0"/>
      <w:marRight w:val="0"/>
      <w:marTop w:val="0"/>
      <w:marBottom w:val="0"/>
      <w:divBdr>
        <w:top w:val="none" w:sz="0" w:space="0" w:color="auto"/>
        <w:left w:val="none" w:sz="0" w:space="0" w:color="auto"/>
        <w:bottom w:val="none" w:sz="0" w:space="0" w:color="auto"/>
        <w:right w:val="none" w:sz="0" w:space="0" w:color="auto"/>
      </w:divBdr>
    </w:div>
    <w:div w:id="1911649680">
      <w:bodyDiv w:val="1"/>
      <w:marLeft w:val="0"/>
      <w:marRight w:val="0"/>
      <w:marTop w:val="0"/>
      <w:marBottom w:val="0"/>
      <w:divBdr>
        <w:top w:val="none" w:sz="0" w:space="0" w:color="auto"/>
        <w:left w:val="none" w:sz="0" w:space="0" w:color="auto"/>
        <w:bottom w:val="none" w:sz="0" w:space="0" w:color="auto"/>
        <w:right w:val="none" w:sz="0" w:space="0" w:color="auto"/>
      </w:divBdr>
    </w:div>
    <w:div w:id="1933707465">
      <w:bodyDiv w:val="1"/>
      <w:marLeft w:val="0"/>
      <w:marRight w:val="0"/>
      <w:marTop w:val="0"/>
      <w:marBottom w:val="0"/>
      <w:divBdr>
        <w:top w:val="none" w:sz="0" w:space="0" w:color="auto"/>
        <w:left w:val="none" w:sz="0" w:space="0" w:color="auto"/>
        <w:bottom w:val="none" w:sz="0" w:space="0" w:color="auto"/>
        <w:right w:val="none" w:sz="0" w:space="0" w:color="auto"/>
      </w:divBdr>
    </w:div>
    <w:div w:id="1966933139">
      <w:bodyDiv w:val="1"/>
      <w:marLeft w:val="0"/>
      <w:marRight w:val="0"/>
      <w:marTop w:val="0"/>
      <w:marBottom w:val="0"/>
      <w:divBdr>
        <w:top w:val="none" w:sz="0" w:space="0" w:color="auto"/>
        <w:left w:val="none" w:sz="0" w:space="0" w:color="auto"/>
        <w:bottom w:val="none" w:sz="0" w:space="0" w:color="auto"/>
        <w:right w:val="none" w:sz="0" w:space="0" w:color="auto"/>
      </w:divBdr>
    </w:div>
    <w:div w:id="2007005883">
      <w:bodyDiv w:val="1"/>
      <w:marLeft w:val="0"/>
      <w:marRight w:val="0"/>
      <w:marTop w:val="0"/>
      <w:marBottom w:val="0"/>
      <w:divBdr>
        <w:top w:val="none" w:sz="0" w:space="0" w:color="auto"/>
        <w:left w:val="none" w:sz="0" w:space="0" w:color="auto"/>
        <w:bottom w:val="none" w:sz="0" w:space="0" w:color="auto"/>
        <w:right w:val="none" w:sz="0" w:space="0" w:color="auto"/>
      </w:divBdr>
    </w:div>
    <w:div w:id="2098166962">
      <w:bodyDiv w:val="1"/>
      <w:marLeft w:val="0"/>
      <w:marRight w:val="0"/>
      <w:marTop w:val="0"/>
      <w:marBottom w:val="0"/>
      <w:divBdr>
        <w:top w:val="none" w:sz="0" w:space="0" w:color="auto"/>
        <w:left w:val="none" w:sz="0" w:space="0" w:color="auto"/>
        <w:bottom w:val="none" w:sz="0" w:space="0" w:color="auto"/>
        <w:right w:val="none" w:sz="0" w:space="0" w:color="auto"/>
      </w:divBdr>
    </w:div>
    <w:div w:id="2103986786">
      <w:bodyDiv w:val="1"/>
      <w:marLeft w:val="0"/>
      <w:marRight w:val="0"/>
      <w:marTop w:val="0"/>
      <w:marBottom w:val="0"/>
      <w:divBdr>
        <w:top w:val="none" w:sz="0" w:space="0" w:color="auto"/>
        <w:left w:val="none" w:sz="0" w:space="0" w:color="auto"/>
        <w:bottom w:val="none" w:sz="0" w:space="0" w:color="auto"/>
        <w:right w:val="none" w:sz="0" w:space="0" w:color="auto"/>
      </w:divBdr>
    </w:div>
    <w:div w:id="21435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emf"/><Relationship Id="rId26" Type="http://schemas.openxmlformats.org/officeDocument/2006/relationships/image" Target="media/image12.emf"/><Relationship Id="rId39" Type="http://schemas.openxmlformats.org/officeDocument/2006/relationships/footer" Target="footer8.xml"/><Relationship Id="rId21" Type="http://schemas.openxmlformats.org/officeDocument/2006/relationships/image" Target="media/image8.emf"/><Relationship Id="rId34" Type="http://schemas.openxmlformats.org/officeDocument/2006/relationships/image" Target="media/image17.png"/><Relationship Id="rId42" Type="http://schemas.openxmlformats.org/officeDocument/2006/relationships/chart" Target="charts/chart1.xml"/><Relationship Id="rId47" Type="http://schemas.openxmlformats.org/officeDocument/2006/relationships/footer" Target="footer13.xml"/><Relationship Id="rId50" Type="http://schemas.openxmlformats.org/officeDocument/2006/relationships/image" Target="media/image24.emf"/><Relationship Id="rId55" Type="http://schemas.openxmlformats.org/officeDocument/2006/relationships/footer" Target="footer19.xml"/><Relationship Id="rId7" Type="http://schemas.openxmlformats.org/officeDocument/2006/relationships/endnotes" Target="endnotes.xml"/><Relationship Id="rId12" Type="http://schemas.openxmlformats.org/officeDocument/2006/relationships/hyperlink" Target="https://www.google.gr/url?sa=i&amp;rct=j&amp;q=&amp;esrc=s&amp;source=images&amp;cd=&amp;cad=rja&amp;uact=8&amp;ved=2ahUKEwi3i8rV_IvjAhUC3aQKHXU7AjoQjRx6BAgBEAU&amp;url=https://www.shma.gr/content/3/nea-/&amp;psig=AOvVaw0cAFqecWjG8bh1mEVkbsPB&amp;ust=1561804181581059" TargetMode="External"/><Relationship Id="rId17" Type="http://schemas.openxmlformats.org/officeDocument/2006/relationships/image" Target="media/image5.emf"/><Relationship Id="rId25" Type="http://schemas.openxmlformats.org/officeDocument/2006/relationships/footer" Target="footer3.xml"/><Relationship Id="rId33" Type="http://schemas.openxmlformats.org/officeDocument/2006/relationships/footer" Target="footer6.xml"/><Relationship Id="rId38" Type="http://schemas.openxmlformats.org/officeDocument/2006/relationships/image" Target="media/image20.emf"/><Relationship Id="rId46" Type="http://schemas.openxmlformats.org/officeDocument/2006/relationships/footer" Target="footer12.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image" Target="media/image14.png"/><Relationship Id="rId41" Type="http://schemas.openxmlformats.org/officeDocument/2006/relationships/image" Target="media/image22.png"/><Relationship Id="rId54"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1.emf"/><Relationship Id="rId32" Type="http://schemas.openxmlformats.org/officeDocument/2006/relationships/image" Target="media/image16.emf"/><Relationship Id="rId37" Type="http://schemas.openxmlformats.org/officeDocument/2006/relationships/image" Target="media/image19.emf"/><Relationship Id="rId40" Type="http://schemas.openxmlformats.org/officeDocument/2006/relationships/image" Target="media/image21.jpeg"/><Relationship Id="rId45" Type="http://schemas.openxmlformats.org/officeDocument/2006/relationships/footer" Target="footer11.xml"/><Relationship Id="rId53" Type="http://schemas.openxmlformats.org/officeDocument/2006/relationships/footer" Target="footer17.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10.emf"/><Relationship Id="rId28" Type="http://schemas.openxmlformats.org/officeDocument/2006/relationships/footer" Target="footer4.xml"/><Relationship Id="rId36" Type="http://schemas.openxmlformats.org/officeDocument/2006/relationships/footer" Target="footer7.xml"/><Relationship Id="rId49" Type="http://schemas.openxmlformats.org/officeDocument/2006/relationships/image" Target="media/image23.emf"/><Relationship Id="rId57" Type="http://schemas.openxmlformats.org/officeDocument/2006/relationships/footer" Target="footer21.xml"/><Relationship Id="rId10" Type="http://schemas.openxmlformats.org/officeDocument/2006/relationships/hyperlink" Target="http://www.google.gr/url?sa=i&amp;rct=j&amp;q=&amp;esrc=s&amp;source=images&amp;cd=&amp;ved=2ahUKEwi6vt2t_IvjAhUFDOwKHXsICDQQjRx6BAgBEAU&amp;url=http://www.antagonistikotita.gr/epanek/proskliseis.asp&amp;psig=AOvVaw0cAFqecWjG8bh1mEVkbsPB&amp;ust=1561804181581059" TargetMode="External"/><Relationship Id="rId19" Type="http://schemas.openxmlformats.org/officeDocument/2006/relationships/image" Target="media/image7.emf"/><Relationship Id="rId31" Type="http://schemas.openxmlformats.org/officeDocument/2006/relationships/image" Target="media/image15.emf"/><Relationship Id="rId44" Type="http://schemas.openxmlformats.org/officeDocument/2006/relationships/footer" Target="footer10.xml"/><Relationship Id="rId52"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image" Target="media/image9.emf"/><Relationship Id="rId27" Type="http://schemas.openxmlformats.org/officeDocument/2006/relationships/image" Target="media/image13.emf"/><Relationship Id="rId30" Type="http://schemas.openxmlformats.org/officeDocument/2006/relationships/footer" Target="footer5.xml"/><Relationship Id="rId35" Type="http://schemas.openxmlformats.org/officeDocument/2006/relationships/image" Target="media/image18.png"/><Relationship Id="rId43" Type="http://schemas.openxmlformats.org/officeDocument/2006/relationships/footer" Target="footer9.xml"/><Relationship Id="rId48" Type="http://schemas.openxmlformats.org/officeDocument/2006/relationships/footer" Target="footer14.xml"/><Relationship Id="rId56" Type="http://schemas.openxmlformats.org/officeDocument/2006/relationships/footer" Target="footer20.xml"/><Relationship Id="rId8" Type="http://schemas.openxmlformats.org/officeDocument/2006/relationships/hyperlink" Target="http://www.gsrt.gr/central.aspx?langId=2" TargetMode="External"/><Relationship Id="rId51" Type="http://schemas.openxmlformats.org/officeDocument/2006/relationships/footer" Target="footer15.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money-allocated-par-topics.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'Ark1'!$B$2</c:f>
              <c:strCache>
                <c:ptCount val="1"/>
                <c:pt idx="0">
                  <c:v>Money</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55D-4896-A83F-5CEECA6A3EE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55D-4896-A83F-5CEECA6A3EEA}"/>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'Ark1'!$A$3:$A$4</c:f>
              <c:strCache>
                <c:ptCount val="2"/>
                <c:pt idx="0">
                  <c:v>Environment</c:v>
                </c:pt>
                <c:pt idx="1">
                  <c:v>Climate protection</c:v>
                </c:pt>
              </c:strCache>
            </c:strRef>
          </c:cat>
          <c:val>
            <c:numRef>
              <c:f>'Ark1'!$B$3:$B$4</c:f>
              <c:numCache>
                <c:formatCode>_("€"* #,##0.00_);_("€"* \(#,##0.00\);_("€"* "-"??_);_(@_)</c:formatCode>
                <c:ptCount val="2"/>
                <c:pt idx="0">
                  <c:v>17702741</c:v>
                </c:pt>
                <c:pt idx="1">
                  <c:v>6637869</c:v>
                </c:pt>
              </c:numCache>
            </c:numRef>
          </c:val>
          <c:extLst>
            <c:ext xmlns:c16="http://schemas.microsoft.com/office/drawing/2014/chart" uri="{C3380CC4-5D6E-409C-BE32-E72D297353CC}">
              <c16:uniqueId val="{00000004-D55D-4896-A83F-5CEECA6A3EEA}"/>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3D1DD-D3F5-4238-9E46-F805896B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71</Pages>
  <Words>24485</Words>
  <Characters>139568</Characters>
  <Application>Microsoft Office Word</Application>
  <DocSecurity>0</DocSecurity>
  <Lines>1163</Lines>
  <Paragraphs>327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163726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Manos</dc:creator>
  <cp:keywords/>
  <dc:description/>
  <cp:lastModifiedBy>k gkafaridou</cp:lastModifiedBy>
  <cp:revision>9</cp:revision>
  <cp:lastPrinted>2019-09-04T13:47:00Z</cp:lastPrinted>
  <dcterms:created xsi:type="dcterms:W3CDTF">2019-10-22T08:58:00Z</dcterms:created>
  <dcterms:modified xsi:type="dcterms:W3CDTF">2019-10-22T11:26:00Z</dcterms:modified>
</cp:coreProperties>
</file>