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DC8B" w14:textId="36798922" w:rsidR="00BA5055" w:rsidRPr="005B1E06" w:rsidRDefault="00BA5055" w:rsidP="007372F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B1E06">
        <w:rPr>
          <w:rFonts w:ascii="Times New Roman" w:hAnsi="Times New Roman"/>
          <w:b/>
          <w:sz w:val="24"/>
          <w:szCs w:val="24"/>
        </w:rPr>
        <w:t xml:space="preserve">Έκθεση Διασφάλισης Ανεξάρτητου Ορκωτού Ελεγκτή Λογιστή σύμφωνα με </w:t>
      </w:r>
      <w:r w:rsidR="002A6D6A">
        <w:rPr>
          <w:rFonts w:ascii="Times New Roman" w:hAnsi="Times New Roman"/>
          <w:b/>
          <w:sz w:val="24"/>
          <w:szCs w:val="24"/>
        </w:rPr>
        <w:t>την ενότητα 11</w:t>
      </w:r>
      <w:r w:rsidRPr="005B1E06">
        <w:rPr>
          <w:rFonts w:ascii="Times New Roman" w:hAnsi="Times New Roman"/>
          <w:b/>
          <w:sz w:val="24"/>
          <w:szCs w:val="24"/>
        </w:rPr>
        <w:t xml:space="preserve"> </w:t>
      </w:r>
      <w:r w:rsidR="007508D7" w:rsidRPr="005B1E06">
        <w:rPr>
          <w:rFonts w:ascii="Times New Roman" w:hAnsi="Times New Roman"/>
          <w:b/>
          <w:sz w:val="24"/>
          <w:szCs w:val="24"/>
        </w:rPr>
        <w:t>….</w:t>
      </w:r>
      <w:r w:rsidRPr="005B1E06">
        <w:rPr>
          <w:rFonts w:ascii="Times New Roman" w:hAnsi="Times New Roman"/>
          <w:b/>
          <w:sz w:val="24"/>
          <w:szCs w:val="24"/>
        </w:rPr>
        <w:t xml:space="preserve"> της υπ’ </w:t>
      </w:r>
      <w:proofErr w:type="spellStart"/>
      <w:r w:rsidRPr="005B1E06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Pr="005B1E06">
        <w:rPr>
          <w:rFonts w:ascii="Times New Roman" w:hAnsi="Times New Roman"/>
          <w:b/>
          <w:sz w:val="24"/>
          <w:szCs w:val="24"/>
        </w:rPr>
        <w:t xml:space="preserve">. </w:t>
      </w:r>
      <w:r w:rsidR="002A6D6A">
        <w:rPr>
          <w:rFonts w:ascii="Times New Roman" w:hAnsi="Times New Roman"/>
          <w:b/>
          <w:sz w:val="24"/>
          <w:szCs w:val="24"/>
        </w:rPr>
        <w:t>……………</w:t>
      </w:r>
      <w:r w:rsidR="007508D7" w:rsidRPr="005B1E06">
        <w:rPr>
          <w:rFonts w:ascii="Times New Roman" w:hAnsi="Times New Roman"/>
          <w:b/>
          <w:sz w:val="24"/>
          <w:szCs w:val="24"/>
        </w:rPr>
        <w:t>Πρόσκλησης</w:t>
      </w:r>
      <w:r w:rsidR="003705AB" w:rsidRPr="005B1E06">
        <w:rPr>
          <w:rFonts w:ascii="Times New Roman" w:hAnsi="Times New Roman"/>
          <w:b/>
          <w:sz w:val="24"/>
          <w:szCs w:val="24"/>
        </w:rPr>
        <w:t xml:space="preserve"> ……..</w:t>
      </w:r>
    </w:p>
    <w:p w14:paraId="34508641" w14:textId="77777777" w:rsidR="00BA5055" w:rsidRPr="005B1E06" w:rsidRDefault="00BA5055" w:rsidP="00BA505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03B4994" w14:textId="77777777" w:rsidR="00325D8C" w:rsidRPr="005B1E06" w:rsidRDefault="00325D8C" w:rsidP="00BA505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D825DB3" w14:textId="77777777" w:rsidR="00BA5055" w:rsidRPr="005B1E06" w:rsidRDefault="00BA5055" w:rsidP="00BA5055">
      <w:pPr>
        <w:spacing w:line="276" w:lineRule="auto"/>
        <w:rPr>
          <w:rFonts w:ascii="Times New Roman" w:eastAsiaTheme="minorHAnsi" w:hAnsi="Times New Roman"/>
          <w:b/>
          <w:sz w:val="24"/>
          <w:szCs w:val="24"/>
          <w:lang w:eastAsia="en-US" w:bidi="el-GR"/>
        </w:rPr>
      </w:pPr>
      <w:r w:rsidRPr="005B1E06">
        <w:rPr>
          <w:rFonts w:ascii="Times New Roman" w:hAnsi="Times New Roman"/>
          <w:sz w:val="24"/>
          <w:szCs w:val="24"/>
        </w:rPr>
        <w:t xml:space="preserve">Προς το Διοικητικό Συμβούλιο της </w:t>
      </w:r>
      <w:r w:rsidR="003705AB" w:rsidRPr="005B1E06">
        <w:rPr>
          <w:rFonts w:ascii="Times New Roman" w:hAnsi="Times New Roman"/>
          <w:sz w:val="24"/>
          <w:szCs w:val="24"/>
        </w:rPr>
        <w:t>………..</w:t>
      </w:r>
      <w:r w:rsidRPr="005B1E06">
        <w:rPr>
          <w:rFonts w:ascii="Times New Roman" w:hAnsi="Times New Roman"/>
          <w:sz w:val="24"/>
          <w:szCs w:val="24"/>
        </w:rPr>
        <w:t xml:space="preserve"> και τη </w:t>
      </w:r>
      <w:r w:rsidRPr="005B1E06">
        <w:rPr>
          <w:rFonts w:ascii="Times New Roman" w:eastAsiaTheme="minorHAnsi" w:hAnsi="Times New Roman"/>
          <w:b/>
          <w:sz w:val="24"/>
          <w:szCs w:val="24"/>
          <w:lang w:eastAsia="en-US" w:bidi="el-GR"/>
        </w:rPr>
        <w:t>Γενική Γραμματεία Έρευνας και Καινοτομίας του Υπουργείου Ανάπτυξης και Επενδύσεων</w:t>
      </w:r>
    </w:p>
    <w:p w14:paraId="1D5178F1" w14:textId="77777777" w:rsidR="00BA5055" w:rsidRPr="005B1E06" w:rsidRDefault="00BA505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</w:p>
    <w:p w14:paraId="59997204" w14:textId="0EAD883D" w:rsidR="00BA5055" w:rsidRPr="005B1E06" w:rsidRDefault="00BA505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Διενεργήσαμε έλεγχο εφαρμογής των διατάξεων </w:t>
      </w:r>
      <w:r w:rsidR="002A6D6A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της ενότητας 11 </w:t>
      </w:r>
      <w:r w:rsidR="000D57FD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της </w:t>
      </w:r>
      <w:proofErr w:type="spellStart"/>
      <w:r w:rsidR="000D57FD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υπ’αρ…….</w:t>
      </w:r>
      <w:r w:rsidR="007508D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Πρόσκλησης</w:t>
      </w:r>
      <w:proofErr w:type="spellEnd"/>
      <w:r w:rsidR="000D57FD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η οποία εκδόθηκε βάσει</w:t>
      </w:r>
      <w:r w:rsidR="002A6D6A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της υπό στοιχεία </w:t>
      </w:r>
      <w:r w:rsidR="002A6D6A" w:rsidRPr="002A6D6A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Γ </w:t>
      </w:r>
      <w:proofErr w:type="spellStart"/>
      <w:r w:rsidR="002A6D6A" w:rsidRPr="002A6D6A">
        <w:rPr>
          <w:rFonts w:ascii="Times New Roman" w:hAnsi="Times New Roman" w:cs="Times New Roman"/>
          <w:color w:val="000000"/>
          <w:sz w:val="24"/>
          <w:szCs w:val="24"/>
          <w:lang w:bidi="el-GR"/>
        </w:rPr>
        <w:t>Π.οικ</w:t>
      </w:r>
      <w:proofErr w:type="spellEnd"/>
      <w:r w:rsidR="002A6D6A" w:rsidRPr="002A6D6A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. 80277/ 23.12.2021 (Β’ 6247) </w:t>
      </w:r>
      <w:r w:rsidR="002A6D6A">
        <w:rPr>
          <w:rFonts w:ascii="Times New Roman" w:hAnsi="Times New Roman" w:cs="Times New Roman"/>
          <w:color w:val="000000"/>
          <w:sz w:val="24"/>
          <w:szCs w:val="24"/>
          <w:lang w:bidi="el-GR"/>
        </w:rPr>
        <w:t>Κοινής Υπουργικής Απόφασης / ΚΥΑ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, με σκοπό τη διαπίστωση </w:t>
      </w:r>
      <w:r w:rsidR="00BE162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ότι τα αριθμητικά κονδύλια που χρησιμοποιήθηκαν για τον υπολογισμό των χρηματοοικονομικών δεικτών </w:t>
      </w:r>
      <w:r w:rsidR="00A93EE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βάσ</w:t>
      </w:r>
      <w:r w:rsidR="00BE162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ει</w:t>
      </w:r>
      <w:r w:rsidR="00A93EE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BE162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των οποίων</w:t>
      </w:r>
      <w:r w:rsidR="00A93EE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διαπιστώνεται η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A93EE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προβληματικότητα της </w:t>
      </w:r>
      <w:r w:rsidR="00BE162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Επιχείρησης</w:t>
      </w:r>
      <w:r w:rsidR="00893CA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(/ή και </w:t>
      </w:r>
      <w:r w:rsidR="007508D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του </w:t>
      </w:r>
      <w:r w:rsidR="00893CA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Ομίλου), </w:t>
      </w:r>
      <w:r w:rsidR="00BE162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……… (εφεξής η Επιχείρηση)</w:t>
      </w:r>
      <w:r w:rsidR="00D64C5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, </w:t>
      </w:r>
      <w:r w:rsidR="00893CA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καθώς και τα αριθμητικά κονδύλια που χρησιμοποιήθηκαν για το προσδιορισμό του μεγέθους αυτής (/ή του Ομίλου), </w:t>
      </w:r>
      <w:r w:rsidR="00D64C5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σύμφωνα με τις</w:t>
      </w:r>
      <w:r w:rsidR="00AB628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F805B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διατάξε</w:t>
      </w:r>
      <w:r w:rsidR="00D64C5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ις</w:t>
      </w:r>
      <w:r w:rsidR="009A0F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που </w:t>
      </w:r>
      <w:r w:rsidR="00893CA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προβλέπονται από την </w:t>
      </w:r>
      <w:r w:rsidR="007508D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Σ</w:t>
      </w:r>
      <w:r w:rsidR="00893CA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υνθήκη («Γενικός Απαλλακτικός Κανονισμός») όπως ισχύει, </w:t>
      </w:r>
      <w:r w:rsidR="009A0F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προκύπτουν από τις νόμιμα συνταγμένες και εγκεκριμένες από το Διοικητικό Συμβούλιο </w:t>
      </w:r>
      <w:r w:rsidR="00BE1627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Οικονομικές Καταστάσεις της Επιχείρησης </w:t>
      </w:r>
      <w:r w:rsidR="00D64C5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για </w:t>
      </w:r>
      <w:r w:rsidR="003705A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τις </w:t>
      </w:r>
      <w:r w:rsidR="00027CC3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χρήσεις……</w:t>
      </w:r>
      <w:r w:rsidR="008765B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</w:t>
      </w:r>
      <w:r w:rsidR="00027CC3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,</w:t>
      </w:r>
      <w:r w:rsidR="00D64C5F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προκειμένου</w:t>
      </w:r>
      <w:r w:rsidR="00D37BDC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CA269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η εταιρεία να συμμετέχει στις διαδικασίες συμψηφισμού της διάταξης της περ. ζ της § 1 του άρθρου 11 του Ν.4052/2012 (Α΄41) και </w:t>
      </w:r>
      <w:r w:rsidR="0073592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της § 1β) του άρθρου 100 του Ν.4172/2013 όπως εξειδικεύονται στην υπ’ </w:t>
      </w:r>
      <w:proofErr w:type="spellStart"/>
      <w:r w:rsidR="0073592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αριθμ</w:t>
      </w:r>
      <w:proofErr w:type="spellEnd"/>
      <w:r w:rsidR="0073592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. ΓΠ.οικ.80277/27.12.2021 (Β’ 6247) Κοινή Υπουργική Απόφαση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.</w:t>
      </w:r>
    </w:p>
    <w:p w14:paraId="6EB7F3B1" w14:textId="77777777" w:rsidR="00D51626" w:rsidRPr="005B1E06" w:rsidRDefault="00D51626" w:rsidP="00BA5055">
      <w:pPr>
        <w:pStyle w:val="Bodytext30"/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</w:p>
    <w:p w14:paraId="220CD140" w14:textId="77777777" w:rsidR="00BA5055" w:rsidRPr="005B1E06" w:rsidRDefault="00BA5055" w:rsidP="00BA5055">
      <w:pPr>
        <w:pStyle w:val="Bodytext30"/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Ευθύνη της Διοίκησης της Εταιρείας</w:t>
      </w:r>
    </w:p>
    <w:p w14:paraId="679CB290" w14:textId="5683D2A1" w:rsidR="00E92EF0" w:rsidRPr="005B1E06" w:rsidRDefault="0073592B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Η διοίκηση της ελεγχόμενης Επιχείρησης είναι υπεύθυνη για την ορθή εφαρμογή των προϋποθέσεων για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τη συμμετοχή της στις διαδικασίες συμψηφισμού της διάταξης της περ. ζ της § 1 του άρθρου 11 του Ν.4052/2012 (Α΄41) και της § 1β) του άρθρου 100 του Ν.4172/2013 όπως εξειδικεύονται στην υπ’ </w:t>
      </w:r>
      <w:proofErr w:type="spellStart"/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αριθμ</w:t>
      </w:r>
      <w:proofErr w:type="spellEnd"/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. ΓΠ.οικ.80277/27.12.2021 (Β’ 6247) Κοινή Υπουργική Απόφαση, την τήρηση των προβλεπόμενων βιβλίων και στοιχείων, την έγκαιρη καταβολή των φορολογικών υποχρεώσεών </w:t>
      </w:r>
      <w:r w:rsidR="00C043AD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της,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την εν γένει τήρηση της φορολογικής νομοθεσίας</w:t>
      </w:r>
      <w:r w:rsidR="00C043AD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και την κατάρτιση και εύλογη παρουσίαση των οικονομικών καταστάσεων σύμφωνα με τις διατάξεις του </w:t>
      </w:r>
      <w:r w:rsidR="009A0F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Ν.4308</w:t>
      </w:r>
      <w:r w:rsidR="00476AF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/2013</w:t>
      </w:r>
      <w:r w:rsidR="009A0F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….(</w:t>
      </w:r>
      <w:r w:rsidR="00476AF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ή </w:t>
      </w:r>
      <w:r w:rsidR="009A0F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ΔΠΧΑ…)</w:t>
      </w:r>
      <w:r w:rsidR="005B1E0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.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CA269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Επί πλέον είναι υπεύθυνη για τη ρύθμιση της καταβολής των οφειλόμενων ποσών της αυτόματης επιστροφής (</w:t>
      </w:r>
      <w:proofErr w:type="spellStart"/>
      <w:r w:rsidR="00CA269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clawback</w:t>
      </w:r>
      <w:proofErr w:type="spellEnd"/>
      <w:r w:rsidR="00CA269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) της φαρμακευτικής δαπάνης του Ε.Ο.Π.Υ.Υ. έως 31.12.2020 και την εμπρόθεσμη καταβολή των ποσών επιστροφής (</w:t>
      </w:r>
      <w:proofErr w:type="spellStart"/>
      <w:r w:rsidR="00CA269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rebate</w:t>
      </w:r>
      <w:proofErr w:type="spellEnd"/>
      <w:r w:rsidR="00CA269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) από το 2021 και εντεύθεν, διαμορφώνοντας μεταξύ άλλων όλες τις απαραίτητες εσωτερικές δικλείδες, που διασφαλίζουν τη συμμόρφωση της Επιχείρησης με τις ισχύουσες περί αυτών διατάξεις.</w:t>
      </w:r>
    </w:p>
    <w:p w14:paraId="6ACD5CAA" w14:textId="77777777" w:rsidR="00CA2695" w:rsidRPr="005B1E06" w:rsidRDefault="00CA269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</w:p>
    <w:p w14:paraId="6368DA1F" w14:textId="77777777" w:rsidR="00BA5055" w:rsidRPr="005B1E06" w:rsidRDefault="00BA5055" w:rsidP="00BA5055">
      <w:pPr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5B1E06">
        <w:rPr>
          <w:rFonts w:ascii="Times New Roman" w:hAnsi="Times New Roman"/>
          <w:b/>
          <w:sz w:val="24"/>
          <w:szCs w:val="24"/>
          <w:lang w:bidi="el-GR"/>
        </w:rPr>
        <w:t>Ευθύνη του Ελεγκτή</w:t>
      </w:r>
      <w:bookmarkEnd w:id="0"/>
    </w:p>
    <w:p w14:paraId="27C9EA41" w14:textId="4F92648D" w:rsidR="00D51626" w:rsidRPr="005B1E06" w:rsidRDefault="00BA5055" w:rsidP="00D51626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Η δική μας ευθύνη είναι η διενέργεια εργασιών διασφάλισης, για τη </w:t>
      </w:r>
      <w:r w:rsidR="00D516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διαπίστωση ότι τα αριθμητικά κονδύλια που χρησιμοποιήθηκαν για τον υπολογισμό των χρηματοοικονομικών </w:t>
      </w:r>
      <w:r w:rsidR="00D54771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δεικτών βάσει </w:t>
      </w:r>
      <w:r w:rsidR="00D54771" w:rsidRPr="005B1E06">
        <w:rPr>
          <w:rFonts w:ascii="Times New Roman" w:hAnsi="Times New Roman" w:cs="Times New Roman"/>
          <w:sz w:val="24"/>
          <w:szCs w:val="24"/>
          <w:lang w:bidi="el-GR"/>
        </w:rPr>
        <w:t>των οποίων διαπιστώνεται η προβληματικότητα της Επιχείρησης(/ή και του Ομίλου),  ……… (εφεξής η Επιχείρηση), καθώς και τα αριθμητικά κονδύλια που χρησιμοποιήθηκαν για το προσδιορισμό του μεγέθους αυτής (/ή του Ομίλου), σύμφωνα με τις διατάξεις που προβλέπονται από την Συνθήκη («Γενικός Απαλλακτικός Κανονισμός») όπως ισχύει,</w:t>
      </w:r>
      <w:r w:rsidR="00D51626" w:rsidRPr="005B1E06">
        <w:rPr>
          <w:rFonts w:ascii="Times New Roman" w:hAnsi="Times New Roman" w:cs="Times New Roman"/>
          <w:sz w:val="24"/>
          <w:szCs w:val="24"/>
          <w:lang w:bidi="el-GR"/>
        </w:rPr>
        <w:t xml:space="preserve"> προκύπτουν </w:t>
      </w:r>
      <w:r w:rsidR="00D516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από τις νόμιμα συνταγμένες και εγκεκριμένες από το Διοικητικό Συμβούλιο Οικονομικές Καταστάσεις της Επιχείρησης  για τις χρήσεις </w:t>
      </w:r>
      <w:r w:rsidR="00476AF5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</w:t>
      </w:r>
      <w:r w:rsidR="008765B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</w:t>
      </w:r>
      <w:r w:rsidR="00112F9E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.</w:t>
      </w:r>
    </w:p>
    <w:p w14:paraId="082C866D" w14:textId="77777777" w:rsidR="00D51626" w:rsidRPr="005B1E06" w:rsidRDefault="00D51626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2DA9AA" w14:textId="77777777" w:rsidR="00BA5055" w:rsidRPr="005B1E06" w:rsidRDefault="00BA505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Οι εργασίες διασφάλισης, διενεργήθηκαν σύμφωνα με το Διεθνές Πρότυπο Εργασιών Διασφάλισης 3000,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«Έργα Διασφάλισης Π</w:t>
      </w:r>
      <w:bookmarkStart w:id="1" w:name="_GoBack"/>
      <w:bookmarkEnd w:id="1"/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έραν Ελέγχου ή Επισκόπησης Ιστορικής Οικονομικής Πληροφόρησης».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Θεωρούμε ότι τα ελεγκτικά στοιχεία που έχουμε συγκεντρώσει είναι επαρκή και κατάλληλα για τη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θεμελίωση και την τεκμηρίωση της παρούσας έκθεσης διασφάλισης και είναι στη διάθεση της ΕΛΤΕ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οποτεδήποτε ζητηθούν.</w:t>
      </w:r>
    </w:p>
    <w:p w14:paraId="05D29CBA" w14:textId="77777777" w:rsidR="00BA5055" w:rsidRPr="005B1E06" w:rsidRDefault="00BA505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D3475C" w14:textId="77777777" w:rsidR="00BA5055" w:rsidRPr="005B1E06" w:rsidRDefault="00BA5055" w:rsidP="00BA5055">
      <w:pPr>
        <w:spacing w:line="276" w:lineRule="auto"/>
        <w:rPr>
          <w:rFonts w:ascii="Times New Roman" w:hAnsi="Times New Roman"/>
          <w:b/>
          <w:sz w:val="24"/>
          <w:szCs w:val="24"/>
          <w:lang w:bidi="el-GR"/>
        </w:rPr>
      </w:pPr>
      <w:bookmarkStart w:id="2" w:name="bookmark1"/>
      <w:r w:rsidRPr="005B1E06">
        <w:rPr>
          <w:rFonts w:ascii="Times New Roman" w:hAnsi="Times New Roman"/>
          <w:b/>
          <w:sz w:val="24"/>
          <w:szCs w:val="24"/>
          <w:lang w:bidi="el-GR"/>
        </w:rPr>
        <w:t>Σ</w:t>
      </w:r>
      <w:bookmarkEnd w:id="2"/>
      <w:r w:rsidRPr="005B1E06">
        <w:rPr>
          <w:rFonts w:ascii="Times New Roman" w:hAnsi="Times New Roman"/>
          <w:b/>
          <w:sz w:val="24"/>
          <w:szCs w:val="24"/>
          <w:lang w:bidi="el-GR"/>
        </w:rPr>
        <w:t>υμπέρασμα</w:t>
      </w:r>
    </w:p>
    <w:p w14:paraId="3F8C7D4A" w14:textId="60C4FD52" w:rsidR="003811FB" w:rsidRPr="005B1E06" w:rsidRDefault="00BA5055" w:rsidP="00112F9E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Με βάση τη διενεργηθείσα εργασία και τα τεκμήρια που αποκτήθηκαν δεν έχει περιέλθει στην αντίληψή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μας οτιδήποτε που θα μας οδηγούσε στο συμπέρασμα ότι </w:t>
      </w:r>
      <w:r w:rsidR="00112F9E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D516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τα αριθμητικά κονδύλια που χρησιμοποιήθηκαν για τον υπολογισμό των χρηματοοικονομικών </w:t>
      </w:r>
      <w:r w:rsidR="00D54771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δεικτών βάσει των οποίων διαπιστώνεται η προβληματικότητα της Επιχείρησης(/ή και του Ομίλου),  ……… (εφεξής η Επιχείρηση), καθώς και τα αριθμητικά κονδύλια που χρησιμοποιήθηκαν για το προσδιορισμό του μεγέθους αυτής (/ή του Ομίλου), σύμφωνα με τις διατάξεις που προβλέπονται 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στον</w:t>
      </w:r>
      <w:r w:rsidR="00D54771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Καν. 651/2014 </w:t>
      </w:r>
      <w:r w:rsidR="00D54771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και στο ΠΑΡΑΡΤΗΜΑ 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val="en-US" w:bidi="el-GR"/>
        </w:rPr>
        <w:t>VI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της πρόσκλησης </w:t>
      </w:r>
      <w:r w:rsidR="00D54771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όπως ισχύει,</w:t>
      </w:r>
      <w:r w:rsidR="00D51626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39042A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δεν</w:t>
      </w:r>
      <w:r w:rsidR="003811F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προκύπτουν από τις δημοσιευμένες  Οικονομικές Καταστάσεις της Επιχείρησης  για τις χρήσεις </w:t>
      </w:r>
      <w:r w:rsidR="00D54771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</w:t>
      </w:r>
      <w:r w:rsidR="008765B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</w:t>
      </w:r>
      <w:r w:rsidR="00112F9E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</w:t>
      </w:r>
    </w:p>
    <w:p w14:paraId="5D7AC8F5" w14:textId="2984DB95" w:rsidR="008A08CA" w:rsidRPr="005B1E06" w:rsidRDefault="00006AD9" w:rsidP="00112F9E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Με βάση τα παραπάνω η εταιρεία είναι</w:t>
      </w:r>
    </w:p>
    <w:p w14:paraId="1EE94160" w14:textId="77777777" w:rsidR="00006AD9" w:rsidRPr="005B1E06" w:rsidRDefault="00006AD9" w:rsidP="00112F9E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</w:p>
    <w:p w14:paraId="1CD0EECC" w14:textId="3EBE2048" w:rsidR="008A08CA" w:rsidRPr="005B1E06" w:rsidRDefault="008A08CA" w:rsidP="00112F9E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Μεγάλη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:  </w:t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instrText xml:space="preserve"> FORMCHECKBOX </w:instrText>
      </w:r>
      <w:r w:rsidR="000C2DAF">
        <w:rPr>
          <w:rFonts w:ascii="Times New Roman" w:hAnsi="Times New Roman" w:cs="Times New Roman"/>
          <w:color w:val="000000"/>
          <w:sz w:val="18"/>
          <w:szCs w:val="18"/>
        </w:rPr>
      </w:r>
      <w:r w:rsidR="000C2DAF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006AD9" w:rsidRPr="005B1E06">
        <w:rPr>
          <w:rFonts w:ascii="Times New Roman" w:eastAsia="Times New Roman" w:hAnsi="Times New Roman" w:cs="Times New Roman"/>
          <w:lang w:eastAsia="el-GR"/>
        </w:rPr>
        <w:t xml:space="preserve"> ΝΑΙ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,  Μεσαία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instrText xml:space="preserve"> FORMCHECKBOX </w:instrText>
      </w:r>
      <w:r w:rsidR="000C2DAF">
        <w:rPr>
          <w:rFonts w:ascii="Times New Roman" w:hAnsi="Times New Roman" w:cs="Times New Roman"/>
          <w:color w:val="000000"/>
          <w:sz w:val="18"/>
          <w:szCs w:val="18"/>
        </w:rPr>
      </w:r>
      <w:r w:rsidR="000C2DAF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006AD9" w:rsidRPr="005B1E06">
        <w:rPr>
          <w:rFonts w:ascii="Times New Roman" w:eastAsia="Times New Roman" w:hAnsi="Times New Roman" w:cs="Times New Roman"/>
          <w:lang w:eastAsia="el-GR"/>
        </w:rPr>
        <w:t xml:space="preserve"> ΝΑΙ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, Μικρή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instrText xml:space="preserve"> FORMCHECKBOX </w:instrText>
      </w:r>
      <w:r w:rsidR="000C2DAF">
        <w:rPr>
          <w:rFonts w:ascii="Times New Roman" w:hAnsi="Times New Roman" w:cs="Times New Roman"/>
          <w:color w:val="000000"/>
          <w:sz w:val="18"/>
          <w:szCs w:val="18"/>
        </w:rPr>
      </w:r>
      <w:r w:rsidR="000C2DAF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006AD9" w:rsidRPr="005B1E06">
        <w:rPr>
          <w:rFonts w:ascii="Times New Roman" w:eastAsia="Times New Roman" w:hAnsi="Times New Roman" w:cs="Times New Roman"/>
          <w:lang w:eastAsia="el-GR"/>
        </w:rPr>
        <w:t xml:space="preserve"> ΝΑΙ</w:t>
      </w:r>
    </w:p>
    <w:p w14:paraId="529331DC" w14:textId="73EC9E4F" w:rsidR="008A08CA" w:rsidRPr="005B1E06" w:rsidRDefault="008A08CA" w:rsidP="00112F9E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</w:p>
    <w:p w14:paraId="57823149" w14:textId="757DC3D5" w:rsidR="008A08CA" w:rsidRPr="005B1E06" w:rsidRDefault="008A08CA" w:rsidP="00112F9E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Προβληματική</w:t>
      </w:r>
      <w:r w:rsidR="00006AD9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:  </w:t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instrText xml:space="preserve"> FORMCHECKBOX </w:instrText>
      </w:r>
      <w:r w:rsidR="000C2DAF">
        <w:rPr>
          <w:rFonts w:ascii="Times New Roman" w:hAnsi="Times New Roman" w:cs="Times New Roman"/>
          <w:color w:val="000000"/>
          <w:sz w:val="18"/>
          <w:szCs w:val="18"/>
        </w:rPr>
      </w:r>
      <w:r w:rsidR="000C2DAF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006AD9" w:rsidRPr="005B1E06">
        <w:rPr>
          <w:rFonts w:ascii="Times New Roman" w:eastAsia="Times New Roman" w:hAnsi="Times New Roman" w:cs="Times New Roman"/>
          <w:lang w:eastAsia="el-GR"/>
        </w:rPr>
        <w:t xml:space="preserve"> ΝΑΙ   </w:t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instrText xml:space="preserve"> FORMCHECKBOX </w:instrText>
      </w:r>
      <w:r w:rsidR="000C2DAF">
        <w:rPr>
          <w:rFonts w:ascii="Times New Roman" w:hAnsi="Times New Roman" w:cs="Times New Roman"/>
          <w:color w:val="000000"/>
          <w:sz w:val="18"/>
          <w:szCs w:val="18"/>
        </w:rPr>
      </w:r>
      <w:r w:rsidR="000C2DAF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006AD9" w:rsidRPr="005B1E06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006AD9" w:rsidRPr="005B1E06">
        <w:rPr>
          <w:rFonts w:ascii="Times New Roman" w:eastAsia="Times New Roman" w:hAnsi="Times New Roman" w:cs="Times New Roman"/>
          <w:lang w:eastAsia="el-GR"/>
        </w:rPr>
        <w:t xml:space="preserve"> ΟΧΙ</w:t>
      </w:r>
    </w:p>
    <w:p w14:paraId="0BAF4738" w14:textId="77777777" w:rsidR="00F1061A" w:rsidRPr="005B1E06" w:rsidRDefault="00F1061A" w:rsidP="00F1061A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</w:p>
    <w:p w14:paraId="5E4BDFD2" w14:textId="77777777" w:rsidR="00BA5055" w:rsidRPr="005B1E06" w:rsidRDefault="00BA5055" w:rsidP="00BA5055">
      <w:pPr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3" w:name="bookmark2"/>
      <w:r w:rsidRPr="005B1E06">
        <w:rPr>
          <w:rFonts w:ascii="Times New Roman" w:hAnsi="Times New Roman"/>
          <w:b/>
          <w:sz w:val="24"/>
          <w:szCs w:val="24"/>
          <w:lang w:bidi="el-GR"/>
        </w:rPr>
        <w:t>Περιορισμός Χρήσης</w:t>
      </w:r>
      <w:bookmarkEnd w:id="3"/>
    </w:p>
    <w:p w14:paraId="7F8C2220" w14:textId="6ED192C0" w:rsidR="00BA5055" w:rsidRPr="005B1E06" w:rsidRDefault="00BA505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Η Έκθεσή μας συντάχθηκε αποκλειστικά για το σκοπό που αναφέρεται στην πρώτη παράγραφο της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παρούσας και απευθύνεται αποκλειστικά προς το Διοικητικό Συμβούλιο της Εταιρείας και προς </w:t>
      </w:r>
      <w:r w:rsid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τη Γενική Γραμματεία Έρευνας και Καινοτομίας του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b/>
          <w:sz w:val="24"/>
          <w:szCs w:val="24"/>
          <w:lang w:bidi="el-GR"/>
        </w:rPr>
        <w:t>Υπουργείο</w:t>
      </w:r>
      <w:r w:rsidR="005B1E06" w:rsidRPr="005B1E06">
        <w:rPr>
          <w:rFonts w:ascii="Times New Roman" w:hAnsi="Times New Roman" w:cs="Times New Roman"/>
          <w:b/>
          <w:sz w:val="24"/>
          <w:szCs w:val="24"/>
          <w:lang w:bidi="el-GR"/>
        </w:rPr>
        <w:t>υ</w:t>
      </w:r>
      <w:r w:rsidRPr="005B1E06">
        <w:rPr>
          <w:rFonts w:ascii="Times New Roman" w:hAnsi="Times New Roman" w:cs="Times New Roman"/>
          <w:b/>
          <w:sz w:val="24"/>
          <w:szCs w:val="24"/>
          <w:lang w:bidi="el-GR"/>
        </w:rPr>
        <w:t xml:space="preserve"> Ανάπτυξης και Επενδύσεων</w:t>
      </w:r>
      <w:r w:rsidRPr="005B1E06">
        <w:rPr>
          <w:rFonts w:ascii="Times New Roman" w:hAnsi="Times New Roman" w:cs="Times New Roman"/>
          <w:sz w:val="24"/>
          <w:szCs w:val="24"/>
          <w:lang w:bidi="el-GR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και δεν επιτρέπεται να χρησιμοποιηθεί για οποιοδήποτε άλλο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σκοπό ή να διανεμηθεί σε τρίτους.</w:t>
      </w:r>
    </w:p>
    <w:p w14:paraId="3E063197" w14:textId="77777777" w:rsidR="00325D8C" w:rsidRPr="005B1E06" w:rsidRDefault="00325D8C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95363" w14:textId="77777777" w:rsidR="00BA5055" w:rsidRPr="005B1E06" w:rsidRDefault="00BA5055" w:rsidP="00BA5055">
      <w:pPr>
        <w:spacing w:line="276" w:lineRule="auto"/>
        <w:rPr>
          <w:rFonts w:ascii="Times New Roman" w:hAnsi="Times New Roman"/>
          <w:b/>
          <w:sz w:val="24"/>
          <w:szCs w:val="24"/>
          <w:lang w:bidi="el-GR"/>
        </w:rPr>
      </w:pPr>
      <w:bookmarkStart w:id="4" w:name="bookmark3"/>
      <w:r w:rsidRPr="005B1E06">
        <w:rPr>
          <w:rFonts w:ascii="Times New Roman" w:hAnsi="Times New Roman"/>
          <w:b/>
          <w:sz w:val="24"/>
          <w:szCs w:val="24"/>
          <w:lang w:bidi="el-GR"/>
        </w:rPr>
        <w:t>Αναφορά επί άλλων Θεμάτων</w:t>
      </w:r>
      <w:bookmarkEnd w:id="4"/>
    </w:p>
    <w:p w14:paraId="7D62C892" w14:textId="5DD1B0BF" w:rsidR="00BA5055" w:rsidRPr="005B1E06" w:rsidRDefault="00BA505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b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Σύμφωνα με </w:t>
      </w:r>
      <w:r w:rsidR="003705A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……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η παρούσα έκθεση ελέγχου συνοδεύει τα απαραίτητα δικαιολογητικά </w:t>
      </w:r>
      <w:r w:rsidR="003705A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…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που υποβάλλει η επιχείρηση </w:t>
      </w:r>
      <w:r w:rsidR="003705AB" w:rsidRPr="005B1E06">
        <w:rPr>
          <w:rFonts w:ascii="Times New Roman" w:hAnsi="Times New Roman" w:cs="Times New Roman"/>
          <w:b/>
          <w:sz w:val="24"/>
          <w:szCs w:val="24"/>
        </w:rPr>
        <w:t>…….</w:t>
      </w:r>
      <w:r w:rsidR="001E226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για </w:t>
      </w:r>
      <w:r w:rsidR="003705A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τις </w:t>
      </w:r>
      <w:r w:rsidR="00D54771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χρήσεις, ………</w:t>
      </w:r>
      <w:r w:rsidR="003705AB"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στη </w:t>
      </w:r>
      <w:r w:rsidRPr="005B1E06">
        <w:rPr>
          <w:rFonts w:ascii="Times New Roman" w:hAnsi="Times New Roman" w:cs="Times New Roman"/>
          <w:b/>
          <w:sz w:val="24"/>
          <w:szCs w:val="24"/>
          <w:lang w:bidi="el-GR"/>
        </w:rPr>
        <w:t>Γενική Γραμματεία Έρευνας και Καινοτομίας του Υπουργείου Ανάπτυξης</w:t>
      </w:r>
      <w:r w:rsidRPr="005B1E06">
        <w:rPr>
          <w:rFonts w:ascii="Times New Roman" w:hAnsi="Times New Roman" w:cs="Times New Roman"/>
          <w:sz w:val="24"/>
          <w:szCs w:val="24"/>
          <w:lang w:bidi="el-GR"/>
        </w:rPr>
        <w:t xml:space="preserve"> </w:t>
      </w:r>
      <w:r w:rsidRPr="005B1E06">
        <w:rPr>
          <w:rFonts w:ascii="Times New Roman" w:hAnsi="Times New Roman" w:cs="Times New Roman"/>
          <w:b/>
          <w:sz w:val="24"/>
          <w:szCs w:val="24"/>
          <w:lang w:bidi="el-GR"/>
        </w:rPr>
        <w:t>και Επενδύσεων.</w:t>
      </w:r>
    </w:p>
    <w:p w14:paraId="51B591B5" w14:textId="77777777" w:rsidR="00BA5055" w:rsidRPr="005B1E06" w:rsidRDefault="00BA505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A3B295" w14:textId="77777777" w:rsidR="00BA5055" w:rsidRPr="005B1E06" w:rsidRDefault="00BA5055" w:rsidP="00BA5055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bidi="el-GR"/>
        </w:rPr>
      </w:pP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>Συνεπώς με την έκθεσή μας δεν εκφέρουμε άποψη εάν και κατά πόσο θα υπάρξουν οι σχετικές εγκρίσεις</w:t>
      </w:r>
      <w:r w:rsidRPr="005B1E06">
        <w:rPr>
          <w:rFonts w:ascii="Times New Roman" w:hAnsi="Times New Roman" w:cs="Times New Roman"/>
          <w:sz w:val="24"/>
          <w:szCs w:val="24"/>
        </w:rPr>
        <w:t xml:space="preserve"> </w:t>
      </w:r>
      <w:r w:rsidRPr="005B1E06">
        <w:rPr>
          <w:rFonts w:ascii="Times New Roman" w:hAnsi="Times New Roman" w:cs="Times New Roman"/>
          <w:color w:val="000000"/>
          <w:sz w:val="24"/>
          <w:szCs w:val="24"/>
          <w:lang w:bidi="el-GR"/>
        </w:rPr>
        <w:t xml:space="preserve">ή και πρόσθετες απαιτήσεις από τη </w:t>
      </w:r>
      <w:r w:rsidRPr="005B1E06">
        <w:rPr>
          <w:rFonts w:ascii="Times New Roman" w:hAnsi="Times New Roman" w:cs="Times New Roman"/>
          <w:b/>
          <w:sz w:val="24"/>
          <w:szCs w:val="24"/>
          <w:lang w:bidi="el-GR"/>
        </w:rPr>
        <w:t>Γενική Γραμματεία Έρευνας και Καινοτομίας του Υπουργείου Ανάπτυξης και Επενδύσεω</w:t>
      </w:r>
      <w:r w:rsidRPr="005B1E06">
        <w:rPr>
          <w:rFonts w:ascii="Times New Roman" w:hAnsi="Times New Roman" w:cs="Times New Roman"/>
          <w:sz w:val="24"/>
          <w:szCs w:val="24"/>
          <w:lang w:bidi="el-GR"/>
        </w:rPr>
        <w:t>ν.</w:t>
      </w:r>
    </w:p>
    <w:p w14:paraId="4C06D233" w14:textId="77777777" w:rsidR="00BA5055" w:rsidRPr="005B1E06" w:rsidRDefault="00BA5055" w:rsidP="00BA50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E7D13D5" w14:textId="77777777" w:rsidR="00745509" w:rsidRPr="005B1E06" w:rsidRDefault="00745509" w:rsidP="00745509">
      <w:pPr>
        <w:rPr>
          <w:rFonts w:ascii="Times New Roman" w:hAnsi="Times New Roman"/>
          <w:sz w:val="22"/>
          <w:szCs w:val="22"/>
        </w:rPr>
      </w:pPr>
      <w:r w:rsidRPr="005B1E06">
        <w:rPr>
          <w:rFonts w:ascii="Times New Roman" w:hAnsi="Times New Roman"/>
          <w:sz w:val="22"/>
          <w:szCs w:val="22"/>
        </w:rPr>
        <w:t xml:space="preserve">Αθήνα, ..………. </w:t>
      </w:r>
    </w:p>
    <w:p w14:paraId="2F6EA0C1" w14:textId="77777777" w:rsidR="00745509" w:rsidRPr="005B1E06" w:rsidRDefault="00745509" w:rsidP="00745509">
      <w:pPr>
        <w:rPr>
          <w:rFonts w:ascii="Times New Roman" w:hAnsi="Times New Roman"/>
          <w:sz w:val="22"/>
          <w:szCs w:val="22"/>
        </w:rPr>
      </w:pPr>
    </w:p>
    <w:p w14:paraId="4219E5CD" w14:textId="77777777" w:rsidR="00325D8C" w:rsidRPr="005B1E06" w:rsidRDefault="00745509" w:rsidP="00745509">
      <w:pPr>
        <w:rPr>
          <w:rFonts w:ascii="Times New Roman" w:hAnsi="Times New Roman"/>
          <w:sz w:val="22"/>
          <w:szCs w:val="22"/>
        </w:rPr>
      </w:pPr>
      <w:r w:rsidRPr="005B1E06">
        <w:rPr>
          <w:rFonts w:ascii="Times New Roman" w:hAnsi="Times New Roman"/>
          <w:sz w:val="22"/>
          <w:szCs w:val="22"/>
        </w:rPr>
        <w:t>Ο Ορκωτός Ελεγκτής Λογιστής</w:t>
      </w:r>
    </w:p>
    <w:p w14:paraId="7691D391" w14:textId="77777777" w:rsidR="00745509" w:rsidRPr="005B1E06" w:rsidRDefault="00745509" w:rsidP="00745509">
      <w:pPr>
        <w:rPr>
          <w:rFonts w:ascii="Times New Roman" w:hAnsi="Times New Roman"/>
          <w:sz w:val="22"/>
          <w:szCs w:val="22"/>
        </w:rPr>
      </w:pPr>
    </w:p>
    <w:p w14:paraId="536E69AB" w14:textId="77777777" w:rsidR="00745509" w:rsidRPr="005B1E06" w:rsidRDefault="00745509" w:rsidP="00745509">
      <w:pPr>
        <w:rPr>
          <w:rFonts w:ascii="Times New Roman" w:hAnsi="Times New Roman"/>
          <w:sz w:val="22"/>
          <w:szCs w:val="22"/>
        </w:rPr>
      </w:pPr>
      <w:r w:rsidRPr="005B1E06">
        <w:rPr>
          <w:rFonts w:ascii="Times New Roman" w:hAnsi="Times New Roman"/>
          <w:sz w:val="22"/>
          <w:szCs w:val="22"/>
        </w:rPr>
        <w:t>……………………</w:t>
      </w:r>
    </w:p>
    <w:p w14:paraId="4DD8B909" w14:textId="77777777" w:rsidR="00745509" w:rsidRPr="005B1E06" w:rsidRDefault="00745509" w:rsidP="00745509">
      <w:pPr>
        <w:rPr>
          <w:rFonts w:ascii="Times New Roman" w:hAnsi="Times New Roman"/>
          <w:sz w:val="22"/>
          <w:szCs w:val="22"/>
        </w:rPr>
      </w:pPr>
      <w:r w:rsidRPr="005B1E06">
        <w:rPr>
          <w:rFonts w:ascii="Times New Roman" w:hAnsi="Times New Roman"/>
          <w:sz w:val="22"/>
          <w:szCs w:val="22"/>
        </w:rPr>
        <w:t xml:space="preserve">Ελεγκτική Εταιρεία ΧΧΧΧ </w:t>
      </w:r>
    </w:p>
    <w:p w14:paraId="6FDABA30" w14:textId="77777777" w:rsidR="0039042A" w:rsidRPr="005B1E06" w:rsidRDefault="0039042A" w:rsidP="0039042A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</w:p>
    <w:p w14:paraId="2F3F2AB7" w14:textId="77777777" w:rsidR="008A08CA" w:rsidRPr="005B1E06" w:rsidRDefault="008A08CA" w:rsidP="0039042A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</w:p>
    <w:p w14:paraId="012920F4" w14:textId="77777777" w:rsidR="008A08CA" w:rsidRPr="005B1E06" w:rsidRDefault="008A08CA" w:rsidP="0039042A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</w:p>
    <w:p w14:paraId="3525A405" w14:textId="2556773D" w:rsidR="0039042A" w:rsidRPr="005B1E06" w:rsidRDefault="007A6E2E" w:rsidP="0039042A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5B1E06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Συνημμένα: </w:t>
      </w:r>
    </w:p>
    <w:p w14:paraId="001232E8" w14:textId="65434FDF" w:rsidR="007A6E2E" w:rsidRPr="005B1E06" w:rsidRDefault="007A6E2E" w:rsidP="00112F9E">
      <w:pPr>
        <w:pStyle w:val="Bodytext20"/>
        <w:shd w:val="clear" w:color="auto" w:fill="auto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- Πίνακας αριθμοδεικτών </w:t>
      </w:r>
      <w:r w:rsidR="00112F9E"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ώστε να αξιολογηθεί εάν μία επιχείρηση είναι προβληματική σύμφωνα με τα οριζόμενα στο άρθρο 2 σημείο 18 του Καν. 651/2014 και στην παράγραφο 4γ του άρθρου 1 του τροποποιημένου Κανονισμού (ΕΕ) 2021/1237), όπως αυτά αναφέρονται </w:t>
      </w:r>
      <w:r w:rsidR="00006AD9"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στο </w:t>
      </w:r>
      <w:r w:rsidR="00112F9E"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Παρ</w:t>
      </w:r>
      <w:r w:rsidR="00006AD9"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άρτημα</w:t>
      </w:r>
      <w:r w:rsidR="00112F9E"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V</w:t>
      </w:r>
      <w:r w:rsidR="00006AD9"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Ι</w:t>
      </w:r>
      <w:r w:rsidR="00112F9E"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της Αναλυτικής Πρόσκλησης και πρέπει να προσκομισθούν, ανάλογα με τα επιμέρους χαρακτηριστικά της επιχείρησης και τα έτη λειτουργίας της.</w:t>
      </w:r>
    </w:p>
    <w:p w14:paraId="55378EA6" w14:textId="77777777" w:rsidR="007A6E2E" w:rsidRPr="005B1E06" w:rsidRDefault="007A6E2E" w:rsidP="00112F9E">
      <w:pPr>
        <w:pStyle w:val="Bodytext20"/>
        <w:shd w:val="clear" w:color="auto" w:fill="auto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- Πίνακας </w:t>
      </w:r>
      <w:r w:rsidR="00DC4C2A"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προσδιορισμού</w:t>
      </w:r>
      <w:r w:rsidRPr="005B1E0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μεγέθους επιχείρησης  </w:t>
      </w:r>
    </w:p>
    <w:p w14:paraId="4F686221" w14:textId="77777777" w:rsidR="007A6E2E" w:rsidRPr="005B1E06" w:rsidRDefault="007A6E2E" w:rsidP="0039042A">
      <w:pPr>
        <w:pStyle w:val="Bodytext20"/>
        <w:shd w:val="clear" w:color="auto" w:fill="auto"/>
        <w:spacing w:line="276" w:lineRule="auto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</w:p>
    <w:p w14:paraId="47060985" w14:textId="54A091E9" w:rsidR="00DC4C2A" w:rsidRPr="005B1E06" w:rsidRDefault="00DC4C2A" w:rsidP="0039042A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</w:p>
    <w:p w14:paraId="3E9C54A0" w14:textId="77777777" w:rsidR="00006AD9" w:rsidRPr="005B1E06" w:rsidRDefault="00006AD9" w:rsidP="00006AD9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556"/>
        <w:gridCol w:w="3305"/>
      </w:tblGrid>
      <w:tr w:rsidR="00006AD9" w:rsidRPr="005B1E06" w14:paraId="2C28219B" w14:textId="77777777" w:rsidTr="004A4386">
        <w:tc>
          <w:tcPr>
            <w:tcW w:w="9209" w:type="dxa"/>
            <w:gridSpan w:val="3"/>
          </w:tcPr>
          <w:p w14:paraId="0E674E00" w14:textId="77777777" w:rsidR="00006AD9" w:rsidRPr="005B1E06" w:rsidRDefault="00006AD9" w:rsidP="004A438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Πίνακας προσδιορισμού μεγέθους επιχείρησης  </w:t>
            </w:r>
          </w:p>
        </w:tc>
      </w:tr>
      <w:tr w:rsidR="00006AD9" w:rsidRPr="005B1E06" w14:paraId="27E79C47" w14:textId="77777777" w:rsidTr="004A4386">
        <w:tc>
          <w:tcPr>
            <w:tcW w:w="9209" w:type="dxa"/>
            <w:gridSpan w:val="3"/>
          </w:tcPr>
          <w:p w14:paraId="1A9DF55A" w14:textId="77777777" w:rsidR="00006AD9" w:rsidRPr="005B1E06" w:rsidRDefault="00006AD9" w:rsidP="004A438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sz w:val="22"/>
                <w:szCs w:val="22"/>
              </w:rPr>
              <w:t>Περίοδος αναφοράς (*):</w:t>
            </w:r>
          </w:p>
          <w:p w14:paraId="38DA4075" w14:textId="77777777" w:rsidR="00006AD9" w:rsidRPr="005B1E06" w:rsidRDefault="00006AD9" w:rsidP="004A438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6AD9" w:rsidRPr="005B1E06" w14:paraId="317AB534" w14:textId="77777777" w:rsidTr="004A4386">
        <w:tc>
          <w:tcPr>
            <w:tcW w:w="3348" w:type="dxa"/>
          </w:tcPr>
          <w:p w14:paraId="7B63061D" w14:textId="77777777" w:rsidR="00006AD9" w:rsidRPr="005B1E06" w:rsidRDefault="00006AD9" w:rsidP="004A4386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sz w:val="22"/>
                <w:szCs w:val="22"/>
              </w:rPr>
              <w:t>Αριθμός απασχολουμένων (ΕΜΕ)</w:t>
            </w:r>
          </w:p>
          <w:p w14:paraId="20EE7AD3" w14:textId="77777777" w:rsidR="00006AD9" w:rsidRPr="005B1E06" w:rsidRDefault="00006AD9" w:rsidP="004A4386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</w:tcPr>
          <w:p w14:paraId="77EAC6E4" w14:textId="77777777" w:rsidR="00006AD9" w:rsidRPr="005B1E06" w:rsidRDefault="00006AD9" w:rsidP="004A4386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sz w:val="22"/>
                <w:szCs w:val="22"/>
              </w:rPr>
              <w:t xml:space="preserve">Κύκλος εργασιών </w:t>
            </w:r>
          </w:p>
        </w:tc>
        <w:tc>
          <w:tcPr>
            <w:tcW w:w="3305" w:type="dxa"/>
          </w:tcPr>
          <w:p w14:paraId="04DD1BA8" w14:textId="77777777" w:rsidR="00006AD9" w:rsidRPr="005B1E06" w:rsidRDefault="00006AD9" w:rsidP="004A4386">
            <w:pPr>
              <w:spacing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sz w:val="22"/>
                <w:szCs w:val="22"/>
              </w:rPr>
              <w:t xml:space="preserve">Σύνολο ισολογισμού </w:t>
            </w:r>
          </w:p>
        </w:tc>
      </w:tr>
      <w:tr w:rsidR="00006AD9" w:rsidRPr="005B1E06" w14:paraId="0F8BC540" w14:textId="77777777" w:rsidTr="004A4386">
        <w:tc>
          <w:tcPr>
            <w:tcW w:w="3348" w:type="dxa"/>
          </w:tcPr>
          <w:p w14:paraId="4B865612" w14:textId="77777777" w:rsidR="00006AD9" w:rsidRPr="005B1E06" w:rsidRDefault="00006AD9" w:rsidP="004A438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  <w:p w14:paraId="7BA0C3A2" w14:textId="77777777" w:rsidR="00006AD9" w:rsidRPr="005B1E06" w:rsidRDefault="00006AD9" w:rsidP="004A438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6" w:type="dxa"/>
          </w:tcPr>
          <w:p w14:paraId="617E088C" w14:textId="77777777" w:rsidR="00006AD9" w:rsidRPr="005B1E06" w:rsidRDefault="00006AD9" w:rsidP="004A438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5" w:type="dxa"/>
          </w:tcPr>
          <w:p w14:paraId="3B1AD5E0" w14:textId="77777777" w:rsidR="00006AD9" w:rsidRPr="005B1E06" w:rsidRDefault="00006AD9" w:rsidP="004A438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01AD7AF" w14:textId="77777777" w:rsidR="00006AD9" w:rsidRPr="005B1E06" w:rsidRDefault="00006AD9" w:rsidP="00006AD9">
      <w:pPr>
        <w:pStyle w:val="Bodytext20"/>
        <w:shd w:val="clear" w:color="auto" w:fill="auto"/>
        <w:tabs>
          <w:tab w:val="left" w:leader="dot" w:pos="828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1E06">
        <w:rPr>
          <w:rFonts w:ascii="Times New Roman" w:hAnsi="Times New Roman" w:cs="Times New Roman"/>
          <w:sz w:val="20"/>
          <w:szCs w:val="20"/>
        </w:rPr>
        <w:t>*Όλα τα στοιχεία αφορούν την τελευταία κλεισμένη διαχειριστική χρήση και να υπολογίζονται σε ετήσια βάση.</w:t>
      </w:r>
    </w:p>
    <w:p w14:paraId="20D1073A" w14:textId="77777777" w:rsidR="00006AD9" w:rsidRPr="005B1E06" w:rsidRDefault="00006AD9" w:rsidP="00006AD9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0A70F6" w14:textId="77777777" w:rsidR="00006AD9" w:rsidRPr="005B1E06" w:rsidRDefault="00006AD9" w:rsidP="0039042A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</w:p>
    <w:tbl>
      <w:tblPr>
        <w:tblW w:w="9214" w:type="dxa"/>
        <w:tblInd w:w="-15" w:type="dxa"/>
        <w:tblLook w:val="04A0" w:firstRow="1" w:lastRow="0" w:firstColumn="1" w:lastColumn="0" w:noHBand="0" w:noVBand="1"/>
      </w:tblPr>
      <w:tblGrid>
        <w:gridCol w:w="6122"/>
        <w:gridCol w:w="341"/>
        <w:gridCol w:w="1369"/>
        <w:gridCol w:w="341"/>
        <w:gridCol w:w="1071"/>
      </w:tblGrid>
      <w:tr w:rsidR="00DC4C2A" w:rsidRPr="005B1E06" w14:paraId="45DC28DF" w14:textId="77777777" w:rsidTr="008A08CA">
        <w:trPr>
          <w:trHeight w:val="253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A81FE3" w14:textId="44B57FC3" w:rsidR="00DC4C2A" w:rsidRPr="005B1E06" w:rsidRDefault="00DC4C2A" w:rsidP="00DC4C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Πίνακας αριθμοδεικτών προσδιορισμού επιχείρησης </w:t>
            </w:r>
            <w:r w:rsidR="00112F9E" w:rsidRPr="005B1E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ως προβληματικής</w:t>
            </w:r>
          </w:p>
        </w:tc>
      </w:tr>
      <w:tr w:rsidR="00DC4C2A" w:rsidRPr="005B1E06" w14:paraId="78A6D9A5" w14:textId="77777777" w:rsidTr="008A08CA">
        <w:trPr>
          <w:trHeight w:val="477"/>
        </w:trPr>
        <w:tc>
          <w:tcPr>
            <w:tcW w:w="61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D1F3" w14:textId="071382C2" w:rsidR="00DC4C2A" w:rsidRPr="005B1E06" w:rsidRDefault="00DC4C2A" w:rsidP="00DC4C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Δείκτης </w:t>
            </w:r>
            <w:r w:rsidR="00006AD9" w:rsidRPr="005B1E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1013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E4769B" w14:textId="05999A51" w:rsidR="00DC4C2A" w:rsidRPr="005B1E06" w:rsidRDefault="00DC4C2A" w:rsidP="00DC4C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Χρήση </w:t>
            </w:r>
          </w:p>
        </w:tc>
      </w:tr>
      <w:tr w:rsidR="00DC4C2A" w:rsidRPr="005B1E06" w14:paraId="7DBCF2D1" w14:textId="77777777" w:rsidTr="008A08CA">
        <w:trPr>
          <w:trHeight w:val="233"/>
        </w:trPr>
        <w:tc>
          <w:tcPr>
            <w:tcW w:w="61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EE2F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  <w:t>Ίδια κεφάλαια</w:t>
            </w:r>
          </w:p>
          <w:p w14:paraId="33F877C4" w14:textId="648B59B6" w:rsidR="002450D4" w:rsidRPr="005B1E06" w:rsidRDefault="002450D4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>Μετοχικό Κεφάλαιο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7889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 =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125A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  <w:t>XX</w:t>
            </w:r>
          </w:p>
          <w:p w14:paraId="457813E9" w14:textId="1FE037D6" w:rsidR="002450D4" w:rsidRPr="005B1E06" w:rsidRDefault="002450D4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en-US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  <w:lang w:val="en-US"/>
              </w:rPr>
              <w:t>XX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99F4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 =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EE3FA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>XX</w:t>
            </w:r>
          </w:p>
        </w:tc>
      </w:tr>
      <w:tr w:rsidR="00DC4C2A" w:rsidRPr="005B1E06" w14:paraId="0E365F6D" w14:textId="77777777" w:rsidTr="008A08CA">
        <w:trPr>
          <w:trHeight w:val="233"/>
        </w:trPr>
        <w:tc>
          <w:tcPr>
            <w:tcW w:w="61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CC1C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4648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897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29ED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65778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06AD9" w:rsidRPr="005B1E06" w14:paraId="14001417" w14:textId="77777777" w:rsidTr="004A4386">
        <w:trPr>
          <w:trHeight w:val="477"/>
        </w:trPr>
        <w:tc>
          <w:tcPr>
            <w:tcW w:w="61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8793" w14:textId="232E0E59" w:rsidR="00006AD9" w:rsidRPr="005B1E06" w:rsidRDefault="00006AD9" w:rsidP="004A4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Δείκτης 2 &amp; 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10E3" w14:textId="77777777" w:rsidR="00006AD9" w:rsidRPr="005B1E06" w:rsidRDefault="00006AD9" w:rsidP="004A4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EF78F5" w14:textId="77777777" w:rsidR="00006AD9" w:rsidRPr="005B1E06" w:rsidRDefault="00006AD9" w:rsidP="004A4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Χρήση </w:t>
            </w:r>
          </w:p>
        </w:tc>
      </w:tr>
      <w:tr w:rsidR="00006AD9" w:rsidRPr="005B1E06" w14:paraId="25264DC1" w14:textId="77777777" w:rsidTr="008A08CA">
        <w:trPr>
          <w:trHeight w:val="233"/>
        </w:trPr>
        <w:tc>
          <w:tcPr>
            <w:tcW w:w="61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67C2" w14:textId="77777777" w:rsidR="00006AD9" w:rsidRPr="005B1E06" w:rsidRDefault="00006AD9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D390C" w14:textId="77777777" w:rsidR="00006AD9" w:rsidRPr="005B1E06" w:rsidRDefault="00006AD9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4459" w14:textId="77777777" w:rsidR="00006AD9" w:rsidRPr="005B1E06" w:rsidRDefault="00006AD9" w:rsidP="00DC4C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4CCA5" w14:textId="77777777" w:rsidR="00006AD9" w:rsidRPr="005B1E06" w:rsidRDefault="00006AD9" w:rsidP="00DC4C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BA643" w14:textId="77777777" w:rsidR="00006AD9" w:rsidRPr="005B1E06" w:rsidRDefault="00006AD9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C4C2A" w:rsidRPr="005B1E06" w14:paraId="730939E9" w14:textId="77777777" w:rsidTr="008A08CA">
        <w:trPr>
          <w:trHeight w:val="233"/>
        </w:trPr>
        <w:tc>
          <w:tcPr>
            <w:tcW w:w="61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34E1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  <w:t xml:space="preserve">Μακροχρόνιες υποχρεώσεις + Βραχυχρόνιες υποχρεώσεις </w:t>
            </w:r>
          </w:p>
          <w:p w14:paraId="56F7A15A" w14:textId="016688C3" w:rsidR="002450D4" w:rsidRPr="005B1E06" w:rsidRDefault="002450D4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>Ίδια κεφάλαια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E1D8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 =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538F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  <w:t>XX</w:t>
            </w:r>
          </w:p>
          <w:p w14:paraId="17E607BE" w14:textId="3B264787" w:rsidR="002450D4" w:rsidRPr="005B1E06" w:rsidRDefault="002450D4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>XX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C9A1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 =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B1BDF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>XX</w:t>
            </w:r>
          </w:p>
        </w:tc>
      </w:tr>
      <w:tr w:rsidR="00DC4C2A" w:rsidRPr="005B1E06" w14:paraId="7DB613C3" w14:textId="77777777" w:rsidTr="008A08CA">
        <w:trPr>
          <w:trHeight w:val="233"/>
        </w:trPr>
        <w:tc>
          <w:tcPr>
            <w:tcW w:w="61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BF09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B223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918D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A7D6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49FDF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C4C2A" w:rsidRPr="005B1E06" w14:paraId="1DC11C77" w14:textId="77777777" w:rsidTr="008A08CA">
        <w:trPr>
          <w:trHeight w:val="233"/>
        </w:trPr>
        <w:tc>
          <w:tcPr>
            <w:tcW w:w="61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134E" w14:textId="0F49FD92" w:rsidR="00DC4C2A" w:rsidRPr="005B1E06" w:rsidRDefault="002450D4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>EBITDA [καθαρά κέρδη προ φόρων (Λογαριασμός 82.01) + Χρηματοοικονομικές υποχρεώσεις (Λογαριασμός 65 χρεωστικοί</w:t>
            </w:r>
            <w:r w:rsidRPr="005B1E06"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  <w:t xml:space="preserve"> τόκοι και συναφή έξοδα*) + Αποσβέσεις (Λογαριασμός 66)] </w:t>
            </w: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>Χρηματοοικονομικές υποχρεώσεις (Λογ.65 χρεωστικοί τόκοι &amp; συναφή έξοδα)</w:t>
            </w:r>
            <w:r w:rsidR="00DC4C2A" w:rsidRPr="005B1E06"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6DBB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 =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06A0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  <w:u w:val="single"/>
              </w:rPr>
              <w:t>XX</w:t>
            </w:r>
          </w:p>
          <w:p w14:paraId="3DF462F8" w14:textId="29F2E4B2" w:rsidR="002450D4" w:rsidRPr="005B1E06" w:rsidRDefault="002450D4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en-US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  <w:lang w:val="en-US"/>
              </w:rPr>
              <w:t>XX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9B3C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 xml:space="preserve"> =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13028" w14:textId="77777777" w:rsidR="00DC4C2A" w:rsidRPr="005B1E06" w:rsidRDefault="00DC4C2A" w:rsidP="00DC4C2A">
            <w:pPr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2060"/>
                <w:sz w:val="22"/>
                <w:szCs w:val="22"/>
              </w:rPr>
              <w:t>XX</w:t>
            </w:r>
          </w:p>
        </w:tc>
      </w:tr>
      <w:tr w:rsidR="00DC4C2A" w:rsidRPr="005B1E06" w14:paraId="072D96D1" w14:textId="77777777" w:rsidTr="008A08CA">
        <w:trPr>
          <w:trHeight w:val="243"/>
        </w:trPr>
        <w:tc>
          <w:tcPr>
            <w:tcW w:w="6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50326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BAD9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DBFD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6BD9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45640" w14:textId="77777777" w:rsidR="00DC4C2A" w:rsidRPr="005B1E06" w:rsidRDefault="00DC4C2A" w:rsidP="00DC4C2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1E0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AFF80ED" w14:textId="77777777" w:rsidR="0039042A" w:rsidRPr="005B1E06" w:rsidRDefault="0039042A" w:rsidP="0039042A">
      <w:pPr>
        <w:pStyle w:val="Bodytext20"/>
        <w:shd w:val="clear" w:color="auto" w:fill="auto"/>
        <w:tabs>
          <w:tab w:val="left" w:leader="dot" w:pos="8284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bidi="el-GR"/>
        </w:rPr>
      </w:pPr>
    </w:p>
    <w:sectPr w:rsidR="0039042A" w:rsidRPr="005B1E06" w:rsidSect="00112F9E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0007C" w14:textId="77777777" w:rsidR="000C2DAF" w:rsidRDefault="000C2DAF" w:rsidP="001E226B">
      <w:r>
        <w:separator/>
      </w:r>
    </w:p>
  </w:endnote>
  <w:endnote w:type="continuationSeparator" w:id="0">
    <w:p w14:paraId="3E1C4072" w14:textId="77777777" w:rsidR="000C2DAF" w:rsidRDefault="000C2DAF" w:rsidP="001E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937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CB448" w14:textId="2C66913E" w:rsidR="005B1E06" w:rsidRDefault="005B1E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B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73D3F0" w14:textId="5D468EE8" w:rsidR="005B1E06" w:rsidRPr="00940BEA" w:rsidRDefault="00940BEA">
    <w:pPr>
      <w:pStyle w:val="Footer"/>
      <w:rPr>
        <w:lang w:val="en-US"/>
      </w:rPr>
    </w:pPr>
    <w:r>
      <w:rPr>
        <w:b/>
        <w:bCs/>
        <w:iCs/>
        <w:noProof/>
        <w:sz w:val="24"/>
        <w:szCs w:val="24"/>
      </w:rPr>
      <w:drawing>
        <wp:inline distT="0" distB="0" distL="0" distR="0" wp14:anchorId="24FB3FA4" wp14:editId="55C5430B">
          <wp:extent cx="1536421" cy="5588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5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 w:eastAsia="en-US"/>
      </w:rPr>
      <w:drawing>
        <wp:inline distT="0" distB="0" distL="0" distR="0" wp14:anchorId="10B8EFD6" wp14:editId="49B4CEDA">
          <wp:extent cx="1708150" cy="53975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188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2FB39" w14:textId="42DC2D2A" w:rsidR="00940BEA" w:rsidRDefault="00940BEA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b/>
        <w:bCs/>
        <w:iCs/>
        <w:noProof/>
        <w:sz w:val="24"/>
        <w:szCs w:val="24"/>
      </w:rPr>
      <w:drawing>
        <wp:inline distT="0" distB="0" distL="0" distR="0" wp14:anchorId="68A0AA67" wp14:editId="76B6282D">
          <wp:extent cx="1536421" cy="558800"/>
          <wp:effectExtent l="0" t="0" r="698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5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lang w:val="en-US"/>
      </w:rPr>
      <w:tab/>
      <w:t>1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5F692E">
      <w:rPr>
        <w:rFonts w:ascii="Calibri" w:eastAsia="Calibri" w:hAnsi="Calibri"/>
        <w:b/>
        <w:bCs/>
        <w:iCs/>
        <w:noProof/>
        <w:sz w:val="24"/>
        <w:szCs w:val="24"/>
      </w:rPr>
      <w:drawing>
        <wp:inline distT="0" distB="0" distL="0" distR="0" wp14:anchorId="291ECC93" wp14:editId="1D9AE68A">
          <wp:extent cx="1935480" cy="53975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t xml:space="preserve"> </w:t>
    </w:r>
  </w:p>
  <w:p w14:paraId="0BBCC621" w14:textId="77777777" w:rsidR="00940BEA" w:rsidRDefault="00940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20591" w14:textId="77777777" w:rsidR="000C2DAF" w:rsidRDefault="000C2DAF" w:rsidP="001E226B">
      <w:r>
        <w:separator/>
      </w:r>
    </w:p>
  </w:footnote>
  <w:footnote w:type="continuationSeparator" w:id="0">
    <w:p w14:paraId="7B706EE4" w14:textId="77777777" w:rsidR="000C2DAF" w:rsidRDefault="000C2DAF" w:rsidP="001E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A64"/>
    <w:multiLevelType w:val="hybridMultilevel"/>
    <w:tmpl w:val="EDD4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87"/>
    <w:rsid w:val="00006AD9"/>
    <w:rsid w:val="00012EBD"/>
    <w:rsid w:val="000229E4"/>
    <w:rsid w:val="00027CC3"/>
    <w:rsid w:val="00032F9F"/>
    <w:rsid w:val="000C2DAF"/>
    <w:rsid w:val="000D1487"/>
    <w:rsid w:val="000D57FD"/>
    <w:rsid w:val="0010786B"/>
    <w:rsid w:val="00112F9E"/>
    <w:rsid w:val="00123F1B"/>
    <w:rsid w:val="00151531"/>
    <w:rsid w:val="001E226B"/>
    <w:rsid w:val="0023313E"/>
    <w:rsid w:val="00243E40"/>
    <w:rsid w:val="002450D4"/>
    <w:rsid w:val="002A6D6A"/>
    <w:rsid w:val="00325D8C"/>
    <w:rsid w:val="00367AF8"/>
    <w:rsid w:val="003705AB"/>
    <w:rsid w:val="003811FB"/>
    <w:rsid w:val="0039042A"/>
    <w:rsid w:val="003974EE"/>
    <w:rsid w:val="003A7527"/>
    <w:rsid w:val="004233F3"/>
    <w:rsid w:val="00476AF5"/>
    <w:rsid w:val="00540620"/>
    <w:rsid w:val="005B1E06"/>
    <w:rsid w:val="00682B30"/>
    <w:rsid w:val="006D1D6E"/>
    <w:rsid w:val="00723E31"/>
    <w:rsid w:val="0073592B"/>
    <w:rsid w:val="007372FB"/>
    <w:rsid w:val="00745509"/>
    <w:rsid w:val="007508D7"/>
    <w:rsid w:val="00792897"/>
    <w:rsid w:val="007A6E2E"/>
    <w:rsid w:val="007C7287"/>
    <w:rsid w:val="00833DE5"/>
    <w:rsid w:val="00854FB8"/>
    <w:rsid w:val="008765BB"/>
    <w:rsid w:val="00893CA6"/>
    <w:rsid w:val="008A08CA"/>
    <w:rsid w:val="00940BEA"/>
    <w:rsid w:val="009A0F26"/>
    <w:rsid w:val="00A93EEF"/>
    <w:rsid w:val="00AA6194"/>
    <w:rsid w:val="00AB6287"/>
    <w:rsid w:val="00B244CC"/>
    <w:rsid w:val="00B65824"/>
    <w:rsid w:val="00B7670D"/>
    <w:rsid w:val="00BA5055"/>
    <w:rsid w:val="00BE1627"/>
    <w:rsid w:val="00C043AD"/>
    <w:rsid w:val="00C36243"/>
    <w:rsid w:val="00C424FC"/>
    <w:rsid w:val="00C5231C"/>
    <w:rsid w:val="00CA2695"/>
    <w:rsid w:val="00CD4BBE"/>
    <w:rsid w:val="00D37BDC"/>
    <w:rsid w:val="00D51626"/>
    <w:rsid w:val="00D54771"/>
    <w:rsid w:val="00D64C5F"/>
    <w:rsid w:val="00DC4C2A"/>
    <w:rsid w:val="00DC6266"/>
    <w:rsid w:val="00DC6EE2"/>
    <w:rsid w:val="00E33BE4"/>
    <w:rsid w:val="00E92EF0"/>
    <w:rsid w:val="00EC0F6B"/>
    <w:rsid w:val="00F1061A"/>
    <w:rsid w:val="00F30898"/>
    <w:rsid w:val="00F327A9"/>
    <w:rsid w:val="00F805B9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AC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5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BA5055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BA5055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A5055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20">
    <w:name w:val="Body text (2)"/>
    <w:basedOn w:val="Normal"/>
    <w:link w:val="Bodytext2"/>
    <w:rsid w:val="00BA5055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6B"/>
    <w:rPr>
      <w:rFonts w:ascii="Arial" w:eastAsia="Times New Roman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1E22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26B"/>
    <w:rPr>
      <w:rFonts w:ascii="Arial" w:eastAsia="Times New Roman" w:hAnsi="Arial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8C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a">
    <w:name w:val="ΥΠΗΡΕΣΙΕΣ"/>
    <w:qFormat/>
    <w:rsid w:val="00E92EF0"/>
    <w:pPr>
      <w:tabs>
        <w:tab w:val="left" w:pos="490"/>
        <w:tab w:val="left" w:pos="2184"/>
        <w:tab w:val="left" w:pos="2590"/>
      </w:tabs>
      <w:spacing w:after="0" w:line="240" w:lineRule="auto"/>
    </w:pPr>
    <w:rPr>
      <w:rFonts w:ascii="Arial" w:eastAsia="Times New Roman" w:hAnsi="Arial" w:cs="Arial"/>
      <w:b/>
      <w:color w:val="002D62"/>
      <w:sz w:val="16"/>
      <w:szCs w:val="16"/>
      <w:lang w:eastAsia="el-GR"/>
    </w:rPr>
  </w:style>
  <w:style w:type="paragraph" w:customStyle="1" w:styleId="1">
    <w:name w:val="ΔΙΕΥΘΥΝΣΗ1"/>
    <w:qFormat/>
    <w:rsid w:val="00E92EF0"/>
    <w:pPr>
      <w:tabs>
        <w:tab w:val="left" w:pos="490"/>
        <w:tab w:val="left" w:pos="2184"/>
        <w:tab w:val="left" w:pos="2590"/>
      </w:tabs>
      <w:spacing w:before="60" w:after="0" w:line="240" w:lineRule="auto"/>
    </w:pPr>
    <w:rPr>
      <w:rFonts w:ascii="Arial" w:eastAsia="Times New Roman" w:hAnsi="Arial" w:cs="Arial"/>
      <w:color w:val="002D62"/>
      <w:sz w:val="16"/>
      <w:szCs w:val="16"/>
      <w:lang w:eastAsia="el-GR"/>
    </w:rPr>
  </w:style>
  <w:style w:type="paragraph" w:customStyle="1" w:styleId="2">
    <w:name w:val="ΔΙΕΥΘΥΝΣΗ2"/>
    <w:qFormat/>
    <w:rsid w:val="00E92EF0"/>
    <w:pPr>
      <w:tabs>
        <w:tab w:val="left" w:pos="490"/>
        <w:tab w:val="left" w:pos="2184"/>
        <w:tab w:val="left" w:pos="2590"/>
      </w:tabs>
      <w:spacing w:after="0" w:line="240" w:lineRule="auto"/>
    </w:pPr>
    <w:rPr>
      <w:rFonts w:ascii="Arial" w:eastAsia="Times New Roman" w:hAnsi="Arial" w:cs="Arial"/>
      <w:color w:val="002D62"/>
      <w:sz w:val="16"/>
      <w:szCs w:val="16"/>
      <w:lang w:eastAsia="el-GR"/>
    </w:rPr>
  </w:style>
  <w:style w:type="paragraph" w:customStyle="1" w:styleId="MAIN">
    <w:name w:val="MAIN"/>
    <w:qFormat/>
    <w:rsid w:val="00E92EF0"/>
    <w:pPr>
      <w:tabs>
        <w:tab w:val="left" w:pos="406"/>
        <w:tab w:val="right" w:pos="1701"/>
        <w:tab w:val="left" w:pos="2184"/>
        <w:tab w:val="left" w:pos="2590"/>
        <w:tab w:val="left" w:pos="2786"/>
        <w:tab w:val="right" w:pos="3738"/>
      </w:tabs>
      <w:spacing w:before="60" w:after="0" w:line="240" w:lineRule="auto"/>
    </w:pPr>
    <w:rPr>
      <w:rFonts w:ascii="Arial" w:eastAsia="Times New Roman" w:hAnsi="Arial" w:cs="Arial"/>
      <w:color w:val="002D62"/>
      <w:sz w:val="16"/>
      <w:szCs w:val="16"/>
      <w:lang w:val="en-US" w:eastAsia="el-GR"/>
    </w:rPr>
  </w:style>
  <w:style w:type="paragraph" w:customStyle="1" w:styleId="FAX">
    <w:name w:val="FAX"/>
    <w:qFormat/>
    <w:rsid w:val="00E92EF0"/>
    <w:pPr>
      <w:tabs>
        <w:tab w:val="left" w:pos="406"/>
        <w:tab w:val="right" w:pos="1701"/>
        <w:tab w:val="left" w:pos="2184"/>
        <w:tab w:val="left" w:pos="2590"/>
        <w:tab w:val="left" w:pos="2786"/>
        <w:tab w:val="right" w:pos="3738"/>
      </w:tabs>
      <w:spacing w:after="0" w:line="240" w:lineRule="auto"/>
    </w:pPr>
    <w:rPr>
      <w:rFonts w:ascii="Arial" w:eastAsia="Times New Roman" w:hAnsi="Arial" w:cs="Arial"/>
      <w:color w:val="002D62"/>
      <w:sz w:val="16"/>
      <w:szCs w:val="16"/>
      <w:lang w:val="en-US" w:eastAsia="el-GR"/>
    </w:rPr>
  </w:style>
  <w:style w:type="paragraph" w:customStyle="1" w:styleId="WWW">
    <w:name w:val="WWW"/>
    <w:qFormat/>
    <w:rsid w:val="00E92EF0"/>
    <w:pPr>
      <w:tabs>
        <w:tab w:val="left" w:pos="490"/>
        <w:tab w:val="right" w:pos="1701"/>
        <w:tab w:val="left" w:pos="2184"/>
        <w:tab w:val="left" w:pos="2590"/>
        <w:tab w:val="right" w:pos="3738"/>
      </w:tabs>
      <w:spacing w:after="0" w:line="240" w:lineRule="auto"/>
    </w:pPr>
    <w:rPr>
      <w:rFonts w:ascii="Arial" w:eastAsia="Times New Roman" w:hAnsi="Arial" w:cs="Arial"/>
      <w:color w:val="002D62"/>
      <w:sz w:val="16"/>
      <w:szCs w:val="16"/>
      <w:lang w:eastAsia="el-GR"/>
    </w:rPr>
  </w:style>
  <w:style w:type="paragraph" w:styleId="ListParagraph">
    <w:name w:val="List Paragraph"/>
    <w:basedOn w:val="Normal"/>
    <w:qFormat/>
    <w:rsid w:val="000D57FD"/>
    <w:pPr>
      <w:spacing w:line="312" w:lineRule="auto"/>
      <w:ind w:left="720"/>
      <w:contextualSpacing/>
      <w:jc w:val="left"/>
    </w:pPr>
    <w:rPr>
      <w:rFonts w:ascii="Times New Roman" w:eastAsiaTheme="minorEastAsia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5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BA5055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BA5055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A5055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20">
    <w:name w:val="Body text (2)"/>
    <w:basedOn w:val="Normal"/>
    <w:link w:val="Bodytext2"/>
    <w:rsid w:val="00BA5055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6B"/>
    <w:rPr>
      <w:rFonts w:ascii="Arial" w:eastAsia="Times New Roman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1E22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26B"/>
    <w:rPr>
      <w:rFonts w:ascii="Arial" w:eastAsia="Times New Roman" w:hAnsi="Arial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8C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a">
    <w:name w:val="ΥΠΗΡΕΣΙΕΣ"/>
    <w:qFormat/>
    <w:rsid w:val="00E92EF0"/>
    <w:pPr>
      <w:tabs>
        <w:tab w:val="left" w:pos="490"/>
        <w:tab w:val="left" w:pos="2184"/>
        <w:tab w:val="left" w:pos="2590"/>
      </w:tabs>
      <w:spacing w:after="0" w:line="240" w:lineRule="auto"/>
    </w:pPr>
    <w:rPr>
      <w:rFonts w:ascii="Arial" w:eastAsia="Times New Roman" w:hAnsi="Arial" w:cs="Arial"/>
      <w:b/>
      <w:color w:val="002D62"/>
      <w:sz w:val="16"/>
      <w:szCs w:val="16"/>
      <w:lang w:eastAsia="el-GR"/>
    </w:rPr>
  </w:style>
  <w:style w:type="paragraph" w:customStyle="1" w:styleId="1">
    <w:name w:val="ΔΙΕΥΘΥΝΣΗ1"/>
    <w:qFormat/>
    <w:rsid w:val="00E92EF0"/>
    <w:pPr>
      <w:tabs>
        <w:tab w:val="left" w:pos="490"/>
        <w:tab w:val="left" w:pos="2184"/>
        <w:tab w:val="left" w:pos="2590"/>
      </w:tabs>
      <w:spacing w:before="60" w:after="0" w:line="240" w:lineRule="auto"/>
    </w:pPr>
    <w:rPr>
      <w:rFonts w:ascii="Arial" w:eastAsia="Times New Roman" w:hAnsi="Arial" w:cs="Arial"/>
      <w:color w:val="002D62"/>
      <w:sz w:val="16"/>
      <w:szCs w:val="16"/>
      <w:lang w:eastAsia="el-GR"/>
    </w:rPr>
  </w:style>
  <w:style w:type="paragraph" w:customStyle="1" w:styleId="2">
    <w:name w:val="ΔΙΕΥΘΥΝΣΗ2"/>
    <w:qFormat/>
    <w:rsid w:val="00E92EF0"/>
    <w:pPr>
      <w:tabs>
        <w:tab w:val="left" w:pos="490"/>
        <w:tab w:val="left" w:pos="2184"/>
        <w:tab w:val="left" w:pos="2590"/>
      </w:tabs>
      <w:spacing w:after="0" w:line="240" w:lineRule="auto"/>
    </w:pPr>
    <w:rPr>
      <w:rFonts w:ascii="Arial" w:eastAsia="Times New Roman" w:hAnsi="Arial" w:cs="Arial"/>
      <w:color w:val="002D62"/>
      <w:sz w:val="16"/>
      <w:szCs w:val="16"/>
      <w:lang w:eastAsia="el-GR"/>
    </w:rPr>
  </w:style>
  <w:style w:type="paragraph" w:customStyle="1" w:styleId="MAIN">
    <w:name w:val="MAIN"/>
    <w:qFormat/>
    <w:rsid w:val="00E92EF0"/>
    <w:pPr>
      <w:tabs>
        <w:tab w:val="left" w:pos="406"/>
        <w:tab w:val="right" w:pos="1701"/>
        <w:tab w:val="left" w:pos="2184"/>
        <w:tab w:val="left" w:pos="2590"/>
        <w:tab w:val="left" w:pos="2786"/>
        <w:tab w:val="right" w:pos="3738"/>
      </w:tabs>
      <w:spacing w:before="60" w:after="0" w:line="240" w:lineRule="auto"/>
    </w:pPr>
    <w:rPr>
      <w:rFonts w:ascii="Arial" w:eastAsia="Times New Roman" w:hAnsi="Arial" w:cs="Arial"/>
      <w:color w:val="002D62"/>
      <w:sz w:val="16"/>
      <w:szCs w:val="16"/>
      <w:lang w:val="en-US" w:eastAsia="el-GR"/>
    </w:rPr>
  </w:style>
  <w:style w:type="paragraph" w:customStyle="1" w:styleId="FAX">
    <w:name w:val="FAX"/>
    <w:qFormat/>
    <w:rsid w:val="00E92EF0"/>
    <w:pPr>
      <w:tabs>
        <w:tab w:val="left" w:pos="406"/>
        <w:tab w:val="right" w:pos="1701"/>
        <w:tab w:val="left" w:pos="2184"/>
        <w:tab w:val="left" w:pos="2590"/>
        <w:tab w:val="left" w:pos="2786"/>
        <w:tab w:val="right" w:pos="3738"/>
      </w:tabs>
      <w:spacing w:after="0" w:line="240" w:lineRule="auto"/>
    </w:pPr>
    <w:rPr>
      <w:rFonts w:ascii="Arial" w:eastAsia="Times New Roman" w:hAnsi="Arial" w:cs="Arial"/>
      <w:color w:val="002D62"/>
      <w:sz w:val="16"/>
      <w:szCs w:val="16"/>
      <w:lang w:val="en-US" w:eastAsia="el-GR"/>
    </w:rPr>
  </w:style>
  <w:style w:type="paragraph" w:customStyle="1" w:styleId="WWW">
    <w:name w:val="WWW"/>
    <w:qFormat/>
    <w:rsid w:val="00E92EF0"/>
    <w:pPr>
      <w:tabs>
        <w:tab w:val="left" w:pos="490"/>
        <w:tab w:val="right" w:pos="1701"/>
        <w:tab w:val="left" w:pos="2184"/>
        <w:tab w:val="left" w:pos="2590"/>
        <w:tab w:val="right" w:pos="3738"/>
      </w:tabs>
      <w:spacing w:after="0" w:line="240" w:lineRule="auto"/>
    </w:pPr>
    <w:rPr>
      <w:rFonts w:ascii="Arial" w:eastAsia="Times New Roman" w:hAnsi="Arial" w:cs="Arial"/>
      <w:color w:val="002D62"/>
      <w:sz w:val="16"/>
      <w:szCs w:val="16"/>
      <w:lang w:eastAsia="el-GR"/>
    </w:rPr>
  </w:style>
  <w:style w:type="paragraph" w:styleId="ListParagraph">
    <w:name w:val="List Paragraph"/>
    <w:basedOn w:val="Normal"/>
    <w:qFormat/>
    <w:rsid w:val="000D57FD"/>
    <w:pPr>
      <w:spacing w:line="312" w:lineRule="auto"/>
      <w:ind w:left="720"/>
      <w:contextualSpacing/>
      <w:jc w:val="left"/>
    </w:pPr>
    <w:rPr>
      <w:rFonts w:ascii="Times New Roman" w:eastAsiaTheme="minorEastAsia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3E"/>
    <w:rsid w:val="009E723E"/>
    <w:rsid w:val="00E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584E14B4D14943BCF1D606322CF2E4">
    <w:name w:val="E8584E14B4D14943BCF1D606322CF2E4"/>
    <w:rsid w:val="009E72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584E14B4D14943BCF1D606322CF2E4">
    <w:name w:val="E8584E14B4D14943BCF1D606322CF2E4"/>
    <w:rsid w:val="009E7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DC9D-6811-4E56-8616-84B806F3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Theoni Sofianopoulou</cp:lastModifiedBy>
  <cp:revision>7</cp:revision>
  <cp:lastPrinted>2021-12-06T11:13:00Z</cp:lastPrinted>
  <dcterms:created xsi:type="dcterms:W3CDTF">2022-01-13T13:41:00Z</dcterms:created>
  <dcterms:modified xsi:type="dcterms:W3CDTF">2022-01-19T10:46:00Z</dcterms:modified>
</cp:coreProperties>
</file>