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CC" w:rsidRDefault="00D42DCC" w:rsidP="003166A4">
      <w:pPr>
        <w:spacing w:after="0" w:line="240" w:lineRule="auto"/>
        <w:ind w:left="-567"/>
        <w:rPr>
          <w:rFonts w:ascii="Times New Roman" w:eastAsia="Times New Roman" w:hAnsi="Times New Roman" w:cs="Times New Roman"/>
          <w:sz w:val="24"/>
          <w:szCs w:val="24"/>
          <w:lang w:val="en-US"/>
        </w:rPr>
      </w:pPr>
    </w:p>
    <w:p w:rsidR="00D67B0B" w:rsidRDefault="00D67B0B" w:rsidP="00EB0811">
      <w:pPr>
        <w:tabs>
          <w:tab w:val="center" w:pos="4422"/>
          <w:tab w:val="left" w:pos="4536"/>
        </w:tabs>
        <w:spacing w:after="0" w:line="240" w:lineRule="auto"/>
        <w:ind w:left="-567" w:right="43"/>
        <w:jc w:val="right"/>
        <w:rPr>
          <w:rFonts w:ascii="Cambria" w:eastAsia="Times New Roman" w:hAnsi="Cambria" w:cs="Times New Roman"/>
          <w:b/>
          <w:szCs w:val="24"/>
          <w:lang w:val="en-US"/>
        </w:rPr>
      </w:pPr>
    </w:p>
    <w:p w:rsidR="00D67B0B" w:rsidRPr="00D67B0B" w:rsidRDefault="00D67B0B" w:rsidP="00D67B0B">
      <w:pPr>
        <w:widowControl w:val="0"/>
        <w:autoSpaceDE w:val="0"/>
        <w:autoSpaceDN w:val="0"/>
        <w:spacing w:after="0" w:line="240" w:lineRule="auto"/>
        <w:ind w:right="-35"/>
        <w:jc w:val="both"/>
        <w:rPr>
          <w:rFonts w:ascii="Cambria" w:eastAsia="Calibri" w:hAnsi="Cambria" w:cs="Cambria"/>
          <w:i/>
          <w:sz w:val="24"/>
          <w:szCs w:val="24"/>
        </w:rPr>
      </w:pPr>
      <w:r w:rsidRPr="00D67B0B">
        <w:rPr>
          <w:rFonts w:ascii="Cambria" w:eastAsia="Cambria" w:hAnsi="Cambria" w:cs="Times New Roman"/>
          <w:noProof/>
          <w:sz w:val="24"/>
          <w:szCs w:val="24"/>
          <w:lang w:eastAsia="el-GR"/>
        </w:rPr>
        <w:drawing>
          <wp:anchor distT="0" distB="0" distL="114300" distR="114300" simplePos="0" relativeHeight="251659264" behindDoc="1" locked="0" layoutInCell="1" allowOverlap="1" wp14:anchorId="1FCFDFE4" wp14:editId="04CCEC52">
            <wp:simplePos x="0" y="0"/>
            <wp:positionH relativeFrom="column">
              <wp:posOffset>4180205</wp:posOffset>
            </wp:positionH>
            <wp:positionV relativeFrom="paragraph">
              <wp:posOffset>-4445</wp:posOffset>
            </wp:positionV>
            <wp:extent cx="1266190" cy="491490"/>
            <wp:effectExtent l="0" t="0" r="0" b="0"/>
            <wp:wrapTight wrapText="bothSides">
              <wp:wrapPolygon edited="0">
                <wp:start x="975" y="0"/>
                <wp:lineTo x="0" y="17581"/>
                <wp:lineTo x="0" y="20930"/>
                <wp:lineTo x="21123" y="20930"/>
                <wp:lineTo x="21123" y="17581"/>
                <wp:lineTo x="19174" y="14233"/>
                <wp:lineTo x="19823" y="1674"/>
                <wp:lineTo x="19823" y="0"/>
                <wp:lineTo x="975" y="0"/>
              </wp:wrapPolygon>
            </wp:wrapTight>
            <wp:docPr id="1" name="Picture 1" descr="gget_logo_2x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t_logo_2x_foc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19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B0B">
        <w:rPr>
          <w:rFonts w:ascii="Times New Roman" w:eastAsia="Times New Roman" w:hAnsi="Times New Roman" w:cs="Times New Roman"/>
          <w:noProof/>
          <w:sz w:val="24"/>
          <w:szCs w:val="24"/>
          <w:lang w:eastAsia="el-GR"/>
        </w:rPr>
        <w:t xml:space="preserve"> </w:t>
      </w:r>
      <w:r w:rsidRPr="00D67B0B">
        <w:rPr>
          <w:rFonts w:ascii="Cambria" w:eastAsia="Cambria" w:hAnsi="Cambria" w:cs="Times New Roman"/>
          <w:noProof/>
          <w:sz w:val="24"/>
          <w:szCs w:val="24"/>
          <w:lang w:eastAsia="el-GR"/>
        </w:rPr>
        <w:drawing>
          <wp:inline distT="0" distB="0" distL="0" distR="0" wp14:anchorId="6F955C4F" wp14:editId="500336FD">
            <wp:extent cx="1429966" cy="515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9966" cy="515566"/>
                    </a:xfrm>
                    <a:prstGeom prst="rect">
                      <a:avLst/>
                    </a:prstGeom>
                    <a:noFill/>
                    <a:ln>
                      <a:noFill/>
                    </a:ln>
                  </pic:spPr>
                </pic:pic>
              </a:graphicData>
            </a:graphic>
          </wp:inline>
        </w:drawing>
      </w:r>
      <w:r>
        <w:rPr>
          <w:rFonts w:ascii="Times New Roman" w:eastAsia="Times New Roman" w:hAnsi="Times New Roman" w:cs="Times New Roman"/>
          <w:noProof/>
          <w:sz w:val="24"/>
          <w:szCs w:val="24"/>
          <w:lang w:eastAsia="el-GR"/>
        </w:rPr>
        <w:t xml:space="preserve">      </w:t>
      </w:r>
      <w:r>
        <w:rPr>
          <w:rFonts w:ascii="Cambria" w:eastAsia="Times New Roman" w:hAnsi="Cambria" w:cs="Times New Roman"/>
          <w:b/>
          <w:bCs/>
          <w:iCs/>
          <w:noProof/>
          <w:szCs w:val="24"/>
          <w:lang w:val="en-US" w:eastAsia="el-GR"/>
        </w:rPr>
        <w:t xml:space="preserve">     </w:t>
      </w:r>
      <w:r w:rsidRPr="00D67B0B">
        <w:rPr>
          <w:rFonts w:ascii="Times New Roman" w:eastAsia="Times New Roman" w:hAnsi="Times New Roman" w:cs="Times New Roman"/>
          <w:noProof/>
          <w:sz w:val="24"/>
          <w:szCs w:val="24"/>
          <w:lang w:eastAsia="el-GR"/>
        </w:rPr>
        <w:t xml:space="preserve"> </w:t>
      </w:r>
      <w:r w:rsidRPr="00D67B0B">
        <w:rPr>
          <w:rFonts w:ascii="Cambria" w:eastAsia="Times New Roman" w:hAnsi="Cambria" w:cs="Times New Roman"/>
          <w:b/>
          <w:bCs/>
          <w:iCs/>
          <w:noProof/>
          <w:szCs w:val="24"/>
          <w:lang w:eastAsia="el-GR"/>
        </w:rPr>
        <w:drawing>
          <wp:inline distT="0" distB="0" distL="0" distR="0" wp14:anchorId="26615E28" wp14:editId="0065DAA2">
            <wp:extent cx="1913583" cy="502920"/>
            <wp:effectExtent l="0" t="0" r="0" b="0"/>
            <wp:docPr id="7" name="Picture 7" descr="EEA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AE_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3583" cy="502920"/>
                    </a:xfrm>
                    <a:prstGeom prst="rect">
                      <a:avLst/>
                    </a:prstGeom>
                    <a:noFill/>
                    <a:ln>
                      <a:noFill/>
                    </a:ln>
                  </pic:spPr>
                </pic:pic>
              </a:graphicData>
            </a:graphic>
          </wp:inline>
        </w:drawing>
      </w:r>
      <w:r w:rsidRPr="00D67B0B">
        <w:rPr>
          <w:rFonts w:ascii="Times New Roman" w:eastAsia="Times New Roman" w:hAnsi="Times New Roman" w:cs="Times New Roman"/>
          <w:noProof/>
          <w:sz w:val="24"/>
          <w:szCs w:val="24"/>
          <w:lang w:eastAsia="el-GR"/>
        </w:rPr>
        <w:t xml:space="preserve">       </w:t>
      </w:r>
    </w:p>
    <w:p w:rsidR="00D67B0B" w:rsidRPr="00D67B0B" w:rsidRDefault="00D67B0B" w:rsidP="00D67B0B">
      <w:pPr>
        <w:widowControl w:val="0"/>
        <w:autoSpaceDE w:val="0"/>
        <w:autoSpaceDN w:val="0"/>
        <w:spacing w:after="0" w:line="240" w:lineRule="auto"/>
        <w:rPr>
          <w:rFonts w:ascii="Calibri" w:eastAsia="Calibri" w:hAnsi="Calibri" w:cs="Times New Roman"/>
          <w:b/>
        </w:rPr>
      </w:pPr>
    </w:p>
    <w:p w:rsidR="00D67B0B" w:rsidRPr="00D67B0B" w:rsidRDefault="00D67B0B" w:rsidP="00D67B0B">
      <w:pPr>
        <w:widowControl w:val="0"/>
        <w:autoSpaceDE w:val="0"/>
        <w:autoSpaceDN w:val="0"/>
        <w:spacing w:after="0" w:line="240" w:lineRule="auto"/>
        <w:ind w:right="772"/>
        <w:rPr>
          <w:rFonts w:ascii="Calibri" w:eastAsia="Calibri" w:hAnsi="Calibri" w:cs="Tahoma"/>
          <w:b/>
          <w:bCs/>
          <w:sz w:val="24"/>
          <w:szCs w:val="24"/>
        </w:rPr>
      </w:pPr>
    </w:p>
    <w:p w:rsidR="00D67B0B" w:rsidRPr="00D67B0B" w:rsidRDefault="00D67B0B" w:rsidP="00D67B0B">
      <w:pPr>
        <w:widowControl w:val="0"/>
        <w:autoSpaceDE w:val="0"/>
        <w:autoSpaceDN w:val="0"/>
        <w:spacing w:after="0" w:line="240" w:lineRule="auto"/>
        <w:ind w:right="772"/>
        <w:rPr>
          <w:rFonts w:ascii="Calibri" w:eastAsia="Calibri" w:hAnsi="Calibri" w:cs="Tahoma"/>
          <w:b/>
          <w:bCs/>
          <w:sz w:val="24"/>
          <w:szCs w:val="24"/>
        </w:rPr>
      </w:pPr>
      <w:r w:rsidRPr="00D67B0B">
        <w:rPr>
          <w:rFonts w:ascii="Calibri" w:eastAsia="Calibri" w:hAnsi="Calibri" w:cs="Tahoma"/>
          <w:b/>
          <w:bCs/>
          <w:sz w:val="24"/>
          <w:szCs w:val="24"/>
        </w:rPr>
        <w:t>ΕΛΛΗΝΙΚΗ ΔΗΜΟΚΡΑΤΙΑ</w:t>
      </w:r>
      <w:r w:rsidRPr="00D67B0B">
        <w:rPr>
          <w:rFonts w:ascii="Calibri" w:eastAsia="Calibri" w:hAnsi="Calibri" w:cs="Tahoma"/>
          <w:b/>
          <w:bCs/>
          <w:sz w:val="24"/>
          <w:szCs w:val="24"/>
        </w:rPr>
        <w:tab/>
      </w:r>
      <w:r w:rsidRPr="00D67B0B">
        <w:rPr>
          <w:rFonts w:ascii="Calibri" w:eastAsia="Calibri" w:hAnsi="Calibri" w:cs="Tahoma"/>
          <w:b/>
          <w:bCs/>
          <w:sz w:val="24"/>
          <w:szCs w:val="24"/>
        </w:rPr>
        <w:tab/>
      </w:r>
      <w:r w:rsidRPr="00D67B0B">
        <w:rPr>
          <w:rFonts w:ascii="Calibri" w:eastAsia="Calibri" w:hAnsi="Calibri" w:cs="Tahoma"/>
          <w:b/>
          <w:bCs/>
          <w:sz w:val="24"/>
          <w:szCs w:val="24"/>
        </w:rPr>
        <w:tab/>
      </w:r>
      <w:r w:rsidRPr="00D67B0B">
        <w:rPr>
          <w:rFonts w:ascii="Calibri" w:eastAsia="Calibri" w:hAnsi="Calibri" w:cs="Tahoma"/>
          <w:b/>
          <w:bCs/>
          <w:sz w:val="24"/>
          <w:szCs w:val="24"/>
        </w:rPr>
        <w:tab/>
      </w:r>
    </w:p>
    <w:p w:rsidR="00D67B0B" w:rsidRPr="00D67B0B" w:rsidRDefault="00D67B0B" w:rsidP="00D67B0B">
      <w:pPr>
        <w:widowControl w:val="0"/>
        <w:autoSpaceDE w:val="0"/>
        <w:autoSpaceDN w:val="0"/>
        <w:spacing w:after="0" w:line="240" w:lineRule="auto"/>
        <w:rPr>
          <w:rFonts w:ascii="Calibri" w:eastAsia="Calibri" w:hAnsi="Calibri" w:cs="Tahoma"/>
          <w:b/>
          <w:bCs/>
          <w:sz w:val="24"/>
          <w:szCs w:val="24"/>
        </w:rPr>
      </w:pPr>
      <w:r w:rsidRPr="00D67B0B">
        <w:rPr>
          <w:rFonts w:ascii="Calibri" w:eastAsia="Calibri" w:hAnsi="Calibri" w:cs="Tahoma"/>
          <w:b/>
          <w:bCs/>
          <w:sz w:val="24"/>
          <w:szCs w:val="24"/>
        </w:rPr>
        <w:t>ΥΠΟΥΡΓΕΙΟ ΠΑΙΔΕΙΑΣ, ΕΡΕΥΝΑΣ ΚΑΙ ΘΡΗΣΚΕΥΜΑΤΩΝ</w:t>
      </w:r>
    </w:p>
    <w:p w:rsidR="00D67B0B" w:rsidRPr="00D67B0B" w:rsidRDefault="00D67B0B" w:rsidP="00D67B0B">
      <w:pPr>
        <w:widowControl w:val="0"/>
        <w:autoSpaceDE w:val="0"/>
        <w:autoSpaceDN w:val="0"/>
        <w:spacing w:after="0" w:line="240" w:lineRule="auto"/>
        <w:rPr>
          <w:rFonts w:ascii="Calibri" w:eastAsia="Calibri" w:hAnsi="Calibri" w:cs="Tahoma"/>
          <w:b/>
          <w:bCs/>
          <w:sz w:val="24"/>
          <w:szCs w:val="24"/>
        </w:rPr>
      </w:pPr>
      <w:r w:rsidRPr="00D67B0B">
        <w:rPr>
          <w:rFonts w:ascii="Calibri" w:eastAsia="Calibri" w:hAnsi="Calibri" w:cs="Tahoma"/>
          <w:b/>
          <w:bCs/>
          <w:sz w:val="24"/>
          <w:szCs w:val="24"/>
        </w:rPr>
        <w:t>ΤΟΜΕΑΣ ΕΡΕΥΝΑΣ ΚΑΙ ΚΑΙΝΟΤΟΜΙΑΣ</w:t>
      </w:r>
    </w:p>
    <w:p w:rsidR="00D67B0B" w:rsidRPr="00D67B0B" w:rsidRDefault="00D67B0B" w:rsidP="00D67B0B">
      <w:pPr>
        <w:widowControl w:val="0"/>
        <w:autoSpaceDE w:val="0"/>
        <w:autoSpaceDN w:val="0"/>
        <w:spacing w:after="0" w:line="240" w:lineRule="auto"/>
        <w:rPr>
          <w:rFonts w:ascii="Calibri" w:eastAsia="Calibri" w:hAnsi="Calibri" w:cs="Tahoma"/>
          <w:b/>
          <w:bCs/>
          <w:sz w:val="24"/>
          <w:szCs w:val="24"/>
        </w:rPr>
      </w:pPr>
      <w:r w:rsidRPr="00D67B0B">
        <w:rPr>
          <w:rFonts w:ascii="Calibri" w:eastAsia="Calibri" w:hAnsi="Calibri" w:cs="Tahoma"/>
          <w:b/>
          <w:bCs/>
          <w:sz w:val="24"/>
          <w:szCs w:val="24"/>
        </w:rPr>
        <w:t>ΓΕΝΙΚΗ ΓΡΑΜΜΑΤΕΙΑ ΕΡΕΥΝΑΣ ΚΑΙ ΤΕΧΝΟΛΟΓΙΑΣ</w:t>
      </w:r>
    </w:p>
    <w:p w:rsidR="00D67B0B" w:rsidRPr="00D67B0B" w:rsidRDefault="00D67B0B" w:rsidP="00D67B0B">
      <w:pPr>
        <w:widowControl w:val="0"/>
        <w:autoSpaceDE w:val="0"/>
        <w:autoSpaceDN w:val="0"/>
        <w:spacing w:after="0" w:line="240" w:lineRule="auto"/>
        <w:rPr>
          <w:rFonts w:ascii="Calibri" w:eastAsia="Calibri" w:hAnsi="Calibri" w:cs="Times New Roman"/>
          <w:sz w:val="24"/>
          <w:szCs w:val="24"/>
        </w:rPr>
      </w:pPr>
      <w:r w:rsidRPr="00D67B0B">
        <w:rPr>
          <w:rFonts w:ascii="Calibri" w:eastAsia="Calibri" w:hAnsi="Calibri" w:cs="Tahoma"/>
          <w:bCs/>
          <w:sz w:val="24"/>
          <w:szCs w:val="24"/>
        </w:rPr>
        <w:t>Γραφείο Γενικής Γραμματέως</w:t>
      </w:r>
    </w:p>
    <w:p w:rsidR="00D67B0B" w:rsidRPr="00D67B0B" w:rsidRDefault="00D67B0B" w:rsidP="00D67B0B">
      <w:pPr>
        <w:spacing w:before="72" w:after="0" w:line="360" w:lineRule="atLeast"/>
        <w:rPr>
          <w:rFonts w:ascii="Calibri" w:eastAsia="Times New Roman" w:hAnsi="Calibri" w:cs="Tahoma"/>
          <w:color w:val="000000"/>
          <w:sz w:val="24"/>
          <w:szCs w:val="24"/>
        </w:rPr>
      </w:pPr>
      <w:r w:rsidRPr="00D67B0B">
        <w:rPr>
          <w:rFonts w:ascii="Calibri" w:eastAsia="Times New Roman" w:hAnsi="Calibri" w:cs="Tahoma"/>
          <w:color w:val="000000"/>
          <w:sz w:val="24"/>
          <w:szCs w:val="24"/>
          <w:lang w:val="en-US"/>
        </w:rPr>
        <w:t>     </w:t>
      </w:r>
    </w:p>
    <w:p w:rsidR="00D67B0B" w:rsidRPr="00D67B0B" w:rsidRDefault="00D67B0B" w:rsidP="00D67B0B">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rPr>
      </w:pPr>
      <w:r w:rsidRPr="00D67B0B">
        <w:rPr>
          <w:rFonts w:ascii="Calibri" w:eastAsia="Times New Roman" w:hAnsi="Calibri" w:cs="Times New Roman"/>
          <w:b/>
          <w:bCs/>
          <w:sz w:val="24"/>
          <w:szCs w:val="24"/>
        </w:rPr>
        <w:t xml:space="preserve">ΔΕΛΤΙΟ ΤΥΠΟΥ                                                                                                         </w:t>
      </w:r>
      <w:r w:rsidRPr="00D67B0B">
        <w:rPr>
          <w:rFonts w:ascii="Calibri" w:eastAsia="Times New Roman" w:hAnsi="Calibri" w:cs="Times New Roman"/>
          <w:b/>
          <w:bCs/>
          <w:sz w:val="24"/>
          <w:szCs w:val="24"/>
        </w:rPr>
        <w:t>24</w:t>
      </w:r>
      <w:r w:rsidRPr="00D67B0B">
        <w:rPr>
          <w:rFonts w:ascii="Calibri" w:eastAsia="Times New Roman" w:hAnsi="Calibri" w:cs="Times New Roman"/>
          <w:b/>
          <w:bCs/>
          <w:sz w:val="24"/>
          <w:szCs w:val="24"/>
        </w:rPr>
        <w:t>.11.2017</w:t>
      </w:r>
    </w:p>
    <w:p w:rsidR="00D67B0B" w:rsidRPr="00D67B0B" w:rsidRDefault="00D67B0B" w:rsidP="00D67B0B">
      <w:pPr>
        <w:widowControl w:val="0"/>
        <w:suppressAutoHyphens/>
        <w:spacing w:before="72" w:after="0" w:line="360" w:lineRule="atLeast"/>
        <w:jc w:val="center"/>
        <w:rPr>
          <w:rFonts w:ascii="Calibri" w:eastAsia="Times New Roman" w:hAnsi="Calibri" w:cs="Tahoma"/>
          <w:b/>
          <w:bCs/>
          <w:color w:val="000000"/>
          <w:kern w:val="1"/>
          <w:sz w:val="24"/>
          <w:szCs w:val="24"/>
          <w:lang w:eastAsia="hi-IN" w:bidi="hi-IN"/>
        </w:rPr>
      </w:pPr>
      <w:r w:rsidRPr="00D67B0B">
        <w:rPr>
          <w:rFonts w:ascii="Calibri" w:eastAsia="Times New Roman" w:hAnsi="Calibri" w:cs="Tahoma"/>
          <w:b/>
          <w:bCs/>
          <w:color w:val="000000"/>
          <w:kern w:val="1"/>
          <w:sz w:val="24"/>
          <w:szCs w:val="24"/>
          <w:lang w:eastAsia="hi-IN" w:bidi="hi-IN"/>
        </w:rPr>
        <w:t>«</w:t>
      </w:r>
      <w:r w:rsidRPr="00D67B0B">
        <w:rPr>
          <w:rFonts w:ascii="Calibri" w:eastAsia="Times New Roman" w:hAnsi="Calibri" w:cs="Tahoma"/>
          <w:b/>
          <w:bCs/>
          <w:color w:val="000000"/>
          <w:kern w:val="1"/>
          <w:sz w:val="24"/>
          <w:szCs w:val="24"/>
          <w:lang w:eastAsia="hi-IN" w:bidi="hi-IN"/>
        </w:rPr>
        <w:t>Ολοκλήρωση επαναληπτικής διεθνούς αξιολόγησης του εθνικού ρυθμιστικού πλαισίου ραδιολογικής και πυρηνικής ασφάλειας</w:t>
      </w:r>
      <w:r w:rsidRPr="00D67B0B">
        <w:rPr>
          <w:rFonts w:ascii="Calibri" w:eastAsia="Times New Roman" w:hAnsi="Calibri" w:cs="Tahoma"/>
          <w:b/>
          <w:bCs/>
          <w:color w:val="000000"/>
          <w:kern w:val="1"/>
          <w:sz w:val="24"/>
          <w:szCs w:val="24"/>
          <w:lang w:eastAsia="hi-IN" w:bidi="hi-IN"/>
        </w:rPr>
        <w:t xml:space="preserve">» </w:t>
      </w:r>
    </w:p>
    <w:p w:rsidR="00D67B0B" w:rsidRPr="00D67B0B" w:rsidRDefault="00D67B0B" w:rsidP="00D67B0B">
      <w:pPr>
        <w:widowControl w:val="0"/>
        <w:suppressAutoHyphens/>
        <w:spacing w:before="72" w:after="0" w:line="360" w:lineRule="atLeast"/>
        <w:jc w:val="center"/>
        <w:rPr>
          <w:rFonts w:ascii="Calibri" w:eastAsia="Times New Roman" w:hAnsi="Calibri" w:cs="Tahoma"/>
          <w:bCs/>
          <w:color w:val="000000"/>
          <w:kern w:val="1"/>
          <w:sz w:val="24"/>
          <w:szCs w:val="24"/>
          <w:lang w:eastAsia="hi-IN" w:bidi="hi-IN"/>
        </w:rPr>
      </w:pPr>
      <w:r w:rsidRPr="00D67B0B">
        <w:rPr>
          <w:rFonts w:ascii="Calibri" w:eastAsia="Times New Roman" w:hAnsi="Calibri" w:cs="Tahoma"/>
          <w:bCs/>
          <w:color w:val="000000"/>
          <w:kern w:val="1"/>
          <w:sz w:val="24"/>
          <w:szCs w:val="24"/>
          <w:lang w:val="en-US" w:eastAsia="hi-IN" w:bidi="hi-IN"/>
        </w:rPr>
        <w:t xml:space="preserve">24 </w:t>
      </w:r>
      <w:r w:rsidRPr="00D67B0B">
        <w:rPr>
          <w:rFonts w:ascii="Calibri" w:eastAsia="Times New Roman" w:hAnsi="Calibri" w:cs="Tahoma"/>
          <w:bCs/>
          <w:color w:val="000000"/>
          <w:kern w:val="1"/>
          <w:sz w:val="24"/>
          <w:szCs w:val="24"/>
          <w:lang w:eastAsia="hi-IN" w:bidi="hi-IN"/>
        </w:rPr>
        <w:t>Νοεμβρίου 2017 // Αγία Παρασκευή</w:t>
      </w:r>
    </w:p>
    <w:p w:rsidR="00D67B0B" w:rsidRPr="00D67B0B" w:rsidRDefault="00D67B0B" w:rsidP="00D67B0B">
      <w:pPr>
        <w:pBdr>
          <w:bottom w:val="single" w:sz="12" w:space="1" w:color="auto"/>
        </w:pBdr>
        <w:suppressAutoHyphens/>
        <w:spacing w:after="0" w:line="240" w:lineRule="auto"/>
        <w:outlineLvl w:val="1"/>
        <w:rPr>
          <w:rFonts w:ascii="Calibri" w:eastAsia="Times New Roman" w:hAnsi="Calibri" w:cs="Times New Roman"/>
          <w:bCs/>
          <w:sz w:val="24"/>
          <w:szCs w:val="24"/>
          <w:lang w:eastAsia="ar-SA"/>
        </w:rPr>
      </w:pPr>
    </w:p>
    <w:p w:rsidR="00284AB4" w:rsidRPr="00284AB4" w:rsidRDefault="00284AB4" w:rsidP="003166A4">
      <w:pPr>
        <w:spacing w:after="0" w:line="360" w:lineRule="auto"/>
        <w:ind w:left="-567"/>
        <w:jc w:val="center"/>
        <w:rPr>
          <w:rFonts w:ascii="Calibri" w:eastAsia="Times New Roman" w:hAnsi="Calibri" w:cs="Calibri"/>
          <w:b/>
          <w:bCs/>
          <w:sz w:val="6"/>
          <w:szCs w:val="28"/>
        </w:rPr>
      </w:pPr>
    </w:p>
    <w:p w:rsidR="00284AB4" w:rsidRPr="00D8022E" w:rsidRDefault="00284AB4" w:rsidP="003166A4">
      <w:pPr>
        <w:spacing w:after="0" w:line="360" w:lineRule="auto"/>
        <w:ind w:left="-567"/>
        <w:jc w:val="center"/>
        <w:rPr>
          <w:rFonts w:ascii="Calibri" w:eastAsia="Times New Roman" w:hAnsi="Calibri" w:cs="Calibri"/>
          <w:b/>
          <w:bCs/>
          <w:sz w:val="2"/>
          <w:szCs w:val="28"/>
        </w:rPr>
      </w:pPr>
    </w:p>
    <w:p w:rsidR="00D02C6C" w:rsidRPr="00464A47" w:rsidRDefault="00D02C6C" w:rsidP="003166A4">
      <w:pPr>
        <w:spacing w:after="0" w:line="360" w:lineRule="auto"/>
        <w:ind w:left="-567"/>
        <w:jc w:val="center"/>
        <w:rPr>
          <w:rFonts w:ascii="Cambria" w:eastAsia="Times New Roman" w:hAnsi="Cambria" w:cs="Times New Roman"/>
          <w:b/>
          <w:bCs/>
          <w:sz w:val="2"/>
          <w:szCs w:val="28"/>
        </w:rPr>
      </w:pPr>
    </w:p>
    <w:p w:rsidR="00226AFC" w:rsidRPr="00B97921" w:rsidRDefault="00226AFC" w:rsidP="003166A4">
      <w:pPr>
        <w:spacing w:after="0" w:line="360" w:lineRule="auto"/>
        <w:ind w:left="-567"/>
        <w:jc w:val="center"/>
        <w:rPr>
          <w:rFonts w:ascii="Cambria" w:eastAsia="Times New Roman" w:hAnsi="Cambria" w:cs="Times New Roman"/>
          <w:b/>
          <w:bCs/>
          <w:sz w:val="10"/>
          <w:szCs w:val="28"/>
        </w:rPr>
      </w:pPr>
    </w:p>
    <w:p w:rsidR="00D20EFF" w:rsidRPr="00B1438C" w:rsidRDefault="00D20EFF" w:rsidP="00D875AE">
      <w:pPr>
        <w:spacing w:after="0"/>
        <w:ind w:left="-426"/>
        <w:jc w:val="both"/>
        <w:rPr>
          <w:rFonts w:asciiTheme="majorHAnsi" w:hAnsiTheme="majorHAnsi"/>
        </w:rPr>
      </w:pPr>
      <w:r w:rsidRPr="00B1438C">
        <w:rPr>
          <w:rFonts w:asciiTheme="majorHAnsi" w:hAnsiTheme="majorHAnsi"/>
        </w:rPr>
        <w:t xml:space="preserve">Ολοκληρώθηκε σήμερα 24 Νοεμβρίου </w:t>
      </w:r>
      <w:r w:rsidR="00464A47" w:rsidRPr="00B1438C">
        <w:rPr>
          <w:rFonts w:asciiTheme="majorHAnsi" w:hAnsiTheme="majorHAnsi"/>
        </w:rPr>
        <w:t xml:space="preserve">2017 </w:t>
      </w:r>
      <w:r w:rsidRPr="00B1438C">
        <w:rPr>
          <w:rFonts w:asciiTheme="majorHAnsi" w:hAnsiTheme="majorHAnsi"/>
        </w:rPr>
        <w:t>η</w:t>
      </w:r>
      <w:r w:rsidR="00800780" w:rsidRPr="00B1438C">
        <w:rPr>
          <w:rFonts w:asciiTheme="majorHAnsi" w:hAnsiTheme="majorHAnsi"/>
        </w:rPr>
        <w:t xml:space="preserve"> επαναληπτική διεθνή</w:t>
      </w:r>
      <w:r w:rsidRPr="00B1438C">
        <w:rPr>
          <w:rFonts w:asciiTheme="majorHAnsi" w:hAnsiTheme="majorHAnsi"/>
        </w:rPr>
        <w:t>ς</w:t>
      </w:r>
      <w:r w:rsidR="00800780" w:rsidRPr="00B1438C">
        <w:rPr>
          <w:rFonts w:asciiTheme="majorHAnsi" w:hAnsiTheme="majorHAnsi"/>
        </w:rPr>
        <w:t xml:space="preserve"> αξιολόγηση </w:t>
      </w:r>
      <w:proofErr w:type="spellStart"/>
      <w:r w:rsidR="00800780" w:rsidRPr="00B1438C">
        <w:rPr>
          <w:rFonts w:asciiTheme="majorHAnsi" w:hAnsiTheme="majorHAnsi"/>
        </w:rPr>
        <w:t>ομοτίμων</w:t>
      </w:r>
      <w:proofErr w:type="spellEnd"/>
      <w:r w:rsidR="00800780" w:rsidRPr="00B1438C">
        <w:rPr>
          <w:rFonts w:asciiTheme="majorHAnsi" w:hAnsiTheme="majorHAnsi"/>
        </w:rPr>
        <w:t xml:space="preserve"> (</w:t>
      </w:r>
      <w:proofErr w:type="spellStart"/>
      <w:r w:rsidR="00800780" w:rsidRPr="00B1438C">
        <w:rPr>
          <w:rFonts w:asciiTheme="majorHAnsi" w:hAnsiTheme="majorHAnsi"/>
        </w:rPr>
        <w:t>Integrated</w:t>
      </w:r>
      <w:proofErr w:type="spellEnd"/>
      <w:r w:rsidR="00800780" w:rsidRPr="00B1438C">
        <w:rPr>
          <w:rFonts w:asciiTheme="majorHAnsi" w:hAnsiTheme="majorHAnsi"/>
        </w:rPr>
        <w:t xml:space="preserve"> </w:t>
      </w:r>
      <w:proofErr w:type="spellStart"/>
      <w:r w:rsidR="00800780" w:rsidRPr="00B1438C">
        <w:rPr>
          <w:rFonts w:asciiTheme="majorHAnsi" w:hAnsiTheme="majorHAnsi"/>
        </w:rPr>
        <w:t>Regulatory</w:t>
      </w:r>
      <w:proofErr w:type="spellEnd"/>
      <w:r w:rsidR="00800780" w:rsidRPr="00B1438C">
        <w:rPr>
          <w:rFonts w:asciiTheme="majorHAnsi" w:hAnsiTheme="majorHAnsi"/>
        </w:rPr>
        <w:t xml:space="preserve"> </w:t>
      </w:r>
      <w:proofErr w:type="spellStart"/>
      <w:r w:rsidR="00800780" w:rsidRPr="00B1438C">
        <w:rPr>
          <w:rFonts w:asciiTheme="majorHAnsi" w:hAnsiTheme="majorHAnsi"/>
        </w:rPr>
        <w:t>Review</w:t>
      </w:r>
      <w:proofErr w:type="spellEnd"/>
      <w:r w:rsidR="00800780" w:rsidRPr="00B1438C">
        <w:rPr>
          <w:rFonts w:asciiTheme="majorHAnsi" w:hAnsiTheme="majorHAnsi"/>
        </w:rPr>
        <w:t xml:space="preserve"> </w:t>
      </w:r>
      <w:proofErr w:type="spellStart"/>
      <w:r w:rsidR="00800780" w:rsidRPr="00B1438C">
        <w:rPr>
          <w:rFonts w:asciiTheme="majorHAnsi" w:hAnsiTheme="majorHAnsi"/>
        </w:rPr>
        <w:t>Service</w:t>
      </w:r>
      <w:proofErr w:type="spellEnd"/>
      <w:r w:rsidR="00800780" w:rsidRPr="00B1438C">
        <w:rPr>
          <w:rFonts w:asciiTheme="majorHAnsi" w:hAnsiTheme="majorHAnsi"/>
        </w:rPr>
        <w:t xml:space="preserve">, IRRS) που αφορά </w:t>
      </w:r>
      <w:r w:rsidRPr="00B1438C">
        <w:rPr>
          <w:rFonts w:asciiTheme="majorHAnsi" w:hAnsiTheme="majorHAnsi"/>
        </w:rPr>
        <w:t>σ</w:t>
      </w:r>
      <w:r w:rsidR="00A83C62">
        <w:rPr>
          <w:rFonts w:asciiTheme="majorHAnsi" w:hAnsiTheme="majorHAnsi"/>
        </w:rPr>
        <w:t>τον τομέα της ασφάλειας των ακτινοβολιών στη χώρα</w:t>
      </w:r>
      <w:r w:rsidRPr="00B1438C">
        <w:rPr>
          <w:rFonts w:asciiTheme="majorHAnsi" w:hAnsiTheme="majorHAnsi"/>
        </w:rPr>
        <w:t xml:space="preserve">. Η αξιολόγηση αφορούσε </w:t>
      </w:r>
      <w:r w:rsidR="00D32AE7" w:rsidRPr="00B1438C">
        <w:rPr>
          <w:rFonts w:asciiTheme="majorHAnsi" w:hAnsiTheme="majorHAnsi"/>
        </w:rPr>
        <w:t>σ</w:t>
      </w:r>
      <w:r w:rsidRPr="00B1438C">
        <w:rPr>
          <w:rFonts w:asciiTheme="majorHAnsi" w:hAnsiTheme="majorHAnsi"/>
        </w:rPr>
        <w:t xml:space="preserve">το ισχύον ρυθμιστικό πλαίσιο και </w:t>
      </w:r>
      <w:r w:rsidR="0056787C">
        <w:rPr>
          <w:rFonts w:asciiTheme="majorHAnsi" w:hAnsiTheme="majorHAnsi"/>
        </w:rPr>
        <w:t>τη λειτουργία</w:t>
      </w:r>
      <w:r w:rsidRPr="00B1438C">
        <w:rPr>
          <w:rFonts w:asciiTheme="majorHAnsi" w:hAnsiTheme="majorHAnsi"/>
        </w:rPr>
        <w:t xml:space="preserve"> της Ελληνικής Επιτροπής Ατομικής Ενέργειας (ΕΕΑΕ), ως ρυθμιστικής αρχής. </w:t>
      </w:r>
      <w:r w:rsidR="00210C17" w:rsidRPr="00B1438C">
        <w:rPr>
          <w:rFonts w:asciiTheme="majorHAnsi" w:hAnsiTheme="majorHAnsi"/>
        </w:rPr>
        <w:t xml:space="preserve">Ειδικότερα, </w:t>
      </w:r>
      <w:r w:rsidR="00D32AE7" w:rsidRPr="00B1438C">
        <w:rPr>
          <w:rFonts w:asciiTheme="majorHAnsi" w:hAnsiTheme="majorHAnsi"/>
        </w:rPr>
        <w:t>αξιολογήθηκε η πρόοδος</w:t>
      </w:r>
      <w:r w:rsidR="00800780" w:rsidRPr="00B1438C">
        <w:rPr>
          <w:rFonts w:asciiTheme="majorHAnsi" w:hAnsiTheme="majorHAnsi"/>
        </w:rPr>
        <w:t xml:space="preserve"> </w:t>
      </w:r>
      <w:r w:rsidR="00C96932" w:rsidRPr="00B1438C">
        <w:rPr>
          <w:rFonts w:asciiTheme="majorHAnsi" w:hAnsiTheme="majorHAnsi"/>
        </w:rPr>
        <w:t>σ</w:t>
      </w:r>
      <w:r w:rsidR="00800780" w:rsidRPr="00B1438C">
        <w:rPr>
          <w:rFonts w:asciiTheme="majorHAnsi" w:hAnsiTheme="majorHAnsi"/>
        </w:rPr>
        <w:t xml:space="preserve">την υλοποίηση των συστάσεων </w:t>
      </w:r>
      <w:r w:rsidR="0056787C">
        <w:rPr>
          <w:rFonts w:asciiTheme="majorHAnsi" w:hAnsiTheme="majorHAnsi"/>
        </w:rPr>
        <w:t>της</w:t>
      </w:r>
      <w:r w:rsidR="00800780" w:rsidRPr="00B1438C">
        <w:rPr>
          <w:rFonts w:asciiTheme="majorHAnsi" w:hAnsiTheme="majorHAnsi"/>
        </w:rPr>
        <w:t xml:space="preserve"> αρχική</w:t>
      </w:r>
      <w:r w:rsidR="0056787C">
        <w:rPr>
          <w:rFonts w:asciiTheme="majorHAnsi" w:hAnsiTheme="majorHAnsi"/>
        </w:rPr>
        <w:t>ς</w:t>
      </w:r>
      <w:r w:rsidR="00800780" w:rsidRPr="00B1438C">
        <w:rPr>
          <w:rFonts w:asciiTheme="majorHAnsi" w:hAnsiTheme="majorHAnsi"/>
        </w:rPr>
        <w:t xml:space="preserve"> αξιολόγηση</w:t>
      </w:r>
      <w:r w:rsidR="0056787C">
        <w:rPr>
          <w:rFonts w:asciiTheme="majorHAnsi" w:hAnsiTheme="majorHAnsi"/>
        </w:rPr>
        <w:t>ς</w:t>
      </w:r>
      <w:r w:rsidR="00800780" w:rsidRPr="00B1438C">
        <w:rPr>
          <w:rFonts w:asciiTheme="majorHAnsi" w:hAnsiTheme="majorHAnsi"/>
        </w:rPr>
        <w:t xml:space="preserve"> του έτους 2012.</w:t>
      </w:r>
    </w:p>
    <w:p w:rsidR="00A53972" w:rsidRPr="00B1438C" w:rsidRDefault="00A53972" w:rsidP="00D875AE">
      <w:pPr>
        <w:spacing w:after="0"/>
        <w:ind w:left="-426"/>
        <w:jc w:val="both"/>
        <w:rPr>
          <w:rFonts w:asciiTheme="majorHAnsi" w:hAnsiTheme="majorHAnsi"/>
        </w:rPr>
      </w:pPr>
    </w:p>
    <w:p w:rsidR="00BE6892" w:rsidRPr="00B1438C" w:rsidRDefault="00BE6892" w:rsidP="00D875AE">
      <w:pPr>
        <w:spacing w:after="0"/>
        <w:ind w:left="-426"/>
        <w:jc w:val="both"/>
        <w:rPr>
          <w:rFonts w:asciiTheme="majorHAnsi" w:hAnsiTheme="majorHAnsi"/>
        </w:rPr>
      </w:pPr>
      <w:r w:rsidRPr="00B1438C">
        <w:rPr>
          <w:rFonts w:asciiTheme="majorHAnsi" w:hAnsiTheme="majorHAnsi"/>
        </w:rPr>
        <w:t>Σύμφωνα με τα ευρή</w:t>
      </w:r>
      <w:r w:rsidR="0056787C">
        <w:rPr>
          <w:rFonts w:asciiTheme="majorHAnsi" w:hAnsiTheme="majorHAnsi"/>
        </w:rPr>
        <w:t xml:space="preserve">ματα της ομάδας των αξιολογητών έχουν ικανοποιηθεί σχεδόν όλες οι συστάσεις και προτάσεις που είχαν γίνει το 2012. </w:t>
      </w:r>
      <w:r w:rsidR="00031187">
        <w:rPr>
          <w:rFonts w:asciiTheme="majorHAnsi" w:hAnsiTheme="majorHAnsi"/>
        </w:rPr>
        <w:t>Η</w:t>
      </w:r>
      <w:r w:rsidR="0056787C">
        <w:rPr>
          <w:rFonts w:asciiTheme="majorHAnsi" w:hAnsiTheme="majorHAnsi"/>
        </w:rPr>
        <w:t xml:space="preserve"> πρόοδος που </w:t>
      </w:r>
      <w:r w:rsidR="00E943D7">
        <w:rPr>
          <w:rFonts w:asciiTheme="majorHAnsi" w:hAnsiTheme="majorHAnsi"/>
        </w:rPr>
        <w:t xml:space="preserve">διαπιστώθηκε αφορά </w:t>
      </w:r>
      <w:r w:rsidR="00C65144">
        <w:rPr>
          <w:rFonts w:asciiTheme="majorHAnsi" w:hAnsiTheme="majorHAnsi"/>
        </w:rPr>
        <w:t xml:space="preserve">κυρίως </w:t>
      </w:r>
      <w:r w:rsidR="00E943D7">
        <w:rPr>
          <w:rFonts w:asciiTheme="majorHAnsi" w:hAnsiTheme="majorHAnsi"/>
        </w:rPr>
        <w:t>στα ακόλουθα σημεία</w:t>
      </w:r>
      <w:r w:rsidRPr="00B1438C">
        <w:rPr>
          <w:rFonts w:asciiTheme="majorHAnsi" w:hAnsiTheme="majorHAnsi"/>
        </w:rPr>
        <w:t>:</w:t>
      </w:r>
    </w:p>
    <w:p w:rsidR="00BE6892" w:rsidRPr="00B1438C" w:rsidRDefault="00A83C62" w:rsidP="00BE6892">
      <w:pPr>
        <w:pStyle w:val="ListParagraph"/>
        <w:numPr>
          <w:ilvl w:val="0"/>
          <w:numId w:val="9"/>
        </w:numPr>
        <w:spacing w:after="0"/>
        <w:ind w:left="142" w:hanging="426"/>
        <w:jc w:val="both"/>
        <w:rPr>
          <w:rFonts w:asciiTheme="majorHAnsi" w:hAnsiTheme="majorHAnsi"/>
        </w:rPr>
      </w:pPr>
      <w:r>
        <w:rPr>
          <w:rFonts w:asciiTheme="majorHAnsi" w:hAnsiTheme="majorHAnsi"/>
        </w:rPr>
        <w:t xml:space="preserve">αναθεωρήθηκε </w:t>
      </w:r>
      <w:r w:rsidR="00BE6892" w:rsidRPr="00B1438C">
        <w:rPr>
          <w:rFonts w:asciiTheme="majorHAnsi" w:hAnsiTheme="majorHAnsi"/>
        </w:rPr>
        <w:t xml:space="preserve">το ρυθμιστικό πλαίσιο σύμφωνα με τα </w:t>
      </w:r>
      <w:r w:rsidR="0056787C">
        <w:rPr>
          <w:rFonts w:asciiTheme="majorHAnsi" w:hAnsiTheme="majorHAnsi"/>
        </w:rPr>
        <w:t xml:space="preserve">σύγχρονα </w:t>
      </w:r>
      <w:r>
        <w:rPr>
          <w:rFonts w:asciiTheme="majorHAnsi" w:hAnsiTheme="majorHAnsi"/>
        </w:rPr>
        <w:t xml:space="preserve">διεθνή </w:t>
      </w:r>
      <w:r w:rsidR="00BE6892" w:rsidRPr="00B1438C">
        <w:rPr>
          <w:rFonts w:asciiTheme="majorHAnsi" w:hAnsiTheme="majorHAnsi"/>
        </w:rPr>
        <w:t>πρότυπα ασφάλειας,</w:t>
      </w:r>
    </w:p>
    <w:p w:rsidR="00BE6892" w:rsidRPr="00B1438C" w:rsidRDefault="00A83C62" w:rsidP="00BE6892">
      <w:pPr>
        <w:pStyle w:val="ListParagraph"/>
        <w:numPr>
          <w:ilvl w:val="0"/>
          <w:numId w:val="9"/>
        </w:numPr>
        <w:spacing w:after="0"/>
        <w:ind w:left="142" w:hanging="426"/>
        <w:jc w:val="both"/>
        <w:rPr>
          <w:rFonts w:asciiTheme="majorHAnsi" w:hAnsiTheme="majorHAnsi"/>
        </w:rPr>
      </w:pPr>
      <w:r>
        <w:rPr>
          <w:rFonts w:asciiTheme="majorHAnsi" w:hAnsiTheme="majorHAnsi"/>
        </w:rPr>
        <w:t>αναπτύχθηκε</w:t>
      </w:r>
      <w:r w:rsidR="00BE6892" w:rsidRPr="00B1438C">
        <w:rPr>
          <w:rFonts w:asciiTheme="majorHAnsi" w:hAnsiTheme="majorHAnsi"/>
        </w:rPr>
        <w:t xml:space="preserve"> και εφαρμό</w:t>
      </w:r>
      <w:r w:rsidR="0056787C">
        <w:rPr>
          <w:rFonts w:asciiTheme="majorHAnsi" w:hAnsiTheme="majorHAnsi"/>
        </w:rPr>
        <w:t>ζεται</w:t>
      </w:r>
      <w:r>
        <w:rPr>
          <w:rFonts w:asciiTheme="majorHAnsi" w:hAnsiTheme="majorHAnsi"/>
        </w:rPr>
        <w:t xml:space="preserve"> στην ΕΕΑΕ </w:t>
      </w:r>
      <w:r w:rsidR="00BE6892" w:rsidRPr="00B1438C">
        <w:rPr>
          <w:rFonts w:asciiTheme="majorHAnsi" w:hAnsiTheme="majorHAnsi"/>
        </w:rPr>
        <w:t>ένα ολοκληρωμέ</w:t>
      </w:r>
      <w:r w:rsidR="0056787C">
        <w:rPr>
          <w:rFonts w:asciiTheme="majorHAnsi" w:hAnsiTheme="majorHAnsi"/>
        </w:rPr>
        <w:t xml:space="preserve">νο σύστημα διαχείρισης με έμφαση στην καλλιέργεια </w:t>
      </w:r>
      <w:r w:rsidR="00BE6892" w:rsidRPr="00B1438C">
        <w:rPr>
          <w:rFonts w:asciiTheme="majorHAnsi" w:hAnsiTheme="majorHAnsi"/>
        </w:rPr>
        <w:t>νοοτροπία</w:t>
      </w:r>
      <w:r w:rsidR="0056787C">
        <w:rPr>
          <w:rFonts w:asciiTheme="majorHAnsi" w:hAnsiTheme="majorHAnsi"/>
        </w:rPr>
        <w:t>ς</w:t>
      </w:r>
      <w:r w:rsidR="00BE6892" w:rsidRPr="00B1438C">
        <w:rPr>
          <w:rFonts w:asciiTheme="majorHAnsi" w:hAnsiTheme="majorHAnsi"/>
        </w:rPr>
        <w:t xml:space="preserve"> ασφάλειας,</w:t>
      </w:r>
    </w:p>
    <w:p w:rsidR="00BE6892" w:rsidRPr="00B1438C" w:rsidRDefault="00BE6892" w:rsidP="00BE6892">
      <w:pPr>
        <w:pStyle w:val="ListParagraph"/>
        <w:numPr>
          <w:ilvl w:val="0"/>
          <w:numId w:val="9"/>
        </w:numPr>
        <w:spacing w:after="0"/>
        <w:ind w:left="142" w:hanging="426"/>
        <w:jc w:val="both"/>
        <w:rPr>
          <w:rFonts w:asciiTheme="majorHAnsi" w:hAnsiTheme="majorHAnsi"/>
        </w:rPr>
      </w:pPr>
      <w:r w:rsidRPr="00B1438C">
        <w:rPr>
          <w:rFonts w:asciiTheme="majorHAnsi" w:hAnsiTheme="majorHAnsi"/>
        </w:rPr>
        <w:t xml:space="preserve">έχει </w:t>
      </w:r>
      <w:r w:rsidR="00A83C62">
        <w:rPr>
          <w:rFonts w:asciiTheme="majorHAnsi" w:hAnsiTheme="majorHAnsi"/>
        </w:rPr>
        <w:t>αναπτυχθεί και εφαρμόζεται</w:t>
      </w:r>
      <w:r w:rsidRPr="00B1438C">
        <w:rPr>
          <w:rFonts w:asciiTheme="majorHAnsi" w:hAnsiTheme="majorHAnsi"/>
        </w:rPr>
        <w:t xml:space="preserve"> μια κλιμακούμενη προσέγγιση στην άσκηση του ρυθμιστικού ελέγχου, </w:t>
      </w:r>
    </w:p>
    <w:p w:rsidR="00BE6892" w:rsidRPr="00B1438C" w:rsidRDefault="00F20243" w:rsidP="00BE6892">
      <w:pPr>
        <w:pStyle w:val="ListParagraph"/>
        <w:numPr>
          <w:ilvl w:val="0"/>
          <w:numId w:val="9"/>
        </w:numPr>
        <w:spacing w:after="0"/>
        <w:ind w:left="142" w:hanging="426"/>
        <w:jc w:val="both"/>
        <w:rPr>
          <w:rFonts w:asciiTheme="majorHAnsi" w:hAnsiTheme="majorHAnsi"/>
        </w:rPr>
      </w:pPr>
      <w:r w:rsidRPr="00B1438C">
        <w:rPr>
          <w:rFonts w:asciiTheme="majorHAnsi" w:hAnsiTheme="majorHAnsi"/>
        </w:rPr>
        <w:t>έχει βελτι</w:t>
      </w:r>
      <w:r>
        <w:rPr>
          <w:rFonts w:asciiTheme="majorHAnsi" w:hAnsiTheme="majorHAnsi"/>
        </w:rPr>
        <w:t xml:space="preserve">ωθεί </w:t>
      </w:r>
      <w:r w:rsidRPr="00B1438C">
        <w:rPr>
          <w:rFonts w:asciiTheme="majorHAnsi" w:hAnsiTheme="majorHAnsi"/>
        </w:rPr>
        <w:t>το ρυθμιστικό πλαίσιο για τη διαχε</w:t>
      </w:r>
      <w:r>
        <w:rPr>
          <w:rFonts w:asciiTheme="majorHAnsi" w:hAnsiTheme="majorHAnsi"/>
        </w:rPr>
        <w:t>ίριση των ραδιενεργών αποβλήτων,</w:t>
      </w:r>
    </w:p>
    <w:p w:rsidR="00F20243" w:rsidRDefault="00BE6892" w:rsidP="007F6F4C">
      <w:pPr>
        <w:pStyle w:val="ListParagraph"/>
        <w:numPr>
          <w:ilvl w:val="0"/>
          <w:numId w:val="9"/>
        </w:numPr>
        <w:spacing w:after="0"/>
        <w:ind w:left="142" w:hanging="426"/>
        <w:jc w:val="both"/>
        <w:rPr>
          <w:rFonts w:asciiTheme="majorHAnsi" w:hAnsiTheme="majorHAnsi"/>
        </w:rPr>
      </w:pPr>
      <w:r w:rsidRPr="00F20243">
        <w:rPr>
          <w:rFonts w:asciiTheme="majorHAnsi" w:hAnsiTheme="majorHAnsi"/>
        </w:rPr>
        <w:t>έχει αναπτ</w:t>
      </w:r>
      <w:r w:rsidR="00A83C62" w:rsidRPr="00F20243">
        <w:rPr>
          <w:rFonts w:asciiTheme="majorHAnsi" w:hAnsiTheme="majorHAnsi"/>
        </w:rPr>
        <w:t>υχθεί</w:t>
      </w:r>
      <w:r w:rsidR="003712F1">
        <w:rPr>
          <w:rFonts w:asciiTheme="majorHAnsi" w:hAnsiTheme="majorHAnsi"/>
        </w:rPr>
        <w:t xml:space="preserve"> </w:t>
      </w:r>
      <w:r w:rsidRPr="00F20243">
        <w:rPr>
          <w:rFonts w:asciiTheme="majorHAnsi" w:hAnsiTheme="majorHAnsi"/>
        </w:rPr>
        <w:t>πρόγραμμα διασφάλισης για τις μεταφορές ραδιενεργών υλικών</w:t>
      </w:r>
      <w:r w:rsidR="00F20243">
        <w:rPr>
          <w:rFonts w:asciiTheme="majorHAnsi" w:hAnsiTheme="majorHAnsi"/>
        </w:rPr>
        <w:t>,</w:t>
      </w:r>
    </w:p>
    <w:p w:rsidR="00BE6892" w:rsidRPr="00F20243" w:rsidRDefault="0056787C" w:rsidP="007F6F4C">
      <w:pPr>
        <w:pStyle w:val="ListParagraph"/>
        <w:numPr>
          <w:ilvl w:val="0"/>
          <w:numId w:val="9"/>
        </w:numPr>
        <w:spacing w:after="0"/>
        <w:ind w:left="142" w:hanging="426"/>
        <w:jc w:val="both"/>
        <w:rPr>
          <w:rFonts w:asciiTheme="majorHAnsi" w:hAnsiTheme="majorHAnsi"/>
        </w:rPr>
      </w:pPr>
      <w:r w:rsidRPr="00F20243">
        <w:rPr>
          <w:rFonts w:asciiTheme="majorHAnsi" w:hAnsiTheme="majorHAnsi"/>
        </w:rPr>
        <w:t xml:space="preserve">εφαρμόζεται </w:t>
      </w:r>
      <w:proofErr w:type="spellStart"/>
      <w:r w:rsidRPr="00F20243">
        <w:rPr>
          <w:rFonts w:asciiTheme="majorHAnsi" w:hAnsiTheme="majorHAnsi"/>
        </w:rPr>
        <w:t>μονοαπευθυντική</w:t>
      </w:r>
      <w:proofErr w:type="spellEnd"/>
      <w:r w:rsidRPr="00F20243">
        <w:rPr>
          <w:rFonts w:asciiTheme="majorHAnsi" w:hAnsiTheme="majorHAnsi"/>
        </w:rPr>
        <w:t xml:space="preserve"> διαδικασία </w:t>
      </w:r>
      <w:proofErr w:type="spellStart"/>
      <w:r w:rsidRPr="00F20243">
        <w:rPr>
          <w:rFonts w:asciiTheme="majorHAnsi" w:hAnsiTheme="majorHAnsi"/>
        </w:rPr>
        <w:t>αδειοδότησης</w:t>
      </w:r>
      <w:proofErr w:type="spellEnd"/>
      <w:r w:rsidRPr="00F20243">
        <w:rPr>
          <w:rFonts w:asciiTheme="majorHAnsi" w:hAnsiTheme="majorHAnsi"/>
        </w:rPr>
        <w:t xml:space="preserve"> στο πλαίσιο της οποίας </w:t>
      </w:r>
      <w:r w:rsidR="00A53972" w:rsidRPr="00F20243">
        <w:rPr>
          <w:rFonts w:asciiTheme="majorHAnsi" w:hAnsiTheme="majorHAnsi"/>
        </w:rPr>
        <w:t>παρακολουθεί</w:t>
      </w:r>
      <w:r w:rsidR="00A83C62" w:rsidRPr="00F20243">
        <w:rPr>
          <w:rFonts w:asciiTheme="majorHAnsi" w:hAnsiTheme="majorHAnsi"/>
        </w:rPr>
        <w:t>ται η</w:t>
      </w:r>
      <w:r w:rsidR="00A53972" w:rsidRPr="00F20243">
        <w:rPr>
          <w:rFonts w:asciiTheme="majorHAnsi" w:hAnsiTheme="majorHAnsi"/>
        </w:rPr>
        <w:t xml:space="preserve"> αιτιολόγηση </w:t>
      </w:r>
      <w:r w:rsidR="00A83C62" w:rsidRPr="00F20243">
        <w:rPr>
          <w:rFonts w:asciiTheme="majorHAnsi" w:hAnsiTheme="majorHAnsi"/>
        </w:rPr>
        <w:t xml:space="preserve">των διαγνωστικών εξετάσεων και </w:t>
      </w:r>
      <w:r w:rsidR="00A53972" w:rsidRPr="00F20243">
        <w:rPr>
          <w:rFonts w:asciiTheme="majorHAnsi" w:hAnsiTheme="majorHAnsi"/>
        </w:rPr>
        <w:t>η βελτιστοποίηση των δόσεων ακτινο</w:t>
      </w:r>
      <w:r w:rsidR="00A83C62" w:rsidRPr="00F20243">
        <w:rPr>
          <w:rFonts w:asciiTheme="majorHAnsi" w:hAnsiTheme="majorHAnsi"/>
        </w:rPr>
        <w:t xml:space="preserve">βολίας, </w:t>
      </w:r>
      <w:r w:rsidRPr="00F20243">
        <w:rPr>
          <w:rFonts w:asciiTheme="majorHAnsi" w:hAnsiTheme="majorHAnsi"/>
        </w:rPr>
        <w:t>με οφέλη για την προστασία</w:t>
      </w:r>
      <w:r w:rsidR="00A53972" w:rsidRPr="00F20243">
        <w:rPr>
          <w:rFonts w:asciiTheme="majorHAnsi" w:hAnsiTheme="majorHAnsi"/>
        </w:rPr>
        <w:t xml:space="preserve"> των ασ</w:t>
      </w:r>
      <w:r w:rsidR="00F20243">
        <w:rPr>
          <w:rFonts w:asciiTheme="majorHAnsi" w:hAnsiTheme="majorHAnsi"/>
        </w:rPr>
        <w:t>θενών.</w:t>
      </w:r>
    </w:p>
    <w:p w:rsidR="00A53972" w:rsidRPr="00B1438C" w:rsidRDefault="00A53972" w:rsidP="00D875AE">
      <w:pPr>
        <w:spacing w:after="0"/>
        <w:ind w:left="-426"/>
        <w:jc w:val="both"/>
        <w:rPr>
          <w:rFonts w:asciiTheme="majorHAnsi" w:hAnsiTheme="majorHAnsi"/>
        </w:rPr>
      </w:pPr>
    </w:p>
    <w:p w:rsidR="00CB2049" w:rsidRPr="00B1438C" w:rsidRDefault="0035628E" w:rsidP="00D875AE">
      <w:pPr>
        <w:spacing w:after="0"/>
        <w:ind w:left="-426"/>
        <w:jc w:val="both"/>
        <w:rPr>
          <w:rFonts w:asciiTheme="majorHAnsi" w:hAnsiTheme="majorHAnsi"/>
        </w:rPr>
      </w:pPr>
      <w:r w:rsidRPr="00B1438C">
        <w:rPr>
          <w:rFonts w:asciiTheme="majorHAnsi" w:hAnsiTheme="majorHAnsi"/>
        </w:rPr>
        <w:t xml:space="preserve">Η ομάδα των αξιολογητών </w:t>
      </w:r>
      <w:r w:rsidR="00336C0D" w:rsidRPr="00B1438C">
        <w:rPr>
          <w:rFonts w:asciiTheme="majorHAnsi" w:hAnsiTheme="majorHAnsi"/>
        </w:rPr>
        <w:t>κατέληξε</w:t>
      </w:r>
      <w:r w:rsidR="00F220EC">
        <w:rPr>
          <w:rFonts w:asciiTheme="majorHAnsi" w:hAnsiTheme="majorHAnsi"/>
        </w:rPr>
        <w:t>,</w:t>
      </w:r>
      <w:r w:rsidR="00336C0D" w:rsidRPr="00B1438C">
        <w:rPr>
          <w:rFonts w:asciiTheme="majorHAnsi" w:hAnsiTheme="majorHAnsi"/>
        </w:rPr>
        <w:t xml:space="preserve"> </w:t>
      </w:r>
      <w:r w:rsidR="00F220EC">
        <w:rPr>
          <w:rFonts w:asciiTheme="majorHAnsi" w:hAnsiTheme="majorHAnsi"/>
        </w:rPr>
        <w:t>επίσης,</w:t>
      </w:r>
      <w:r w:rsidR="00336C0D" w:rsidRPr="00B1438C">
        <w:rPr>
          <w:rFonts w:asciiTheme="majorHAnsi" w:hAnsiTheme="majorHAnsi"/>
        </w:rPr>
        <w:t xml:space="preserve"> στον εντοπισμό</w:t>
      </w:r>
      <w:r w:rsidRPr="00B1438C">
        <w:rPr>
          <w:rFonts w:asciiTheme="majorHAnsi" w:hAnsiTheme="majorHAnsi"/>
        </w:rPr>
        <w:t xml:space="preserve"> μια</w:t>
      </w:r>
      <w:r w:rsidR="00336C0D" w:rsidRPr="00B1438C">
        <w:rPr>
          <w:rFonts w:asciiTheme="majorHAnsi" w:hAnsiTheme="majorHAnsi"/>
        </w:rPr>
        <w:t>ς</w:t>
      </w:r>
      <w:r w:rsidRPr="00B1438C">
        <w:rPr>
          <w:rFonts w:asciiTheme="majorHAnsi" w:hAnsiTheme="majorHAnsi"/>
        </w:rPr>
        <w:t xml:space="preserve"> </w:t>
      </w:r>
      <w:r w:rsidR="00625B71">
        <w:rPr>
          <w:rFonts w:asciiTheme="majorHAnsi" w:hAnsiTheme="majorHAnsi"/>
        </w:rPr>
        <w:t xml:space="preserve">νέας </w:t>
      </w:r>
      <w:r w:rsidRPr="00B1438C">
        <w:rPr>
          <w:rFonts w:asciiTheme="majorHAnsi" w:hAnsiTheme="majorHAnsi"/>
        </w:rPr>
        <w:t>καλή</w:t>
      </w:r>
      <w:r w:rsidR="00336C0D" w:rsidRPr="00B1438C">
        <w:rPr>
          <w:rFonts w:asciiTheme="majorHAnsi" w:hAnsiTheme="majorHAnsi"/>
        </w:rPr>
        <w:t>ς</w:t>
      </w:r>
      <w:r w:rsidRPr="00B1438C">
        <w:rPr>
          <w:rFonts w:asciiTheme="majorHAnsi" w:hAnsiTheme="majorHAnsi"/>
        </w:rPr>
        <w:t xml:space="preserve"> πρακτική</w:t>
      </w:r>
      <w:r w:rsidR="00336C0D" w:rsidRPr="00B1438C">
        <w:rPr>
          <w:rFonts w:asciiTheme="majorHAnsi" w:hAnsiTheme="majorHAnsi"/>
        </w:rPr>
        <w:t>ς</w:t>
      </w:r>
      <w:r w:rsidRPr="00B1438C">
        <w:rPr>
          <w:rFonts w:asciiTheme="majorHAnsi" w:hAnsiTheme="majorHAnsi"/>
        </w:rPr>
        <w:t xml:space="preserve"> και </w:t>
      </w:r>
      <w:r w:rsidR="00F220EC">
        <w:rPr>
          <w:rFonts w:asciiTheme="majorHAnsi" w:hAnsiTheme="majorHAnsi"/>
        </w:rPr>
        <w:t xml:space="preserve">τη διατύπωση </w:t>
      </w:r>
      <w:r w:rsidRPr="00B1438C">
        <w:rPr>
          <w:rFonts w:asciiTheme="majorHAnsi" w:hAnsiTheme="majorHAnsi"/>
        </w:rPr>
        <w:t>μια</w:t>
      </w:r>
      <w:r w:rsidR="00336C0D" w:rsidRPr="00B1438C">
        <w:rPr>
          <w:rFonts w:asciiTheme="majorHAnsi" w:hAnsiTheme="majorHAnsi"/>
        </w:rPr>
        <w:t>ς</w:t>
      </w:r>
      <w:r w:rsidRPr="00B1438C">
        <w:rPr>
          <w:rFonts w:asciiTheme="majorHAnsi" w:hAnsiTheme="majorHAnsi"/>
        </w:rPr>
        <w:t xml:space="preserve"> </w:t>
      </w:r>
      <w:r w:rsidR="00F220EC">
        <w:rPr>
          <w:rFonts w:asciiTheme="majorHAnsi" w:hAnsiTheme="majorHAnsi"/>
        </w:rPr>
        <w:t xml:space="preserve">νέας </w:t>
      </w:r>
      <w:r w:rsidRPr="00B1438C">
        <w:rPr>
          <w:rFonts w:asciiTheme="majorHAnsi" w:hAnsiTheme="majorHAnsi"/>
        </w:rPr>
        <w:t>σύσταση</w:t>
      </w:r>
      <w:r w:rsidR="00336C0D" w:rsidRPr="00B1438C">
        <w:rPr>
          <w:rFonts w:asciiTheme="majorHAnsi" w:hAnsiTheme="majorHAnsi"/>
        </w:rPr>
        <w:t>ς</w:t>
      </w:r>
      <w:r w:rsidRPr="00B1438C">
        <w:rPr>
          <w:rFonts w:asciiTheme="majorHAnsi" w:hAnsiTheme="majorHAnsi"/>
        </w:rPr>
        <w:t xml:space="preserve">. Η πρώτη αφορά σε </w:t>
      </w:r>
      <w:r w:rsidR="00A83C62">
        <w:rPr>
          <w:rFonts w:asciiTheme="majorHAnsi" w:hAnsiTheme="majorHAnsi"/>
        </w:rPr>
        <w:t>ερευνητικές δράσεις</w:t>
      </w:r>
      <w:r w:rsidRPr="00B1438C">
        <w:rPr>
          <w:rFonts w:asciiTheme="majorHAnsi" w:hAnsiTheme="majorHAnsi"/>
        </w:rPr>
        <w:t xml:space="preserve"> που υλοποιεί η ΕΕΑΕ στο πεδίο της ακτινοπροστασίας ασθενών και η δεύτερη στην τροποποίηση συγκεκ</w:t>
      </w:r>
      <w:r w:rsidR="00A83C62">
        <w:rPr>
          <w:rFonts w:asciiTheme="majorHAnsi" w:hAnsiTheme="majorHAnsi"/>
        </w:rPr>
        <w:t xml:space="preserve">ριμένου τμήματος νομοθετικών διατάξεων για επιβολή κυρώσεων. </w:t>
      </w:r>
    </w:p>
    <w:p w:rsidR="0035628E" w:rsidRPr="00B1438C" w:rsidRDefault="0035628E" w:rsidP="00D875AE">
      <w:pPr>
        <w:spacing w:after="0"/>
        <w:ind w:left="-426"/>
        <w:jc w:val="both"/>
        <w:rPr>
          <w:rFonts w:asciiTheme="majorHAnsi" w:hAnsiTheme="majorHAnsi"/>
        </w:rPr>
      </w:pPr>
    </w:p>
    <w:p w:rsidR="00DF13E6" w:rsidRPr="00013471" w:rsidRDefault="00DF13E6" w:rsidP="00DF13E6">
      <w:pPr>
        <w:spacing w:after="0"/>
        <w:ind w:left="-426"/>
        <w:jc w:val="both"/>
        <w:rPr>
          <w:rFonts w:asciiTheme="majorHAnsi" w:hAnsiTheme="majorHAnsi"/>
        </w:rPr>
      </w:pPr>
      <w:r w:rsidRPr="00013471">
        <w:rPr>
          <w:rFonts w:asciiTheme="majorHAnsi" w:hAnsiTheme="majorHAnsi"/>
        </w:rPr>
        <w:t xml:space="preserve">Στη συνάντηση παρουσίασης των ευρημάτων της αξιολόγησης παρευρέθηκε η Γενική Γραμματέας Έρευνας και Τεχνολογίας, Δρ. Μ. </w:t>
      </w:r>
      <w:proofErr w:type="spellStart"/>
      <w:r>
        <w:rPr>
          <w:rFonts w:asciiTheme="majorHAnsi" w:hAnsiTheme="majorHAnsi"/>
        </w:rPr>
        <w:t>Κυπριανίδου</w:t>
      </w:r>
      <w:proofErr w:type="spellEnd"/>
      <w:r>
        <w:rPr>
          <w:rFonts w:asciiTheme="majorHAnsi" w:hAnsiTheme="majorHAnsi"/>
        </w:rPr>
        <w:t xml:space="preserve">, η οποία δήλωσε </w:t>
      </w:r>
      <w:r w:rsidRPr="00013471">
        <w:rPr>
          <w:rFonts w:asciiTheme="majorHAnsi" w:hAnsiTheme="majorHAnsi"/>
        </w:rPr>
        <w:t xml:space="preserve">«Η αξιολόγηση της ΕΕΑΕ ως ρυθμιστικής αρχής ολοκληρώθηκε με επιτυχία. Θα ήθελα να συγχαρώ όλους τους </w:t>
      </w:r>
      <w:r w:rsidRPr="00013471">
        <w:rPr>
          <w:rFonts w:asciiTheme="majorHAnsi" w:hAnsiTheme="majorHAnsi"/>
        </w:rPr>
        <w:lastRenderedPageBreak/>
        <w:t xml:space="preserve">συντελεστές. Η χώρα υιοθετεί, </w:t>
      </w:r>
      <w:proofErr w:type="spellStart"/>
      <w:r w:rsidRPr="00013471">
        <w:rPr>
          <w:rFonts w:asciiTheme="majorHAnsi" w:hAnsiTheme="majorHAnsi"/>
        </w:rPr>
        <w:t>επικαιροποιεί</w:t>
      </w:r>
      <w:proofErr w:type="spellEnd"/>
      <w:r w:rsidRPr="00013471">
        <w:rPr>
          <w:rFonts w:asciiTheme="majorHAnsi" w:hAnsiTheme="majorHAnsi"/>
        </w:rPr>
        <w:t xml:space="preserve"> συνεχώς και υλοποιεί, ένα σύγχρονο ρυθμιστικό πλαίσιο στον τομέα της ασφάλειας των ακτινοβολιών στη χώρα. </w:t>
      </w:r>
      <w:r>
        <w:rPr>
          <w:rFonts w:asciiTheme="majorHAnsi" w:hAnsiTheme="majorHAnsi"/>
        </w:rPr>
        <w:t xml:space="preserve">Σήμερα γίνεται ένα ακόμα σημαντικό βήμα, στη </w:t>
      </w:r>
      <w:r w:rsidRPr="00013471">
        <w:rPr>
          <w:rFonts w:asciiTheme="majorHAnsi" w:hAnsiTheme="majorHAnsi"/>
        </w:rPr>
        <w:t>διαρκή προσπάθεια των δημόσιων φορέων</w:t>
      </w:r>
      <w:r>
        <w:rPr>
          <w:rFonts w:asciiTheme="majorHAnsi" w:hAnsiTheme="majorHAnsi"/>
        </w:rPr>
        <w:t xml:space="preserve">, </w:t>
      </w:r>
      <w:r w:rsidRPr="00013471">
        <w:rPr>
          <w:rFonts w:asciiTheme="majorHAnsi" w:hAnsiTheme="majorHAnsi"/>
        </w:rPr>
        <w:t xml:space="preserve">της Πολιτείας, για ένα σύγχρονο, τεχνολογικά προηγμένο και επιστημονικά ενημερωμένο Κράτος, </w:t>
      </w:r>
      <w:r>
        <w:rPr>
          <w:rFonts w:asciiTheme="majorHAnsi" w:hAnsiTheme="majorHAnsi"/>
        </w:rPr>
        <w:t>το οποίο</w:t>
      </w:r>
      <w:r w:rsidRPr="00013471">
        <w:rPr>
          <w:rFonts w:asciiTheme="majorHAnsi" w:hAnsiTheme="majorHAnsi"/>
        </w:rPr>
        <w:t xml:space="preserve"> εγγυάται την ασφάλεια της χώρας και των πολιτών».</w:t>
      </w:r>
    </w:p>
    <w:p w:rsidR="00CB2049" w:rsidRPr="00B1438C" w:rsidRDefault="00CB2049" w:rsidP="00D32AE7">
      <w:pPr>
        <w:spacing w:after="0"/>
        <w:ind w:left="-426"/>
        <w:jc w:val="both"/>
        <w:rPr>
          <w:rFonts w:asciiTheme="majorHAnsi" w:hAnsiTheme="majorHAnsi"/>
        </w:rPr>
      </w:pPr>
    </w:p>
    <w:p w:rsidR="00CB2049" w:rsidRPr="00B1438C" w:rsidRDefault="00CB2049" w:rsidP="00D32AE7">
      <w:pPr>
        <w:spacing w:after="0"/>
        <w:ind w:left="-426"/>
        <w:jc w:val="both"/>
        <w:rPr>
          <w:rFonts w:asciiTheme="majorHAnsi" w:hAnsiTheme="majorHAnsi"/>
        </w:rPr>
      </w:pPr>
      <w:r w:rsidRPr="00B1438C">
        <w:rPr>
          <w:rFonts w:asciiTheme="majorHAnsi" w:hAnsiTheme="majorHAnsi"/>
        </w:rPr>
        <w:t>Από την πλευρά του ο Πρόεδρος της ΕΕΑΕ</w:t>
      </w:r>
      <w:r w:rsidR="0035628E" w:rsidRPr="00B1438C">
        <w:rPr>
          <w:rFonts w:asciiTheme="majorHAnsi" w:hAnsiTheme="majorHAnsi"/>
        </w:rPr>
        <w:t>, Χ.</w:t>
      </w:r>
      <w:r w:rsidR="002C2BF2">
        <w:rPr>
          <w:rFonts w:asciiTheme="majorHAnsi" w:hAnsiTheme="majorHAnsi"/>
        </w:rPr>
        <w:t xml:space="preserve"> </w:t>
      </w:r>
      <w:proofErr w:type="spellStart"/>
      <w:r w:rsidR="0035628E" w:rsidRPr="00B1438C">
        <w:rPr>
          <w:rFonts w:asciiTheme="majorHAnsi" w:hAnsiTheme="majorHAnsi"/>
        </w:rPr>
        <w:t>Χουσιάδας</w:t>
      </w:r>
      <w:proofErr w:type="spellEnd"/>
      <w:r w:rsidR="0035628E" w:rsidRPr="00B1438C">
        <w:rPr>
          <w:rFonts w:asciiTheme="majorHAnsi" w:hAnsiTheme="majorHAnsi"/>
        </w:rPr>
        <w:t>,</w:t>
      </w:r>
      <w:r w:rsidRPr="00B1438C">
        <w:rPr>
          <w:rFonts w:asciiTheme="majorHAnsi" w:hAnsiTheme="majorHAnsi"/>
        </w:rPr>
        <w:t xml:space="preserve"> δήλωσε </w:t>
      </w:r>
      <w:r w:rsidR="001F669B">
        <w:rPr>
          <w:rFonts w:asciiTheme="majorHAnsi" w:hAnsiTheme="majorHAnsi"/>
        </w:rPr>
        <w:t>«Τ</w:t>
      </w:r>
      <w:r w:rsidR="000D7749" w:rsidRPr="00B1438C">
        <w:rPr>
          <w:rFonts w:asciiTheme="majorHAnsi" w:hAnsiTheme="majorHAnsi"/>
        </w:rPr>
        <w:t>ο αποτέλεσμα της επαναληπτικής διεθνούς αξιολόγησης επιβεβαιώνει τη σημαντική πρόοδο που έχει συντελεστεί τα τελευταία χρόνια στον τομέα της ραδιολογικής ασφάλειας στη χώρα μας. Καλωσορίζουμε τα ευρήματα των αξιολογητών ως βάση για λήψη αποφάσεων που θα βελτιώσουν ακόμη περισσότερο το εθνικό ρυθμιστικό πλαίσιο. Η συμμόρφωση με τα διεθνή πρότυπα έχει πολλαπλά οφέλη</w:t>
      </w:r>
      <w:r w:rsidR="0035628E" w:rsidRPr="00B1438C">
        <w:rPr>
          <w:rFonts w:asciiTheme="majorHAnsi" w:hAnsiTheme="majorHAnsi"/>
        </w:rPr>
        <w:t xml:space="preserve"> </w:t>
      </w:r>
      <w:r w:rsidR="000D7749" w:rsidRPr="00B1438C">
        <w:rPr>
          <w:rFonts w:asciiTheme="majorHAnsi" w:hAnsiTheme="majorHAnsi"/>
        </w:rPr>
        <w:t>για το εθνικό και το παγκόσμιο σύστημα ασφάλειας»</w:t>
      </w:r>
      <w:r w:rsidR="0035628E" w:rsidRPr="00B1438C">
        <w:rPr>
          <w:rFonts w:asciiTheme="majorHAnsi" w:hAnsiTheme="majorHAnsi"/>
        </w:rPr>
        <w:t>.</w:t>
      </w:r>
    </w:p>
    <w:p w:rsidR="00D32AE7" w:rsidRPr="00B1438C" w:rsidRDefault="00D32AE7" w:rsidP="00D875AE">
      <w:pPr>
        <w:spacing w:after="0"/>
        <w:ind w:left="-426"/>
        <w:jc w:val="both"/>
        <w:rPr>
          <w:rFonts w:asciiTheme="majorHAnsi" w:hAnsiTheme="majorHAnsi"/>
        </w:rPr>
      </w:pPr>
    </w:p>
    <w:p w:rsidR="00D875AE" w:rsidRPr="00B1438C" w:rsidRDefault="00203069" w:rsidP="00D875AE">
      <w:pPr>
        <w:spacing w:after="0"/>
        <w:ind w:left="-426"/>
        <w:jc w:val="both"/>
        <w:rPr>
          <w:rFonts w:asciiTheme="majorHAnsi" w:hAnsiTheme="majorHAnsi"/>
        </w:rPr>
      </w:pPr>
      <w:r w:rsidRPr="00B1438C">
        <w:rPr>
          <w:rFonts w:asciiTheme="majorHAnsi" w:hAnsiTheme="majorHAnsi"/>
        </w:rPr>
        <w:t>Η τελική λεπτομερής έκθεση συμπερασμάτων θα παραδοθεί σε τρεις μήνες και θα δημοσιοποιηθεί από την ΕΕΑΕ.</w:t>
      </w:r>
    </w:p>
    <w:p w:rsidR="00D875AE" w:rsidRPr="00B1438C" w:rsidRDefault="00D875AE" w:rsidP="00D875AE">
      <w:pPr>
        <w:spacing w:after="0"/>
        <w:ind w:left="-426"/>
        <w:jc w:val="both"/>
        <w:rPr>
          <w:rFonts w:asciiTheme="majorHAnsi" w:hAnsiTheme="majorHAnsi"/>
        </w:rPr>
      </w:pPr>
    </w:p>
    <w:p w:rsidR="00D875AE" w:rsidRPr="00F8006A" w:rsidRDefault="000D2994" w:rsidP="00D875AE">
      <w:pPr>
        <w:spacing w:after="0"/>
        <w:ind w:left="-426"/>
        <w:jc w:val="both"/>
        <w:rPr>
          <w:rFonts w:asciiTheme="majorHAnsi" w:hAnsiTheme="majorHAnsi"/>
        </w:rPr>
      </w:pPr>
      <w:r w:rsidRPr="00F8006A">
        <w:rPr>
          <w:rFonts w:asciiTheme="majorHAnsi" w:hAnsiTheme="majorHAnsi"/>
          <w:b/>
        </w:rPr>
        <w:t xml:space="preserve">Λίγα λόγια για τη διεθνή αξιολόγηση </w:t>
      </w:r>
      <w:r w:rsidRPr="00F8006A">
        <w:rPr>
          <w:rFonts w:asciiTheme="majorHAnsi" w:hAnsiTheme="majorHAnsi"/>
          <w:b/>
          <w:lang w:val="en-US"/>
        </w:rPr>
        <w:t>IRRS</w:t>
      </w:r>
    </w:p>
    <w:p w:rsidR="001604EE" w:rsidRPr="00F8006A" w:rsidRDefault="006B053C" w:rsidP="00D875AE">
      <w:pPr>
        <w:spacing w:after="0"/>
        <w:ind w:left="-426"/>
        <w:jc w:val="both"/>
        <w:rPr>
          <w:rFonts w:asciiTheme="majorHAnsi" w:hAnsiTheme="majorHAnsi"/>
        </w:rPr>
      </w:pPr>
      <w:r w:rsidRPr="00F8006A">
        <w:rPr>
          <w:rFonts w:asciiTheme="majorHAnsi" w:hAnsiTheme="majorHAnsi" w:cs="Times New Roman"/>
        </w:rPr>
        <w:t>Η αξιολόγηση IRRS είναι μια λεπτομερής εξέταση του εθνικού κανονιστικού πλαισίου και της αρμόδιας ρυθμιστικής αρχής. Ως βάση σύγκρισης χρησιμοποιούνται τα πρότυπα ασφ</w:t>
      </w:r>
      <w:r w:rsidRPr="00F8006A">
        <w:rPr>
          <w:rFonts w:asciiTheme="majorHAnsi" w:hAnsiTheme="majorHAnsi"/>
        </w:rPr>
        <w:t xml:space="preserve">άλειας </w:t>
      </w:r>
      <w:r w:rsidRPr="00F8006A">
        <w:rPr>
          <w:rFonts w:asciiTheme="majorHAnsi" w:hAnsiTheme="majorHAnsi" w:cs="Times New Roman"/>
        </w:rPr>
        <w:t xml:space="preserve">του Διεθνούς Οργανισμού Ατομικής Ενέργειας (ΙΑΕΑ) και άλλες αναγνωρισμένες διεθνείς πρακτικές. Οι αξιολογήσεις IRRS διεξάγονται παγκοσμίως στο πλαίσιο της ενδυνάμωσης του διεθνούς </w:t>
      </w:r>
      <w:r w:rsidR="003F28C9" w:rsidRPr="00F8006A">
        <w:rPr>
          <w:rFonts w:asciiTheme="majorHAnsi" w:hAnsiTheme="majorHAnsi"/>
        </w:rPr>
        <w:t xml:space="preserve">συστήματος </w:t>
      </w:r>
      <w:r w:rsidRPr="00F8006A">
        <w:rPr>
          <w:rFonts w:asciiTheme="majorHAnsi" w:hAnsiTheme="majorHAnsi" w:cs="Times New Roman"/>
        </w:rPr>
        <w:t>ραδιολογικής και πυρηνικής ασφάλειας. Μετά την ψήφιση των Οδηγιών 2009/71/Ευρατόμ και 2011/70/Ευρατόμ αποτελούν και συμβατική υποχρέωση των κρατών μελών της ΕΕ. Η διαδικασία της ελληνικής αξιολόγησης ξεκίνησε το 2009 και το 2012 η Ελλάδα ήταν το πρώτο μη-πυρηνικό κράτος μέλος της ΕΕ που υποβλήθηκε σε αυτή την αξιολόγηση.</w:t>
      </w:r>
      <w:r w:rsidR="003F28C9" w:rsidRPr="00F8006A">
        <w:rPr>
          <w:rFonts w:asciiTheme="majorHAnsi" w:hAnsiTheme="majorHAnsi"/>
        </w:rPr>
        <w:t xml:space="preserve"> </w:t>
      </w:r>
    </w:p>
    <w:p w:rsidR="001604EE" w:rsidRPr="00F8006A" w:rsidRDefault="001604EE" w:rsidP="00637CDF">
      <w:pPr>
        <w:spacing w:after="0"/>
        <w:ind w:left="-426"/>
        <w:jc w:val="both"/>
        <w:rPr>
          <w:rFonts w:asciiTheme="majorHAnsi" w:eastAsia="Times New Roman" w:hAnsiTheme="majorHAnsi" w:cs="Times New Roman"/>
          <w:i/>
          <w:spacing w:val="-3"/>
          <w:sz w:val="6"/>
        </w:rPr>
      </w:pPr>
    </w:p>
    <w:p w:rsidR="001604EE" w:rsidRPr="00F8006A" w:rsidRDefault="001604EE" w:rsidP="00637CDF">
      <w:pPr>
        <w:spacing w:after="0"/>
        <w:ind w:left="-426"/>
        <w:jc w:val="both"/>
        <w:rPr>
          <w:rFonts w:asciiTheme="majorHAnsi" w:eastAsia="Times New Roman" w:hAnsiTheme="majorHAnsi" w:cs="Times New Roman"/>
          <w:i/>
          <w:spacing w:val="-3"/>
          <w:sz w:val="4"/>
        </w:rPr>
      </w:pPr>
    </w:p>
    <w:p w:rsidR="001604EE" w:rsidRPr="00F8006A" w:rsidRDefault="001604EE" w:rsidP="00637CDF">
      <w:pPr>
        <w:spacing w:after="0"/>
        <w:ind w:left="-426"/>
        <w:jc w:val="both"/>
        <w:rPr>
          <w:rFonts w:asciiTheme="majorHAnsi" w:eastAsia="Times New Roman" w:hAnsiTheme="majorHAnsi" w:cs="Times New Roman"/>
          <w:i/>
          <w:spacing w:val="-3"/>
          <w:sz w:val="4"/>
        </w:rPr>
      </w:pPr>
    </w:p>
    <w:p w:rsidR="001604EE" w:rsidRPr="00F8006A" w:rsidRDefault="001604EE" w:rsidP="00637CDF">
      <w:pPr>
        <w:spacing w:after="0"/>
        <w:ind w:left="-426"/>
        <w:jc w:val="both"/>
        <w:rPr>
          <w:rFonts w:asciiTheme="majorHAnsi" w:eastAsia="Times New Roman" w:hAnsiTheme="majorHAnsi" w:cs="Times New Roman"/>
          <w:i/>
          <w:spacing w:val="-3"/>
          <w:sz w:val="4"/>
        </w:rPr>
      </w:pPr>
    </w:p>
    <w:p w:rsidR="001604EE" w:rsidRPr="00F8006A" w:rsidRDefault="001604EE" w:rsidP="00637CDF">
      <w:pPr>
        <w:spacing w:after="0"/>
        <w:ind w:left="-426"/>
        <w:jc w:val="both"/>
        <w:rPr>
          <w:rFonts w:asciiTheme="majorHAnsi" w:eastAsia="Times New Roman" w:hAnsiTheme="majorHAnsi" w:cs="Times New Roman"/>
          <w:i/>
          <w:spacing w:val="-3"/>
          <w:sz w:val="4"/>
        </w:rPr>
      </w:pPr>
    </w:p>
    <w:p w:rsidR="001604EE" w:rsidRPr="00F8006A" w:rsidRDefault="001604EE" w:rsidP="00637CDF">
      <w:pPr>
        <w:spacing w:after="0"/>
        <w:ind w:left="-426"/>
        <w:jc w:val="both"/>
        <w:rPr>
          <w:rFonts w:asciiTheme="majorHAnsi" w:eastAsia="Times New Roman" w:hAnsiTheme="majorHAnsi" w:cs="Times New Roman"/>
          <w:i/>
          <w:spacing w:val="-3"/>
          <w:sz w:val="4"/>
        </w:rPr>
      </w:pPr>
    </w:p>
    <w:p w:rsidR="001604EE" w:rsidRPr="00F8006A" w:rsidRDefault="001604EE" w:rsidP="00637CDF">
      <w:pPr>
        <w:spacing w:after="0"/>
        <w:ind w:left="-426"/>
        <w:jc w:val="both"/>
        <w:rPr>
          <w:rFonts w:asciiTheme="majorHAnsi" w:eastAsia="Times New Roman" w:hAnsiTheme="majorHAnsi" w:cs="Times New Roman"/>
          <w:i/>
          <w:spacing w:val="-3"/>
          <w:sz w:val="4"/>
        </w:rPr>
      </w:pPr>
    </w:p>
    <w:p w:rsidR="001604EE" w:rsidRPr="00F8006A" w:rsidRDefault="001604EE" w:rsidP="00637CDF">
      <w:pPr>
        <w:spacing w:after="0"/>
        <w:ind w:left="-426"/>
        <w:jc w:val="both"/>
        <w:rPr>
          <w:rFonts w:asciiTheme="majorHAnsi" w:eastAsia="Times New Roman" w:hAnsiTheme="majorHAnsi" w:cs="Times New Roman"/>
          <w:i/>
          <w:spacing w:val="-3"/>
          <w:sz w:val="4"/>
        </w:rPr>
      </w:pPr>
    </w:p>
    <w:p w:rsidR="001604EE" w:rsidRPr="00B1438C" w:rsidRDefault="001604EE" w:rsidP="00637CDF">
      <w:pPr>
        <w:spacing w:after="0"/>
        <w:ind w:left="-426"/>
        <w:jc w:val="both"/>
        <w:rPr>
          <w:rFonts w:asciiTheme="majorHAnsi" w:eastAsia="Times New Roman" w:hAnsiTheme="majorHAnsi" w:cs="Times New Roman"/>
          <w:i/>
          <w:spacing w:val="-3"/>
          <w:sz w:val="2"/>
        </w:rPr>
      </w:pPr>
    </w:p>
    <w:p w:rsidR="001604EE" w:rsidRPr="00B1438C" w:rsidRDefault="001604EE" w:rsidP="00637CDF">
      <w:pPr>
        <w:spacing w:after="0"/>
        <w:ind w:left="-426"/>
        <w:jc w:val="both"/>
        <w:rPr>
          <w:rFonts w:asciiTheme="majorHAnsi" w:eastAsia="Times New Roman" w:hAnsiTheme="majorHAnsi" w:cs="Times New Roman"/>
          <w:i/>
          <w:spacing w:val="-3"/>
          <w:sz w:val="2"/>
        </w:rPr>
      </w:pPr>
    </w:p>
    <w:p w:rsidR="001604EE" w:rsidRPr="00B1438C" w:rsidRDefault="001604EE" w:rsidP="00637CDF">
      <w:pPr>
        <w:spacing w:after="0"/>
        <w:ind w:left="-426"/>
        <w:jc w:val="both"/>
        <w:rPr>
          <w:rFonts w:asciiTheme="majorHAnsi" w:eastAsia="Times New Roman" w:hAnsiTheme="majorHAnsi" w:cs="Times New Roman"/>
          <w:i/>
          <w:spacing w:val="-3"/>
          <w:sz w:val="2"/>
        </w:rPr>
      </w:pPr>
    </w:p>
    <w:p w:rsidR="001604EE" w:rsidRPr="00B1438C" w:rsidRDefault="001604EE" w:rsidP="00637CDF">
      <w:pPr>
        <w:spacing w:after="0"/>
        <w:ind w:left="-426"/>
        <w:jc w:val="both"/>
        <w:rPr>
          <w:rFonts w:asciiTheme="majorHAnsi" w:eastAsia="Times New Roman" w:hAnsiTheme="majorHAnsi" w:cs="Times New Roman"/>
          <w:i/>
          <w:spacing w:val="-3"/>
          <w:sz w:val="2"/>
        </w:rPr>
      </w:pPr>
    </w:p>
    <w:p w:rsidR="001604EE" w:rsidRDefault="001604EE"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Default="00D67B0B" w:rsidP="00637CDF">
      <w:pPr>
        <w:spacing w:after="0"/>
        <w:ind w:left="-426"/>
        <w:jc w:val="both"/>
        <w:rPr>
          <w:rFonts w:asciiTheme="majorHAnsi" w:eastAsia="Times New Roman" w:hAnsiTheme="majorHAnsi" w:cs="Times New Roman"/>
          <w:i/>
          <w:spacing w:val="-3"/>
          <w:sz w:val="2"/>
        </w:rPr>
      </w:pPr>
    </w:p>
    <w:p w:rsidR="00D67B0B" w:rsidRPr="00B1438C" w:rsidRDefault="00D67B0B" w:rsidP="00637CDF">
      <w:pPr>
        <w:spacing w:after="0"/>
        <w:ind w:left="-426"/>
        <w:jc w:val="both"/>
        <w:rPr>
          <w:rFonts w:asciiTheme="majorHAnsi" w:eastAsia="Times New Roman" w:hAnsiTheme="majorHAnsi" w:cs="Times New Roman"/>
          <w:i/>
          <w:spacing w:val="-3"/>
          <w:sz w:val="2"/>
        </w:rPr>
      </w:pPr>
    </w:p>
    <w:p w:rsidR="001604EE" w:rsidRPr="00B1438C" w:rsidRDefault="001604EE" w:rsidP="00637CDF">
      <w:pPr>
        <w:spacing w:after="0"/>
        <w:ind w:left="-426"/>
        <w:jc w:val="both"/>
        <w:rPr>
          <w:rFonts w:asciiTheme="majorHAnsi" w:eastAsia="Times New Roman" w:hAnsiTheme="majorHAnsi" w:cs="Times New Roman"/>
          <w:i/>
          <w:spacing w:val="-3"/>
          <w:sz w:val="2"/>
        </w:rPr>
      </w:pPr>
      <w:bookmarkStart w:id="0" w:name="_GoBack"/>
      <w:bookmarkEnd w:id="0"/>
    </w:p>
    <w:p w:rsidR="001604EE" w:rsidRPr="00B1438C" w:rsidRDefault="001604EE" w:rsidP="006B053C">
      <w:pPr>
        <w:spacing w:after="0"/>
        <w:jc w:val="both"/>
        <w:rPr>
          <w:rFonts w:asciiTheme="majorHAnsi" w:eastAsia="Times New Roman" w:hAnsiTheme="majorHAnsi" w:cs="Times New Roman"/>
          <w:i/>
          <w:spacing w:val="-3"/>
          <w:sz w:val="2"/>
        </w:rPr>
      </w:pPr>
    </w:p>
    <w:p w:rsidR="001604EE" w:rsidRPr="00B1438C" w:rsidRDefault="001604EE" w:rsidP="00637CDF">
      <w:pPr>
        <w:spacing w:after="0"/>
        <w:ind w:left="-426"/>
        <w:jc w:val="both"/>
        <w:rPr>
          <w:rFonts w:asciiTheme="majorHAnsi" w:eastAsia="Times New Roman" w:hAnsiTheme="majorHAnsi" w:cs="Times New Roman"/>
          <w:i/>
          <w:spacing w:val="-3"/>
          <w:sz w:val="2"/>
        </w:rPr>
      </w:pPr>
    </w:p>
    <w:p w:rsidR="001604EE" w:rsidRPr="00B1438C" w:rsidRDefault="001604EE" w:rsidP="00637CDF">
      <w:pPr>
        <w:spacing w:after="0"/>
        <w:ind w:left="-426"/>
        <w:jc w:val="both"/>
        <w:rPr>
          <w:rFonts w:asciiTheme="majorHAnsi" w:eastAsia="Times New Roman" w:hAnsiTheme="majorHAnsi" w:cs="Times New Roman"/>
          <w:i/>
          <w:spacing w:val="-3"/>
          <w:sz w:val="2"/>
        </w:rPr>
      </w:pPr>
    </w:p>
    <w:p w:rsidR="001604EE" w:rsidRPr="00B1438C" w:rsidRDefault="001604EE" w:rsidP="00637CDF">
      <w:pPr>
        <w:spacing w:after="0"/>
        <w:ind w:left="-426"/>
        <w:jc w:val="both"/>
        <w:rPr>
          <w:rFonts w:asciiTheme="majorHAnsi" w:eastAsia="Times New Roman" w:hAnsiTheme="majorHAnsi" w:cs="Times New Roman"/>
          <w:i/>
          <w:spacing w:val="-3"/>
          <w:sz w:val="2"/>
        </w:rPr>
      </w:pPr>
    </w:p>
    <w:p w:rsidR="001604EE" w:rsidRPr="00B1438C" w:rsidRDefault="001604EE" w:rsidP="00637CDF">
      <w:pPr>
        <w:spacing w:after="0"/>
        <w:ind w:left="-426"/>
        <w:jc w:val="both"/>
        <w:rPr>
          <w:rFonts w:asciiTheme="majorHAnsi" w:eastAsia="Times New Roman" w:hAnsiTheme="majorHAnsi" w:cs="Times New Roman"/>
          <w:i/>
          <w:spacing w:val="-3"/>
          <w:sz w:val="2"/>
        </w:rPr>
      </w:pPr>
    </w:p>
    <w:p w:rsidR="00D174BA" w:rsidRPr="00B1438C" w:rsidRDefault="00D174BA" w:rsidP="00637CDF">
      <w:pPr>
        <w:spacing w:after="0"/>
        <w:ind w:left="-426"/>
        <w:jc w:val="both"/>
        <w:rPr>
          <w:rFonts w:asciiTheme="majorHAnsi" w:eastAsia="Times New Roman" w:hAnsiTheme="majorHAnsi" w:cs="Times New Roman"/>
          <w:i/>
          <w:spacing w:val="-3"/>
          <w:sz w:val="2"/>
        </w:rPr>
      </w:pPr>
    </w:p>
    <w:p w:rsidR="006656E0" w:rsidRPr="00B1438C" w:rsidRDefault="006656E0" w:rsidP="00637CDF">
      <w:pPr>
        <w:spacing w:after="0"/>
        <w:ind w:left="-426"/>
        <w:jc w:val="both"/>
        <w:rPr>
          <w:rFonts w:asciiTheme="majorHAnsi" w:eastAsia="Times New Roman" w:hAnsiTheme="majorHAnsi" w:cs="Times New Roman"/>
          <w:i/>
          <w:spacing w:val="-3"/>
          <w:sz w:val="2"/>
        </w:rPr>
      </w:pPr>
    </w:p>
    <w:p w:rsidR="006656E0" w:rsidRPr="00B1438C" w:rsidRDefault="006656E0" w:rsidP="00637CDF">
      <w:pPr>
        <w:spacing w:after="0"/>
        <w:ind w:left="-426"/>
        <w:jc w:val="both"/>
        <w:rPr>
          <w:rFonts w:asciiTheme="majorHAnsi" w:eastAsia="Times New Roman" w:hAnsiTheme="majorHAnsi" w:cs="Times New Roman"/>
          <w:i/>
          <w:spacing w:val="-3"/>
          <w:sz w:val="2"/>
        </w:rPr>
      </w:pPr>
    </w:p>
    <w:p w:rsidR="006656E0" w:rsidRPr="00B1438C" w:rsidRDefault="006656E0" w:rsidP="00637CDF">
      <w:pPr>
        <w:spacing w:after="0"/>
        <w:ind w:left="-426"/>
        <w:jc w:val="both"/>
        <w:rPr>
          <w:rFonts w:asciiTheme="majorHAnsi" w:eastAsia="Times New Roman" w:hAnsiTheme="majorHAnsi" w:cs="Times New Roman"/>
          <w:i/>
          <w:spacing w:val="-3"/>
          <w:sz w:val="2"/>
        </w:rPr>
      </w:pPr>
    </w:p>
    <w:p w:rsidR="006656E0" w:rsidRPr="00B1438C" w:rsidRDefault="006656E0" w:rsidP="00637CDF">
      <w:pPr>
        <w:spacing w:after="0"/>
        <w:ind w:left="-426"/>
        <w:jc w:val="both"/>
        <w:rPr>
          <w:rFonts w:asciiTheme="majorHAnsi" w:eastAsia="Times New Roman" w:hAnsiTheme="majorHAnsi" w:cs="Times New Roman"/>
          <w:i/>
          <w:spacing w:val="-3"/>
          <w:sz w:val="2"/>
        </w:rPr>
      </w:pPr>
    </w:p>
    <w:p w:rsidR="006656E0" w:rsidRPr="00B1438C" w:rsidRDefault="006656E0" w:rsidP="00637CDF">
      <w:pPr>
        <w:spacing w:after="0"/>
        <w:ind w:left="-426"/>
        <w:jc w:val="both"/>
        <w:rPr>
          <w:rFonts w:asciiTheme="majorHAnsi" w:eastAsia="Times New Roman" w:hAnsiTheme="majorHAnsi" w:cs="Times New Roman"/>
          <w:i/>
          <w:spacing w:val="-3"/>
          <w:sz w:val="2"/>
        </w:rPr>
      </w:pPr>
    </w:p>
    <w:p w:rsidR="006656E0" w:rsidRPr="00B1438C" w:rsidRDefault="006656E0" w:rsidP="00637CDF">
      <w:pPr>
        <w:spacing w:after="0"/>
        <w:ind w:left="-426"/>
        <w:jc w:val="both"/>
        <w:rPr>
          <w:rFonts w:asciiTheme="majorHAnsi" w:eastAsia="Times New Roman" w:hAnsiTheme="majorHAnsi" w:cs="Times New Roman"/>
          <w:i/>
          <w:spacing w:val="-3"/>
          <w:sz w:val="2"/>
        </w:rPr>
      </w:pPr>
    </w:p>
    <w:p w:rsidR="00284AB4" w:rsidRPr="00B1438C" w:rsidRDefault="00284AB4" w:rsidP="00CF6648">
      <w:pPr>
        <w:spacing w:after="0"/>
        <w:ind w:left="-426"/>
        <w:jc w:val="both"/>
        <w:rPr>
          <w:rFonts w:asciiTheme="majorHAnsi" w:eastAsia="Times New Roman" w:hAnsiTheme="majorHAnsi" w:cs="Times New Roman"/>
          <w:i/>
          <w:spacing w:val="-3"/>
          <w:sz w:val="20"/>
        </w:rPr>
      </w:pPr>
      <w:r w:rsidRPr="00B1438C">
        <w:rPr>
          <w:rFonts w:asciiTheme="majorHAnsi" w:eastAsia="Times New Roman" w:hAnsiTheme="majorHAnsi" w:cs="Times New Roman"/>
          <w:i/>
          <w:spacing w:val="-3"/>
          <w:sz w:val="20"/>
        </w:rPr>
        <w:t xml:space="preserve">Πληροφορίες: </w:t>
      </w:r>
      <w:r w:rsidR="0093472C" w:rsidRPr="00B1438C">
        <w:rPr>
          <w:rFonts w:asciiTheme="majorHAnsi" w:eastAsia="Times New Roman" w:hAnsiTheme="majorHAnsi" w:cs="Times New Roman"/>
          <w:i/>
          <w:spacing w:val="-3"/>
          <w:sz w:val="20"/>
        </w:rPr>
        <w:t xml:space="preserve">Γραφείο Διεθνών και Δημοσίων Σχέσεων, </w:t>
      </w:r>
      <w:r w:rsidRPr="00B1438C">
        <w:rPr>
          <w:rFonts w:asciiTheme="majorHAnsi" w:eastAsia="Times New Roman" w:hAnsiTheme="majorHAnsi" w:cs="Times New Roman"/>
          <w:i/>
          <w:spacing w:val="-3"/>
          <w:sz w:val="20"/>
        </w:rPr>
        <w:t xml:space="preserve">210 6506714, </w:t>
      </w:r>
      <w:hyperlink r:id="rId12" w:history="1">
        <w:r w:rsidR="009D514D" w:rsidRPr="00B1438C">
          <w:rPr>
            <w:rStyle w:val="Hyperlink"/>
            <w:rFonts w:asciiTheme="majorHAnsi" w:eastAsia="Times New Roman" w:hAnsiTheme="majorHAnsi" w:cs="Times New Roman"/>
            <w:i/>
            <w:spacing w:val="-3"/>
            <w:sz w:val="20"/>
            <w:lang w:val="en-US"/>
          </w:rPr>
          <w:t>v</w:t>
        </w:r>
        <w:r w:rsidR="009D514D" w:rsidRPr="00B1438C">
          <w:rPr>
            <w:rStyle w:val="Hyperlink"/>
            <w:rFonts w:asciiTheme="majorHAnsi" w:eastAsia="Times New Roman" w:hAnsiTheme="majorHAnsi" w:cs="Times New Roman"/>
            <w:i/>
            <w:spacing w:val="-3"/>
            <w:sz w:val="20"/>
          </w:rPr>
          <w:t>asiliki.tafili@eeae.gr</w:t>
        </w:r>
      </w:hyperlink>
      <w:r w:rsidR="009D514D" w:rsidRPr="00B1438C">
        <w:rPr>
          <w:rFonts w:asciiTheme="majorHAnsi" w:eastAsia="Times New Roman" w:hAnsiTheme="majorHAnsi" w:cs="Times New Roman"/>
          <w:i/>
          <w:spacing w:val="-3"/>
          <w:sz w:val="20"/>
        </w:rPr>
        <w:t xml:space="preserve"> </w:t>
      </w:r>
      <w:r w:rsidRPr="00B1438C">
        <w:rPr>
          <w:rFonts w:asciiTheme="majorHAnsi" w:eastAsia="Times New Roman" w:hAnsiTheme="majorHAnsi" w:cs="Times New Roman"/>
          <w:i/>
          <w:spacing w:val="-3"/>
          <w:sz w:val="20"/>
        </w:rPr>
        <w:t xml:space="preserve">  </w:t>
      </w:r>
    </w:p>
    <w:p w:rsidR="00284AB4" w:rsidRPr="00B1438C" w:rsidRDefault="00284AB4" w:rsidP="00CF6648">
      <w:pPr>
        <w:spacing w:after="0"/>
        <w:ind w:left="-426"/>
        <w:jc w:val="both"/>
        <w:rPr>
          <w:rFonts w:asciiTheme="majorHAnsi" w:eastAsia="Times New Roman" w:hAnsiTheme="majorHAnsi" w:cs="Times New Roman"/>
          <w:spacing w:val="-3"/>
          <w:sz w:val="8"/>
        </w:rPr>
      </w:pPr>
    </w:p>
    <w:p w:rsidR="00284AB4" w:rsidRPr="00B1438C" w:rsidRDefault="00284AB4" w:rsidP="00CF6648">
      <w:pPr>
        <w:spacing w:after="0"/>
        <w:ind w:left="-426"/>
        <w:jc w:val="both"/>
        <w:rPr>
          <w:rFonts w:asciiTheme="majorHAnsi" w:eastAsia="Times New Roman" w:hAnsiTheme="majorHAnsi" w:cs="Times New Roman"/>
          <w:spacing w:val="-3"/>
          <w:sz w:val="2"/>
        </w:rPr>
      </w:pPr>
    </w:p>
    <w:p w:rsidR="00284AB4" w:rsidRPr="00B1438C" w:rsidRDefault="00284AB4" w:rsidP="00CF6648">
      <w:pPr>
        <w:tabs>
          <w:tab w:val="left" w:pos="1289"/>
        </w:tabs>
        <w:spacing w:after="0"/>
        <w:ind w:left="-426"/>
        <w:jc w:val="both"/>
        <w:rPr>
          <w:rFonts w:asciiTheme="majorHAnsi" w:eastAsia="Times New Roman" w:hAnsiTheme="majorHAnsi" w:cs="Times New Roman"/>
          <w:i/>
          <w:sz w:val="2"/>
        </w:rPr>
      </w:pPr>
      <w:r w:rsidRPr="00B1438C">
        <w:rPr>
          <w:rFonts w:asciiTheme="majorHAnsi" w:eastAsia="Times New Roman" w:hAnsiTheme="majorHAnsi" w:cs="Times New Roman"/>
          <w:spacing w:val="-3"/>
          <w:sz w:val="2"/>
        </w:rPr>
        <w:tab/>
      </w:r>
    </w:p>
    <w:p w:rsidR="00284AB4" w:rsidRPr="00B1438C" w:rsidRDefault="00284AB4" w:rsidP="00CF6648">
      <w:pPr>
        <w:spacing w:after="0"/>
        <w:ind w:left="-426"/>
        <w:jc w:val="both"/>
        <w:rPr>
          <w:rFonts w:asciiTheme="majorHAnsi" w:eastAsia="Times New Roman" w:hAnsiTheme="majorHAnsi" w:cs="Times New Roman"/>
          <w:i/>
          <w:sz w:val="4"/>
        </w:rPr>
      </w:pPr>
    </w:p>
    <w:p w:rsidR="003166A4" w:rsidRPr="00B1438C" w:rsidRDefault="003166A4" w:rsidP="00CF6648">
      <w:pPr>
        <w:spacing w:after="0" w:line="240" w:lineRule="auto"/>
        <w:ind w:left="-426"/>
        <w:jc w:val="both"/>
        <w:rPr>
          <w:rFonts w:asciiTheme="majorHAnsi" w:eastAsia="Times New Roman" w:hAnsiTheme="majorHAnsi" w:cs="Times New Roman"/>
          <w:i/>
          <w:sz w:val="2"/>
        </w:rPr>
      </w:pPr>
    </w:p>
    <w:p w:rsidR="00637CDF" w:rsidRDefault="00284AB4" w:rsidP="00CF6648">
      <w:pPr>
        <w:spacing w:after="0" w:line="240" w:lineRule="auto"/>
        <w:ind w:left="-426"/>
        <w:jc w:val="both"/>
        <w:rPr>
          <w:rFonts w:asciiTheme="majorHAnsi" w:eastAsia="Times New Roman" w:hAnsiTheme="majorHAnsi" w:cs="Times New Roman"/>
          <w:i/>
          <w:sz w:val="18"/>
        </w:rPr>
      </w:pPr>
      <w:r w:rsidRPr="00B1438C">
        <w:rPr>
          <w:rFonts w:asciiTheme="majorHAnsi" w:eastAsia="Times New Roman" w:hAnsiTheme="majorHAnsi" w:cs="Times New Roman"/>
          <w:i/>
          <w:sz w:val="18"/>
        </w:rPr>
        <w:t xml:space="preserve">Η Ελληνική Επιτροπή Ατομικής Ενέργειας </w:t>
      </w:r>
      <w:r w:rsidR="00CA6B66" w:rsidRPr="00B1438C">
        <w:rPr>
          <w:rFonts w:asciiTheme="majorHAnsi" w:eastAsia="Times New Roman" w:hAnsiTheme="majorHAnsi" w:cs="Times New Roman"/>
          <w:i/>
          <w:sz w:val="18"/>
        </w:rPr>
        <w:t xml:space="preserve">(ΕΕΑΕ) </w:t>
      </w:r>
      <w:r w:rsidRPr="00B1438C">
        <w:rPr>
          <w:rFonts w:asciiTheme="majorHAnsi" w:eastAsia="Times New Roman" w:hAnsiTheme="majorHAnsi" w:cs="Times New Roman"/>
          <w:i/>
          <w:sz w:val="18"/>
        </w:rPr>
        <w:t xml:space="preserve">είναι </w:t>
      </w:r>
      <w:r w:rsidR="004B42A7" w:rsidRPr="00B1438C">
        <w:rPr>
          <w:rFonts w:asciiTheme="majorHAnsi" w:eastAsia="Times New Roman" w:hAnsiTheme="majorHAnsi" w:cs="Times New Roman"/>
          <w:i/>
          <w:sz w:val="18"/>
        </w:rPr>
        <w:t xml:space="preserve">η </w:t>
      </w:r>
      <w:r w:rsidR="008329B3" w:rsidRPr="00B1438C">
        <w:rPr>
          <w:rFonts w:asciiTheme="majorHAnsi" w:eastAsia="Times New Roman" w:hAnsiTheme="majorHAnsi" w:cs="Times New Roman"/>
          <w:i/>
          <w:sz w:val="18"/>
        </w:rPr>
        <w:t xml:space="preserve">αρμόδια ρυθμιστική αρχή για τον έλεγχο, τη ρύθμιση και την εποπτεία του τομέα πυρηνικής ενέργειας, πυρηνικής τεχνολογίας, ραδιολογικής, πυρηνικής ασφάλειας και ακτινοπροστασίας. </w:t>
      </w:r>
      <w:r w:rsidR="004B42A7" w:rsidRPr="00B1438C">
        <w:rPr>
          <w:rFonts w:asciiTheme="majorHAnsi" w:eastAsia="Times New Roman" w:hAnsiTheme="majorHAnsi" w:cs="Times New Roman"/>
          <w:i/>
          <w:sz w:val="18"/>
        </w:rPr>
        <w:t xml:space="preserve">Αποστολή της είναι η προστασία </w:t>
      </w:r>
      <w:r w:rsidRPr="00B1438C">
        <w:rPr>
          <w:rFonts w:asciiTheme="majorHAnsi" w:eastAsia="Times New Roman" w:hAnsiTheme="majorHAnsi" w:cs="Times New Roman"/>
          <w:i/>
          <w:sz w:val="18"/>
        </w:rPr>
        <w:t xml:space="preserve">πληθυσμού, εργαζομένων και περιβάλλοντος από τις </w:t>
      </w:r>
      <w:proofErr w:type="spellStart"/>
      <w:r w:rsidRPr="00B1438C">
        <w:rPr>
          <w:rFonts w:asciiTheme="majorHAnsi" w:eastAsia="Times New Roman" w:hAnsiTheme="majorHAnsi" w:cs="Times New Roman"/>
          <w:i/>
          <w:sz w:val="18"/>
        </w:rPr>
        <w:t>ιοντίζουσες</w:t>
      </w:r>
      <w:proofErr w:type="spellEnd"/>
      <w:r w:rsidRPr="00B1438C">
        <w:rPr>
          <w:rFonts w:asciiTheme="majorHAnsi" w:eastAsia="Times New Roman" w:hAnsiTheme="majorHAnsi" w:cs="Times New Roman"/>
          <w:i/>
          <w:sz w:val="18"/>
        </w:rPr>
        <w:t xml:space="preserve"> και τεχνητά παραγόμε</w:t>
      </w:r>
      <w:r w:rsidR="004B42A7" w:rsidRPr="00B1438C">
        <w:rPr>
          <w:rFonts w:asciiTheme="majorHAnsi" w:eastAsia="Times New Roman" w:hAnsiTheme="majorHAnsi" w:cs="Times New Roman"/>
          <w:i/>
          <w:sz w:val="18"/>
        </w:rPr>
        <w:t xml:space="preserve">νες μη </w:t>
      </w:r>
      <w:proofErr w:type="spellStart"/>
      <w:r w:rsidR="004B42A7" w:rsidRPr="00B1438C">
        <w:rPr>
          <w:rFonts w:asciiTheme="majorHAnsi" w:eastAsia="Times New Roman" w:hAnsiTheme="majorHAnsi" w:cs="Times New Roman"/>
          <w:i/>
          <w:sz w:val="18"/>
        </w:rPr>
        <w:t>ιοντίζουσες</w:t>
      </w:r>
      <w:proofErr w:type="spellEnd"/>
      <w:r w:rsidR="004B42A7" w:rsidRPr="00B1438C">
        <w:rPr>
          <w:rFonts w:asciiTheme="majorHAnsi" w:eastAsia="Times New Roman" w:hAnsiTheme="majorHAnsi" w:cs="Times New Roman"/>
          <w:i/>
          <w:sz w:val="18"/>
        </w:rPr>
        <w:t xml:space="preserve"> ακτινοβολίες.</w:t>
      </w:r>
      <w:r w:rsidRPr="00B1438C">
        <w:rPr>
          <w:rFonts w:asciiTheme="majorHAnsi" w:eastAsia="Times New Roman" w:hAnsiTheme="majorHAnsi" w:cs="Times New Roman"/>
          <w:i/>
          <w:sz w:val="18"/>
        </w:rPr>
        <w:t xml:space="preserve"> </w:t>
      </w:r>
    </w:p>
    <w:p w:rsidR="00D67B0B" w:rsidRDefault="00D67B0B" w:rsidP="00CF6648">
      <w:pPr>
        <w:spacing w:after="0" w:line="240" w:lineRule="auto"/>
        <w:ind w:left="-426"/>
        <w:jc w:val="both"/>
        <w:rPr>
          <w:rFonts w:asciiTheme="majorHAnsi" w:eastAsia="Times New Roman" w:hAnsiTheme="majorHAnsi" w:cs="Times New Roman"/>
          <w:i/>
          <w:sz w:val="18"/>
        </w:rPr>
      </w:pPr>
    </w:p>
    <w:p w:rsidR="00D67B0B" w:rsidRPr="00D67B0B" w:rsidRDefault="00D67B0B" w:rsidP="00D67B0B">
      <w:pPr>
        <w:spacing w:after="0" w:line="240" w:lineRule="auto"/>
        <w:ind w:left="-426"/>
        <w:jc w:val="both"/>
        <w:rPr>
          <w:rFonts w:asciiTheme="majorHAnsi" w:eastAsia="Times New Roman" w:hAnsiTheme="majorHAnsi" w:cs="Times New Roman"/>
          <w:i/>
          <w:sz w:val="18"/>
        </w:rPr>
      </w:pPr>
      <w:r w:rsidRPr="00D67B0B">
        <w:rPr>
          <w:rFonts w:asciiTheme="majorHAnsi" w:eastAsia="Times New Roman" w:hAnsiTheme="majorHAnsi" w:cs="Times New Roman"/>
          <w:bCs/>
          <w:i/>
          <w:sz w:val="18"/>
        </w:rPr>
        <w:t xml:space="preserve">Περισσότερες πληροφορίες για τη ΓΓΕΤ : </w:t>
      </w:r>
    </w:p>
    <w:p w:rsidR="00D67B0B" w:rsidRPr="00D67B0B" w:rsidRDefault="00D67B0B" w:rsidP="00D67B0B">
      <w:pPr>
        <w:spacing w:after="0" w:line="240" w:lineRule="auto"/>
        <w:ind w:left="-426"/>
        <w:jc w:val="both"/>
        <w:rPr>
          <w:rFonts w:asciiTheme="majorHAnsi" w:eastAsia="Times New Roman" w:hAnsiTheme="majorHAnsi" w:cs="Times New Roman"/>
          <w:i/>
          <w:sz w:val="18"/>
        </w:rPr>
      </w:pPr>
      <w:r w:rsidRPr="00D67B0B">
        <w:rPr>
          <w:rFonts w:asciiTheme="majorHAnsi" w:eastAsia="Times New Roman" w:hAnsiTheme="majorHAnsi" w:cs="Times New Roman"/>
          <w:i/>
          <w:iCs/>
          <w:sz w:val="18"/>
        </w:rPr>
        <w:t xml:space="preserve">Η Γενική Γραμματεία Έρευνας και Τεχνολογίας (ΓΓΕΤ) αποτελεί μια σύγχρονη δημόσια υπηρεσία με αποστολή τον σχεδιασμό και τον συντονισμό της υλοποίησης της πολιτικής Έρευνας, Τεχνολογικής Ανάπτυξης και Καινοτομίας (ΕΤΑΚ). Η επένδυση στην επιστήμη, στην έρευνα και στην τεχνολογία, αποτελεί κεντρική στρατηγική προτεραιότητα για ένα αναπτυξιακό μοντέλο κοινωνικά, οικονομικά και περιβαλλοντικά βιώσιμο, στηριζόμενο στην υψηλή κατάρτιση του ανθρώπινου δυναμικού και σε νέες καινοτόμες ιδέες. Η ΓΓΕΤ έχει κεντρικό ρόλο στο υφιστάμενο σύστημα Έρευνας, Τεχνολογικής Ανάπτυξης και Καινοτομίας, δεδομένου ότι είναι υπεύθυνη για τη διαμόρφωση και την εφαρμογή της πολιτικής έρευνας στην Ελλάδα, καθώς και της διαχείρισης δράσεων ΕΤΑΚ. </w:t>
      </w:r>
    </w:p>
    <w:p w:rsidR="00D67B0B" w:rsidRPr="00D67B0B" w:rsidRDefault="00D67B0B" w:rsidP="00D67B0B">
      <w:pPr>
        <w:spacing w:after="0" w:line="240" w:lineRule="auto"/>
        <w:ind w:left="-426"/>
        <w:jc w:val="both"/>
        <w:rPr>
          <w:rFonts w:asciiTheme="majorHAnsi" w:eastAsia="Times New Roman" w:hAnsiTheme="majorHAnsi" w:cs="Times New Roman"/>
          <w:i/>
          <w:sz w:val="18"/>
        </w:rPr>
      </w:pPr>
      <w:r w:rsidRPr="00D67B0B">
        <w:rPr>
          <w:rFonts w:asciiTheme="majorHAnsi" w:eastAsia="Times New Roman" w:hAnsiTheme="majorHAnsi" w:cs="Times New Roman"/>
          <w:i/>
          <w:iCs/>
          <w:sz w:val="18"/>
        </w:rPr>
        <w:t xml:space="preserve">Επιπλέον, η ΓΓΕΤ εποπτεύει Ερευνητικά Κέντρα και Τεχνολογικούς Φορείς, οι οποίοι στηρίζουν τις τοπικές κοινωνίες με τις απαραίτητες δεξιότητες για την παραγωγή γνώσης και καινοτομίας. Επιτελούν σημαντικό έργο και παρουσιάζουν ιδιαίτερα χρήσιμα ερευνητικά αποτελέσματα στην Ιατρική και </w:t>
      </w:r>
      <w:proofErr w:type="spellStart"/>
      <w:r w:rsidRPr="00D67B0B">
        <w:rPr>
          <w:rFonts w:asciiTheme="majorHAnsi" w:eastAsia="Times New Roman" w:hAnsiTheme="majorHAnsi" w:cs="Times New Roman"/>
          <w:i/>
          <w:iCs/>
          <w:sz w:val="18"/>
        </w:rPr>
        <w:t>Βιοϊατρική</w:t>
      </w:r>
      <w:proofErr w:type="spellEnd"/>
      <w:r w:rsidRPr="00D67B0B">
        <w:rPr>
          <w:rFonts w:asciiTheme="majorHAnsi" w:eastAsia="Times New Roman" w:hAnsiTheme="majorHAnsi" w:cs="Times New Roman"/>
          <w:i/>
          <w:iCs/>
          <w:sz w:val="18"/>
        </w:rPr>
        <w:t xml:space="preserve">, την Αστροφυσική, τις Φυσικές Επιστήμες, τις Ανθρωπιστικές και Κοινωνικές Επιστήμες, τη Θαλάσσια Έρευνα, την Τεχνολογία, την Πληροφορική και τις Τηλεπικοινωνίες. </w:t>
      </w:r>
    </w:p>
    <w:p w:rsidR="00D67B0B" w:rsidRPr="00D67B0B" w:rsidRDefault="00D67B0B" w:rsidP="00D67B0B">
      <w:pPr>
        <w:spacing w:after="0" w:line="240" w:lineRule="auto"/>
        <w:ind w:left="-426"/>
        <w:jc w:val="center"/>
        <w:rPr>
          <w:rFonts w:asciiTheme="majorHAnsi" w:eastAsia="Times New Roman" w:hAnsiTheme="majorHAnsi" w:cs="Times New Roman"/>
          <w:i/>
          <w:sz w:val="18"/>
        </w:rPr>
      </w:pPr>
      <w:r w:rsidRPr="00D67B0B">
        <w:rPr>
          <w:rFonts w:asciiTheme="majorHAnsi" w:eastAsia="Times New Roman" w:hAnsiTheme="majorHAnsi" w:cs="Times New Roman"/>
          <w:i/>
          <w:sz w:val="18"/>
        </w:rPr>
        <w:t xml:space="preserve">Γενική Γραμματεία Έρευνας και Τεχνολογίας </w:t>
      </w:r>
      <w:r w:rsidRPr="00D67B0B">
        <w:rPr>
          <w:rFonts w:asciiTheme="majorHAnsi" w:eastAsia="Times New Roman" w:hAnsiTheme="majorHAnsi" w:cs="Times New Roman"/>
          <w:b/>
          <w:bCs/>
          <w:i/>
          <w:sz w:val="18"/>
        </w:rPr>
        <w:t xml:space="preserve">ΓΓΕΤ </w:t>
      </w:r>
      <w:r>
        <w:rPr>
          <w:rFonts w:asciiTheme="majorHAnsi" w:eastAsia="Times New Roman" w:hAnsiTheme="majorHAnsi" w:cs="Times New Roman"/>
          <w:i/>
          <w:sz w:val="18"/>
        </w:rPr>
        <w:t>//</w:t>
      </w:r>
      <w:r w:rsidRPr="00D67B0B">
        <w:rPr>
          <w:rFonts w:asciiTheme="majorHAnsi" w:eastAsia="Times New Roman" w:hAnsiTheme="majorHAnsi" w:cs="Times New Roman"/>
          <w:i/>
          <w:iCs/>
          <w:sz w:val="18"/>
          <w:lang w:val="en-US"/>
        </w:rPr>
        <w:t>www</w:t>
      </w:r>
      <w:r w:rsidRPr="00D67B0B">
        <w:rPr>
          <w:rFonts w:asciiTheme="majorHAnsi" w:eastAsia="Times New Roman" w:hAnsiTheme="majorHAnsi" w:cs="Times New Roman"/>
          <w:i/>
          <w:iCs/>
          <w:sz w:val="18"/>
        </w:rPr>
        <w:t>.</w:t>
      </w:r>
      <w:proofErr w:type="spellStart"/>
      <w:r w:rsidRPr="00D67B0B">
        <w:rPr>
          <w:rFonts w:asciiTheme="majorHAnsi" w:eastAsia="Times New Roman" w:hAnsiTheme="majorHAnsi" w:cs="Times New Roman"/>
          <w:i/>
          <w:iCs/>
          <w:sz w:val="18"/>
          <w:lang w:val="en-US"/>
        </w:rPr>
        <w:t>gsrt</w:t>
      </w:r>
      <w:proofErr w:type="spellEnd"/>
      <w:r w:rsidRPr="00D67B0B">
        <w:rPr>
          <w:rFonts w:asciiTheme="majorHAnsi" w:eastAsia="Times New Roman" w:hAnsiTheme="majorHAnsi" w:cs="Times New Roman"/>
          <w:i/>
          <w:iCs/>
          <w:sz w:val="18"/>
        </w:rPr>
        <w:t>.</w:t>
      </w:r>
      <w:r w:rsidRPr="00D67B0B">
        <w:rPr>
          <w:rFonts w:asciiTheme="majorHAnsi" w:eastAsia="Times New Roman" w:hAnsiTheme="majorHAnsi" w:cs="Times New Roman"/>
          <w:i/>
          <w:iCs/>
          <w:sz w:val="18"/>
          <w:lang w:val="en-US"/>
        </w:rPr>
        <w:t>gr</w:t>
      </w:r>
    </w:p>
    <w:sectPr w:rsidR="00D67B0B" w:rsidRPr="00D67B0B" w:rsidSect="00D42DCC">
      <w:pgSz w:w="11906" w:h="16838"/>
      <w:pgMar w:top="567" w:right="1416"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7A" w:rsidRDefault="0006727A" w:rsidP="00923270">
      <w:pPr>
        <w:spacing w:after="0" w:line="240" w:lineRule="auto"/>
      </w:pPr>
      <w:r>
        <w:separator/>
      </w:r>
    </w:p>
  </w:endnote>
  <w:endnote w:type="continuationSeparator" w:id="0">
    <w:p w:rsidR="0006727A" w:rsidRDefault="0006727A" w:rsidP="0092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Calibri">
    <w:altName w:val="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7A" w:rsidRDefault="0006727A" w:rsidP="00923270">
      <w:pPr>
        <w:spacing w:after="0" w:line="240" w:lineRule="auto"/>
      </w:pPr>
      <w:r>
        <w:separator/>
      </w:r>
    </w:p>
  </w:footnote>
  <w:footnote w:type="continuationSeparator" w:id="0">
    <w:p w:rsidR="0006727A" w:rsidRDefault="0006727A" w:rsidP="00923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1007"/>
    <w:multiLevelType w:val="hybridMultilevel"/>
    <w:tmpl w:val="0192766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nsid w:val="24EE04C9"/>
    <w:multiLevelType w:val="hybridMultilevel"/>
    <w:tmpl w:val="8C3C6C5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
    <w:nsid w:val="2D763DDF"/>
    <w:multiLevelType w:val="hybridMultilevel"/>
    <w:tmpl w:val="AE12674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
    <w:nsid w:val="2F687299"/>
    <w:multiLevelType w:val="hybridMultilevel"/>
    <w:tmpl w:val="49549FDA"/>
    <w:lvl w:ilvl="0" w:tplc="AED48C48">
      <w:numFmt w:val="bullet"/>
      <w:lvlText w:val="•"/>
      <w:lvlJc w:val="left"/>
      <w:pPr>
        <w:ind w:left="76" w:hanging="360"/>
      </w:pPr>
      <w:rPr>
        <w:rFonts w:ascii="Cambria" w:eastAsiaTheme="minorHAnsi" w:hAnsi="Cambria" w:cstheme="minorBidi"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4">
    <w:nsid w:val="2F6A2382"/>
    <w:multiLevelType w:val="hybridMultilevel"/>
    <w:tmpl w:val="B456C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DC56E3"/>
    <w:multiLevelType w:val="hybridMultilevel"/>
    <w:tmpl w:val="242C188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nsid w:val="50976FBA"/>
    <w:multiLevelType w:val="hybridMultilevel"/>
    <w:tmpl w:val="21E6EA72"/>
    <w:lvl w:ilvl="0" w:tplc="AED48C48">
      <w:numFmt w:val="bullet"/>
      <w:lvlText w:val="•"/>
      <w:lvlJc w:val="left"/>
      <w:pPr>
        <w:ind w:left="-208" w:hanging="360"/>
      </w:pPr>
      <w:rPr>
        <w:rFonts w:ascii="Cambria" w:eastAsiaTheme="minorHAnsi" w:hAnsi="Cambria" w:cstheme="minorBidi"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7">
    <w:nsid w:val="659C6BDB"/>
    <w:multiLevelType w:val="hybridMultilevel"/>
    <w:tmpl w:val="75D4A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381E84"/>
    <w:multiLevelType w:val="hybridMultilevel"/>
    <w:tmpl w:val="CCF0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4A"/>
    <w:rsid w:val="00004F41"/>
    <w:rsid w:val="00006C7B"/>
    <w:rsid w:val="0001276A"/>
    <w:rsid w:val="00027276"/>
    <w:rsid w:val="00031187"/>
    <w:rsid w:val="00032CB5"/>
    <w:rsid w:val="0005513A"/>
    <w:rsid w:val="00056C87"/>
    <w:rsid w:val="0006727A"/>
    <w:rsid w:val="000718B0"/>
    <w:rsid w:val="00072E07"/>
    <w:rsid w:val="00072E14"/>
    <w:rsid w:val="000731F1"/>
    <w:rsid w:val="00085811"/>
    <w:rsid w:val="000A7234"/>
    <w:rsid w:val="000B2051"/>
    <w:rsid w:val="000C3928"/>
    <w:rsid w:val="000C4390"/>
    <w:rsid w:val="000C7A30"/>
    <w:rsid w:val="000D2994"/>
    <w:rsid w:val="000D7749"/>
    <w:rsid w:val="000E2EC4"/>
    <w:rsid w:val="000E68DB"/>
    <w:rsid w:val="00113F1D"/>
    <w:rsid w:val="00130192"/>
    <w:rsid w:val="001410A7"/>
    <w:rsid w:val="0015233B"/>
    <w:rsid w:val="00156F5C"/>
    <w:rsid w:val="001604EE"/>
    <w:rsid w:val="00193A04"/>
    <w:rsid w:val="001A59EC"/>
    <w:rsid w:val="001C4149"/>
    <w:rsid w:val="001C57BC"/>
    <w:rsid w:val="001E09A3"/>
    <w:rsid w:val="001F669B"/>
    <w:rsid w:val="001F6BB3"/>
    <w:rsid w:val="00203069"/>
    <w:rsid w:val="00210C17"/>
    <w:rsid w:val="00214441"/>
    <w:rsid w:val="00223A44"/>
    <w:rsid w:val="00226AFC"/>
    <w:rsid w:val="00246300"/>
    <w:rsid w:val="00252E58"/>
    <w:rsid w:val="00257279"/>
    <w:rsid w:val="00264220"/>
    <w:rsid w:val="0028264C"/>
    <w:rsid w:val="00284AB4"/>
    <w:rsid w:val="00285AA5"/>
    <w:rsid w:val="002B1042"/>
    <w:rsid w:val="002B18DC"/>
    <w:rsid w:val="002C1D53"/>
    <w:rsid w:val="002C2BF2"/>
    <w:rsid w:val="002C586C"/>
    <w:rsid w:val="002D5E65"/>
    <w:rsid w:val="002E3F8C"/>
    <w:rsid w:val="002F1783"/>
    <w:rsid w:val="002F253C"/>
    <w:rsid w:val="003166A4"/>
    <w:rsid w:val="0032348A"/>
    <w:rsid w:val="003317AC"/>
    <w:rsid w:val="003322CA"/>
    <w:rsid w:val="00336C0D"/>
    <w:rsid w:val="00337C7D"/>
    <w:rsid w:val="00346FDF"/>
    <w:rsid w:val="0035628E"/>
    <w:rsid w:val="003712F1"/>
    <w:rsid w:val="0037286D"/>
    <w:rsid w:val="003770BC"/>
    <w:rsid w:val="003809DC"/>
    <w:rsid w:val="00383307"/>
    <w:rsid w:val="00383D9C"/>
    <w:rsid w:val="003859CD"/>
    <w:rsid w:val="003925C4"/>
    <w:rsid w:val="0039475B"/>
    <w:rsid w:val="0039590E"/>
    <w:rsid w:val="003A3D43"/>
    <w:rsid w:val="003B2F1E"/>
    <w:rsid w:val="003C1CE9"/>
    <w:rsid w:val="003E4EC7"/>
    <w:rsid w:val="003E52FA"/>
    <w:rsid w:val="003E7875"/>
    <w:rsid w:val="003F28C9"/>
    <w:rsid w:val="003F6BE6"/>
    <w:rsid w:val="00400049"/>
    <w:rsid w:val="0040261A"/>
    <w:rsid w:val="00404906"/>
    <w:rsid w:val="00433520"/>
    <w:rsid w:val="00434023"/>
    <w:rsid w:val="00445462"/>
    <w:rsid w:val="00452FDB"/>
    <w:rsid w:val="00453284"/>
    <w:rsid w:val="00454A6B"/>
    <w:rsid w:val="00464A47"/>
    <w:rsid w:val="00476AB8"/>
    <w:rsid w:val="004850FA"/>
    <w:rsid w:val="00486AE3"/>
    <w:rsid w:val="004B42A7"/>
    <w:rsid w:val="004C0987"/>
    <w:rsid w:val="004D2AFA"/>
    <w:rsid w:val="004D7587"/>
    <w:rsid w:val="004E49D4"/>
    <w:rsid w:val="00500AED"/>
    <w:rsid w:val="00500C30"/>
    <w:rsid w:val="005269F8"/>
    <w:rsid w:val="00533615"/>
    <w:rsid w:val="00561DB3"/>
    <w:rsid w:val="0056787C"/>
    <w:rsid w:val="005B0070"/>
    <w:rsid w:val="005C6E30"/>
    <w:rsid w:val="005D1955"/>
    <w:rsid w:val="005D26D5"/>
    <w:rsid w:val="005D3017"/>
    <w:rsid w:val="005D7606"/>
    <w:rsid w:val="005E1F50"/>
    <w:rsid w:val="005E2CD6"/>
    <w:rsid w:val="005F476C"/>
    <w:rsid w:val="006037EA"/>
    <w:rsid w:val="00625B71"/>
    <w:rsid w:val="00637CDF"/>
    <w:rsid w:val="00652DBE"/>
    <w:rsid w:val="00664810"/>
    <w:rsid w:val="006656E0"/>
    <w:rsid w:val="00672A25"/>
    <w:rsid w:val="00672CDC"/>
    <w:rsid w:val="00673246"/>
    <w:rsid w:val="0067625B"/>
    <w:rsid w:val="00681B2F"/>
    <w:rsid w:val="00684366"/>
    <w:rsid w:val="00686C24"/>
    <w:rsid w:val="006B053C"/>
    <w:rsid w:val="006C25B5"/>
    <w:rsid w:val="006E4082"/>
    <w:rsid w:val="006E4FA5"/>
    <w:rsid w:val="006E721C"/>
    <w:rsid w:val="006F1EE6"/>
    <w:rsid w:val="007622D0"/>
    <w:rsid w:val="007636D0"/>
    <w:rsid w:val="00781FC5"/>
    <w:rsid w:val="00792046"/>
    <w:rsid w:val="00793375"/>
    <w:rsid w:val="007960EC"/>
    <w:rsid w:val="007978F8"/>
    <w:rsid w:val="007A1324"/>
    <w:rsid w:val="007B532F"/>
    <w:rsid w:val="007D36E2"/>
    <w:rsid w:val="007D3BC0"/>
    <w:rsid w:val="007E4A93"/>
    <w:rsid w:val="007F34F6"/>
    <w:rsid w:val="007F4DCA"/>
    <w:rsid w:val="00800780"/>
    <w:rsid w:val="00820388"/>
    <w:rsid w:val="008329B3"/>
    <w:rsid w:val="008469EA"/>
    <w:rsid w:val="00853B41"/>
    <w:rsid w:val="00856554"/>
    <w:rsid w:val="008630D3"/>
    <w:rsid w:val="0088505C"/>
    <w:rsid w:val="0088590E"/>
    <w:rsid w:val="008A0522"/>
    <w:rsid w:val="008C27EE"/>
    <w:rsid w:val="008F132B"/>
    <w:rsid w:val="008F66AD"/>
    <w:rsid w:val="00905D57"/>
    <w:rsid w:val="00923270"/>
    <w:rsid w:val="00923D15"/>
    <w:rsid w:val="0093472C"/>
    <w:rsid w:val="0094591D"/>
    <w:rsid w:val="00945AF9"/>
    <w:rsid w:val="00947DEA"/>
    <w:rsid w:val="00953258"/>
    <w:rsid w:val="0096738F"/>
    <w:rsid w:val="009770E9"/>
    <w:rsid w:val="009A367D"/>
    <w:rsid w:val="009B27E8"/>
    <w:rsid w:val="009C0F71"/>
    <w:rsid w:val="009D514D"/>
    <w:rsid w:val="009E3E65"/>
    <w:rsid w:val="00A012C1"/>
    <w:rsid w:val="00A018BC"/>
    <w:rsid w:val="00A127D1"/>
    <w:rsid w:val="00A22668"/>
    <w:rsid w:val="00A52A76"/>
    <w:rsid w:val="00A53972"/>
    <w:rsid w:val="00A83C62"/>
    <w:rsid w:val="00AA2E7B"/>
    <w:rsid w:val="00AA3E76"/>
    <w:rsid w:val="00AA4C99"/>
    <w:rsid w:val="00AB0FAF"/>
    <w:rsid w:val="00AC3833"/>
    <w:rsid w:val="00AE5EA9"/>
    <w:rsid w:val="00B12CB6"/>
    <w:rsid w:val="00B1438C"/>
    <w:rsid w:val="00B176CC"/>
    <w:rsid w:val="00B40BF1"/>
    <w:rsid w:val="00B86E56"/>
    <w:rsid w:val="00B97921"/>
    <w:rsid w:val="00B97EDB"/>
    <w:rsid w:val="00BB19CE"/>
    <w:rsid w:val="00BC2B86"/>
    <w:rsid w:val="00BC2F3F"/>
    <w:rsid w:val="00BD13F5"/>
    <w:rsid w:val="00BE22E4"/>
    <w:rsid w:val="00BE5BDB"/>
    <w:rsid w:val="00BE6892"/>
    <w:rsid w:val="00BF0404"/>
    <w:rsid w:val="00C00AE4"/>
    <w:rsid w:val="00C10C24"/>
    <w:rsid w:val="00C133D3"/>
    <w:rsid w:val="00C26EDB"/>
    <w:rsid w:val="00C27C60"/>
    <w:rsid w:val="00C445A9"/>
    <w:rsid w:val="00C4540B"/>
    <w:rsid w:val="00C46A57"/>
    <w:rsid w:val="00C5374E"/>
    <w:rsid w:val="00C62F7E"/>
    <w:rsid w:val="00C639C0"/>
    <w:rsid w:val="00C65144"/>
    <w:rsid w:val="00C72163"/>
    <w:rsid w:val="00C73482"/>
    <w:rsid w:val="00C82771"/>
    <w:rsid w:val="00C96932"/>
    <w:rsid w:val="00CA6B66"/>
    <w:rsid w:val="00CB2049"/>
    <w:rsid w:val="00CD2B41"/>
    <w:rsid w:val="00CD79F8"/>
    <w:rsid w:val="00CF5AF5"/>
    <w:rsid w:val="00CF6648"/>
    <w:rsid w:val="00CF7D77"/>
    <w:rsid w:val="00D02C6C"/>
    <w:rsid w:val="00D134DA"/>
    <w:rsid w:val="00D140B7"/>
    <w:rsid w:val="00D17292"/>
    <w:rsid w:val="00D174BA"/>
    <w:rsid w:val="00D20EFF"/>
    <w:rsid w:val="00D245BA"/>
    <w:rsid w:val="00D27981"/>
    <w:rsid w:val="00D32AE7"/>
    <w:rsid w:val="00D42DCC"/>
    <w:rsid w:val="00D46B89"/>
    <w:rsid w:val="00D6790D"/>
    <w:rsid w:val="00D67B0B"/>
    <w:rsid w:val="00D71009"/>
    <w:rsid w:val="00D801C5"/>
    <w:rsid w:val="00D8022E"/>
    <w:rsid w:val="00D80D28"/>
    <w:rsid w:val="00D875AE"/>
    <w:rsid w:val="00D920D1"/>
    <w:rsid w:val="00D9351A"/>
    <w:rsid w:val="00D93CB8"/>
    <w:rsid w:val="00DA2475"/>
    <w:rsid w:val="00DC5CEB"/>
    <w:rsid w:val="00DE04A3"/>
    <w:rsid w:val="00DE3723"/>
    <w:rsid w:val="00DE4CF3"/>
    <w:rsid w:val="00DF13E6"/>
    <w:rsid w:val="00DF77D5"/>
    <w:rsid w:val="00E02D67"/>
    <w:rsid w:val="00E05530"/>
    <w:rsid w:val="00E12F63"/>
    <w:rsid w:val="00E242ED"/>
    <w:rsid w:val="00E2569F"/>
    <w:rsid w:val="00E31320"/>
    <w:rsid w:val="00E3764E"/>
    <w:rsid w:val="00E4130A"/>
    <w:rsid w:val="00E54BDE"/>
    <w:rsid w:val="00E55BFC"/>
    <w:rsid w:val="00E66505"/>
    <w:rsid w:val="00E855BB"/>
    <w:rsid w:val="00E86154"/>
    <w:rsid w:val="00E90866"/>
    <w:rsid w:val="00E943D7"/>
    <w:rsid w:val="00E9504A"/>
    <w:rsid w:val="00E95D9E"/>
    <w:rsid w:val="00EA1DD2"/>
    <w:rsid w:val="00EB0811"/>
    <w:rsid w:val="00EC002F"/>
    <w:rsid w:val="00F20243"/>
    <w:rsid w:val="00F220EC"/>
    <w:rsid w:val="00F54BDF"/>
    <w:rsid w:val="00F60C26"/>
    <w:rsid w:val="00F7091A"/>
    <w:rsid w:val="00F8006A"/>
    <w:rsid w:val="00F936A9"/>
    <w:rsid w:val="00F93F70"/>
    <w:rsid w:val="00F96D44"/>
    <w:rsid w:val="00FA6434"/>
    <w:rsid w:val="00FB1457"/>
    <w:rsid w:val="00FE4DB8"/>
    <w:rsid w:val="00FF0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B0"/>
    <w:rPr>
      <w:rFonts w:ascii="Tahoma" w:hAnsi="Tahoma" w:cs="Tahoma"/>
      <w:sz w:val="16"/>
      <w:szCs w:val="16"/>
    </w:rPr>
  </w:style>
  <w:style w:type="paragraph" w:styleId="ListParagraph">
    <w:name w:val="List Paragraph"/>
    <w:basedOn w:val="Normal"/>
    <w:uiPriority w:val="34"/>
    <w:qFormat/>
    <w:rsid w:val="004D7587"/>
    <w:pPr>
      <w:ind w:left="720"/>
      <w:contextualSpacing/>
    </w:pPr>
  </w:style>
  <w:style w:type="paragraph" w:styleId="NormalWeb">
    <w:name w:val="Normal (Web)"/>
    <w:basedOn w:val="Normal"/>
    <w:uiPriority w:val="99"/>
    <w:unhideWhenUsed/>
    <w:rsid w:val="00FA643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08581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F66AD"/>
    <w:rPr>
      <w:color w:val="0000FF" w:themeColor="hyperlink"/>
      <w:u w:val="single"/>
    </w:rPr>
  </w:style>
  <w:style w:type="character" w:customStyle="1" w:styleId="hps">
    <w:name w:val="hps"/>
    <w:basedOn w:val="DefaultParagraphFont"/>
    <w:rsid w:val="00637CDF"/>
  </w:style>
  <w:style w:type="character" w:styleId="Strong">
    <w:name w:val="Strong"/>
    <w:basedOn w:val="DefaultParagraphFont"/>
    <w:uiPriority w:val="22"/>
    <w:qFormat/>
    <w:rsid w:val="0005513A"/>
    <w:rPr>
      <w:b/>
      <w:bCs/>
    </w:rPr>
  </w:style>
  <w:style w:type="paragraph" w:styleId="Header">
    <w:name w:val="header"/>
    <w:basedOn w:val="Normal"/>
    <w:link w:val="HeaderChar"/>
    <w:uiPriority w:val="99"/>
    <w:unhideWhenUsed/>
    <w:rsid w:val="00923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3270"/>
  </w:style>
  <w:style w:type="paragraph" w:styleId="Footer">
    <w:name w:val="footer"/>
    <w:basedOn w:val="Normal"/>
    <w:link w:val="FooterChar"/>
    <w:uiPriority w:val="99"/>
    <w:unhideWhenUsed/>
    <w:rsid w:val="00923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3270"/>
  </w:style>
  <w:style w:type="character" w:styleId="CommentReference">
    <w:name w:val="annotation reference"/>
    <w:uiPriority w:val="99"/>
    <w:semiHidden/>
    <w:rsid w:val="00BE6892"/>
    <w:rPr>
      <w:sz w:val="16"/>
      <w:szCs w:val="16"/>
    </w:rPr>
  </w:style>
  <w:style w:type="paragraph" w:styleId="CommentText">
    <w:name w:val="annotation text"/>
    <w:basedOn w:val="Normal"/>
    <w:link w:val="CommentTextChar"/>
    <w:uiPriority w:val="99"/>
    <w:semiHidden/>
    <w:rsid w:val="00BE6892"/>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BE6892"/>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B0"/>
    <w:rPr>
      <w:rFonts w:ascii="Tahoma" w:hAnsi="Tahoma" w:cs="Tahoma"/>
      <w:sz w:val="16"/>
      <w:szCs w:val="16"/>
    </w:rPr>
  </w:style>
  <w:style w:type="paragraph" w:styleId="ListParagraph">
    <w:name w:val="List Paragraph"/>
    <w:basedOn w:val="Normal"/>
    <w:uiPriority w:val="34"/>
    <w:qFormat/>
    <w:rsid w:val="004D7587"/>
    <w:pPr>
      <w:ind w:left="720"/>
      <w:contextualSpacing/>
    </w:pPr>
  </w:style>
  <w:style w:type="paragraph" w:styleId="NormalWeb">
    <w:name w:val="Normal (Web)"/>
    <w:basedOn w:val="Normal"/>
    <w:uiPriority w:val="99"/>
    <w:unhideWhenUsed/>
    <w:rsid w:val="00FA643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08581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F66AD"/>
    <w:rPr>
      <w:color w:val="0000FF" w:themeColor="hyperlink"/>
      <w:u w:val="single"/>
    </w:rPr>
  </w:style>
  <w:style w:type="character" w:customStyle="1" w:styleId="hps">
    <w:name w:val="hps"/>
    <w:basedOn w:val="DefaultParagraphFont"/>
    <w:rsid w:val="00637CDF"/>
  </w:style>
  <w:style w:type="character" w:styleId="Strong">
    <w:name w:val="Strong"/>
    <w:basedOn w:val="DefaultParagraphFont"/>
    <w:uiPriority w:val="22"/>
    <w:qFormat/>
    <w:rsid w:val="0005513A"/>
    <w:rPr>
      <w:b/>
      <w:bCs/>
    </w:rPr>
  </w:style>
  <w:style w:type="paragraph" w:styleId="Header">
    <w:name w:val="header"/>
    <w:basedOn w:val="Normal"/>
    <w:link w:val="HeaderChar"/>
    <w:uiPriority w:val="99"/>
    <w:unhideWhenUsed/>
    <w:rsid w:val="00923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3270"/>
  </w:style>
  <w:style w:type="paragraph" w:styleId="Footer">
    <w:name w:val="footer"/>
    <w:basedOn w:val="Normal"/>
    <w:link w:val="FooterChar"/>
    <w:uiPriority w:val="99"/>
    <w:unhideWhenUsed/>
    <w:rsid w:val="00923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3270"/>
  </w:style>
  <w:style w:type="character" w:styleId="CommentReference">
    <w:name w:val="annotation reference"/>
    <w:uiPriority w:val="99"/>
    <w:semiHidden/>
    <w:rsid w:val="00BE6892"/>
    <w:rPr>
      <w:sz w:val="16"/>
      <w:szCs w:val="16"/>
    </w:rPr>
  </w:style>
  <w:style w:type="paragraph" w:styleId="CommentText">
    <w:name w:val="annotation text"/>
    <w:basedOn w:val="Normal"/>
    <w:link w:val="CommentTextChar"/>
    <w:uiPriority w:val="99"/>
    <w:semiHidden/>
    <w:rsid w:val="00BE6892"/>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BE689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9434">
      <w:bodyDiv w:val="1"/>
      <w:marLeft w:val="0"/>
      <w:marRight w:val="0"/>
      <w:marTop w:val="0"/>
      <w:marBottom w:val="0"/>
      <w:divBdr>
        <w:top w:val="none" w:sz="0" w:space="0" w:color="auto"/>
        <w:left w:val="none" w:sz="0" w:space="0" w:color="auto"/>
        <w:bottom w:val="none" w:sz="0" w:space="0" w:color="auto"/>
        <w:right w:val="none" w:sz="0" w:space="0" w:color="auto"/>
      </w:divBdr>
    </w:div>
    <w:div w:id="587006127">
      <w:bodyDiv w:val="1"/>
      <w:marLeft w:val="0"/>
      <w:marRight w:val="0"/>
      <w:marTop w:val="0"/>
      <w:marBottom w:val="0"/>
      <w:divBdr>
        <w:top w:val="none" w:sz="0" w:space="0" w:color="auto"/>
        <w:left w:val="none" w:sz="0" w:space="0" w:color="auto"/>
        <w:bottom w:val="none" w:sz="0" w:space="0" w:color="auto"/>
        <w:right w:val="none" w:sz="0" w:space="0" w:color="auto"/>
      </w:divBdr>
    </w:div>
    <w:div w:id="837306419">
      <w:bodyDiv w:val="1"/>
      <w:marLeft w:val="0"/>
      <w:marRight w:val="0"/>
      <w:marTop w:val="0"/>
      <w:marBottom w:val="0"/>
      <w:divBdr>
        <w:top w:val="none" w:sz="0" w:space="0" w:color="auto"/>
        <w:left w:val="none" w:sz="0" w:space="0" w:color="auto"/>
        <w:bottom w:val="none" w:sz="0" w:space="0" w:color="auto"/>
        <w:right w:val="none" w:sz="0" w:space="0" w:color="auto"/>
      </w:divBdr>
    </w:div>
    <w:div w:id="1103304373">
      <w:bodyDiv w:val="1"/>
      <w:marLeft w:val="0"/>
      <w:marRight w:val="0"/>
      <w:marTop w:val="0"/>
      <w:marBottom w:val="0"/>
      <w:divBdr>
        <w:top w:val="none" w:sz="0" w:space="0" w:color="auto"/>
        <w:left w:val="none" w:sz="0" w:space="0" w:color="auto"/>
        <w:bottom w:val="none" w:sz="0" w:space="0" w:color="auto"/>
        <w:right w:val="none" w:sz="0" w:space="0" w:color="auto"/>
      </w:divBdr>
    </w:div>
    <w:div w:id="1108738410">
      <w:bodyDiv w:val="1"/>
      <w:marLeft w:val="0"/>
      <w:marRight w:val="0"/>
      <w:marTop w:val="0"/>
      <w:marBottom w:val="0"/>
      <w:divBdr>
        <w:top w:val="none" w:sz="0" w:space="0" w:color="auto"/>
        <w:left w:val="none" w:sz="0" w:space="0" w:color="auto"/>
        <w:bottom w:val="none" w:sz="0" w:space="0" w:color="auto"/>
        <w:right w:val="none" w:sz="0" w:space="0" w:color="auto"/>
      </w:divBdr>
    </w:div>
    <w:div w:id="19017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siliki.tafili@eeae.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E354-59CC-444D-B9C1-B1E5392B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5049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Vivie Karakonstanti</cp:lastModifiedBy>
  <cp:revision>2</cp:revision>
  <cp:lastPrinted>2017-11-24T06:36:00Z</cp:lastPrinted>
  <dcterms:created xsi:type="dcterms:W3CDTF">2017-11-24T12:32:00Z</dcterms:created>
  <dcterms:modified xsi:type="dcterms:W3CDTF">2017-11-24T12:32:00Z</dcterms:modified>
</cp:coreProperties>
</file>