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604"/>
      </w:tblGrid>
      <w:tr w:rsidR="0006403E" w:rsidRPr="00B4002E" w14:paraId="2600F30A" w14:textId="77777777" w:rsidTr="0006403E">
        <w:tc>
          <w:tcPr>
            <w:tcW w:w="4610" w:type="dxa"/>
            <w:shd w:val="clear" w:color="auto" w:fill="1F497D" w:themeFill="text2"/>
          </w:tcPr>
          <w:p w14:paraId="4B534815" w14:textId="77777777" w:rsidR="0006403E" w:rsidRPr="00C86460" w:rsidRDefault="0006403E" w:rsidP="0006403E">
            <w:pPr>
              <w:ind w:right="-210"/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C86460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en-US"/>
              </w:rPr>
              <w:t>Greece</w:t>
            </w:r>
          </w:p>
        </w:tc>
        <w:tc>
          <w:tcPr>
            <w:tcW w:w="4604" w:type="dxa"/>
            <w:shd w:val="clear" w:color="auto" w:fill="1F497D" w:themeFill="text2"/>
          </w:tcPr>
          <w:p w14:paraId="2E7A683F" w14:textId="62B8FF86" w:rsidR="008B70FD" w:rsidRPr="00C86460" w:rsidRDefault="00A64776" w:rsidP="00822877">
            <w:pPr>
              <w:spacing w:after="0" w:line="276" w:lineRule="auto"/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86460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US"/>
              </w:rPr>
              <w:t>GSR</w:t>
            </w:r>
            <w:r w:rsidRPr="00C86460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l-GR"/>
              </w:rPr>
              <w:t>Ι</w:t>
            </w:r>
            <w:r w:rsidR="0006403E" w:rsidRPr="00C86460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– General Secreta</w:t>
            </w:r>
            <w:r w:rsidRPr="00C86460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US"/>
              </w:rPr>
              <w:t>riat for Research and Innovation</w:t>
            </w:r>
            <w:r w:rsidR="00945652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US"/>
              </w:rPr>
              <w:t>,</w:t>
            </w:r>
          </w:p>
          <w:p w14:paraId="550117F5" w14:textId="326CA5EC" w:rsidR="0006403E" w:rsidRPr="00A64776" w:rsidRDefault="008B70FD" w:rsidP="00822877">
            <w:pPr>
              <w:spacing w:line="276" w:lineRule="auto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r w:rsidRPr="00C86460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US"/>
              </w:rPr>
              <w:t>Ministry for Development and Investments</w:t>
            </w:r>
          </w:p>
        </w:tc>
      </w:tr>
      <w:tr w:rsidR="0006403E" w:rsidRPr="00B4002E" w14:paraId="70899F2A" w14:textId="77777777" w:rsidTr="0006403E">
        <w:tc>
          <w:tcPr>
            <w:tcW w:w="4610" w:type="dxa"/>
          </w:tcPr>
          <w:p w14:paraId="0C18AA4A" w14:textId="0715954A" w:rsidR="0006403E" w:rsidRPr="0029061E" w:rsidRDefault="0006403E" w:rsidP="002916A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4604" w:type="dxa"/>
          </w:tcPr>
          <w:p w14:paraId="049202FF" w14:textId="1C0BADC1" w:rsidR="0006403E" w:rsidRPr="00B6757F" w:rsidRDefault="0006403E" w:rsidP="0006403E">
            <w:pPr>
              <w:rPr>
                <w:rFonts w:ascii="Calibri" w:hAnsi="Calibri"/>
                <w:lang w:val="en-US"/>
              </w:rPr>
            </w:pPr>
          </w:p>
        </w:tc>
      </w:tr>
    </w:tbl>
    <w:p w14:paraId="3F0143D9" w14:textId="77777777" w:rsidR="00AF0BE5" w:rsidRPr="00AF0BE5" w:rsidRDefault="00AF0BE5" w:rsidP="00945652">
      <w:pPr>
        <w:keepNext/>
        <w:keepLines/>
        <w:spacing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/>
          <w:sz w:val="24"/>
          <w:szCs w:val="24"/>
          <w:lang w:val="en-GB"/>
        </w:rPr>
      </w:pPr>
      <w:r w:rsidRPr="00AF0BE5">
        <w:rPr>
          <w:rFonts w:asciiTheme="majorHAnsi" w:eastAsiaTheme="majorEastAsia" w:hAnsiTheme="majorHAnsi" w:cstheme="majorBidi"/>
          <w:b/>
          <w:color w:val="000000"/>
          <w:sz w:val="24"/>
          <w:szCs w:val="24"/>
          <w:lang w:val="en-GB"/>
        </w:rPr>
        <w:t xml:space="preserve">National contact person for KDT JU programme </w:t>
      </w:r>
    </w:p>
    <w:tbl>
      <w:tblPr>
        <w:tblW w:w="9370" w:type="dxa"/>
        <w:tblInd w:w="98" w:type="dxa"/>
        <w:tblLook w:val="04A0" w:firstRow="1" w:lastRow="0" w:firstColumn="1" w:lastColumn="0" w:noHBand="0" w:noVBand="1"/>
      </w:tblPr>
      <w:tblGrid>
        <w:gridCol w:w="1060"/>
        <w:gridCol w:w="1900"/>
        <w:gridCol w:w="1397"/>
        <w:gridCol w:w="2519"/>
        <w:gridCol w:w="2494"/>
      </w:tblGrid>
      <w:tr w:rsidR="00AF0BE5" w:rsidRPr="00C86460" w14:paraId="2F7155AD" w14:textId="77777777" w:rsidTr="00C77815">
        <w:trPr>
          <w:trHeight w:val="3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94A94F" w14:textId="77777777" w:rsidR="00AF0BE5" w:rsidRPr="00C86460" w:rsidRDefault="00AF0BE5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300E7F" w14:textId="77777777" w:rsidR="00AF0BE5" w:rsidRPr="00C86460" w:rsidRDefault="00AF0BE5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A8ECF7" w14:textId="77777777" w:rsidR="00AF0BE5" w:rsidRPr="00C86460" w:rsidRDefault="00AF0BE5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977681" w14:textId="77777777" w:rsidR="00AF0BE5" w:rsidRPr="00C86460" w:rsidRDefault="00AF0BE5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Tel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2AA043C" w14:textId="77777777" w:rsidR="00AF0BE5" w:rsidRPr="00C86460" w:rsidRDefault="00AF0BE5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E-mail</w:t>
            </w:r>
          </w:p>
        </w:tc>
      </w:tr>
      <w:tr w:rsidR="00AF0BE5" w:rsidRPr="00C86460" w14:paraId="77E64FCE" w14:textId="77777777" w:rsidTr="00C77815">
        <w:trPr>
          <w:trHeight w:val="41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F0AC8F" w14:textId="352F9515" w:rsidR="00AF0BE5" w:rsidRPr="00C86460" w:rsidRDefault="00AF0BE5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Greece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B435" w14:textId="072AA3CE" w:rsidR="00AF0BE5" w:rsidRPr="00C86460" w:rsidRDefault="00AF0BE5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GONGOLIDIS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608F3" w14:textId="09DACF29" w:rsidR="00AF0BE5" w:rsidRPr="00C86460" w:rsidRDefault="00A2540F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Vasileios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25F37" w14:textId="2750309A" w:rsidR="00AF0BE5" w:rsidRPr="00C86460" w:rsidRDefault="00C86460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+302131300072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1BB472" w14:textId="1BE053B9" w:rsidR="00AF0BE5" w:rsidRPr="00C86460" w:rsidRDefault="00C86460" w:rsidP="0094565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bgogol@gsrt.gr</w:t>
            </w:r>
          </w:p>
        </w:tc>
      </w:tr>
      <w:tr w:rsidR="00A25118" w:rsidRPr="00C86460" w14:paraId="079C16A1" w14:textId="77777777" w:rsidTr="00C77815">
        <w:trPr>
          <w:trHeight w:val="41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51C948" w14:textId="1A068755" w:rsidR="00A25118" w:rsidRDefault="00A25118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Greece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371D8" w14:textId="078291C3" w:rsidR="00A25118" w:rsidRPr="0052629D" w:rsidRDefault="00A25118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2629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KOTSIAS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36F7E" w14:textId="2C7C43A2" w:rsidR="00A25118" w:rsidRPr="0052629D" w:rsidRDefault="00A25118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2629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Michael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927A3" w14:textId="20382C53" w:rsidR="00A25118" w:rsidRPr="0052629D" w:rsidRDefault="00A25118" w:rsidP="00AF0BE5">
            <w:pPr>
              <w:spacing w:after="0"/>
              <w:ind w:left="57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2629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+302131300115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A28383" w14:textId="278458E1" w:rsidR="00A25118" w:rsidRPr="0052629D" w:rsidRDefault="00A25118" w:rsidP="0094565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2629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m.kotsias@gsrt.gr</w:t>
            </w:r>
          </w:p>
        </w:tc>
      </w:tr>
    </w:tbl>
    <w:p w14:paraId="7698C38C" w14:textId="77777777" w:rsidR="001A7EFD" w:rsidRDefault="001A7EFD" w:rsidP="00C86460">
      <w:pPr>
        <w:spacing w:after="2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bookmarkStart w:id="0" w:name="_GoBack"/>
      <w:bookmarkEnd w:id="0"/>
    </w:p>
    <w:p w14:paraId="5034FE46" w14:textId="2F3BBC97" w:rsidR="00AF0BE5" w:rsidRPr="00C86460" w:rsidRDefault="00AF0BE5" w:rsidP="00C86460">
      <w:pPr>
        <w:spacing w:after="2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C864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National Funding Agency for Greece:</w:t>
      </w:r>
      <w:r w:rsidRPr="00C8646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General Secretariat for Research and</w:t>
      </w:r>
      <w:r w:rsidR="00C86460" w:rsidRPr="00C8646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Innovation (GSRI), Ministry for </w:t>
      </w:r>
      <w:r w:rsidRPr="00C8646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Development and Investments (</w:t>
      </w:r>
      <w:hyperlink r:id="rId9" w:history="1">
        <w:r w:rsidR="00377B95" w:rsidRPr="009D7F30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en-GB"/>
          </w:rPr>
          <w:t>www.gsri.gov.gr</w:t>
        </w:r>
      </w:hyperlink>
      <w:r w:rsidRPr="00C8646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)</w:t>
      </w:r>
    </w:p>
    <w:p w14:paraId="6AAC06BD" w14:textId="77777777" w:rsidR="00AA5390" w:rsidRPr="00C86460" w:rsidRDefault="00AA5390" w:rsidP="009F5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following </w:t>
      </w:r>
      <w:r w:rsidR="00FE0043" w:rsidRPr="00C86460">
        <w:rPr>
          <w:rFonts w:ascii="Times New Roman" w:hAnsi="Times New Roman" w:cs="Times New Roman"/>
          <w:b/>
          <w:sz w:val="24"/>
          <w:szCs w:val="24"/>
          <w:lang w:val="en-US"/>
        </w:rPr>
        <w:t>conditions are provisional and without prejudice to t</w:t>
      </w:r>
      <w:r w:rsidRPr="00C86460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FE0043" w:rsidRPr="00C86460">
        <w:rPr>
          <w:rFonts w:ascii="Times New Roman" w:hAnsi="Times New Roman" w:cs="Times New Roman"/>
          <w:b/>
          <w:sz w:val="24"/>
          <w:szCs w:val="24"/>
        </w:rPr>
        <w:t>application of legal rules (legally binding documents)</w:t>
      </w:r>
      <w:r w:rsidRPr="00C86460">
        <w:rPr>
          <w:rFonts w:ascii="Times New Roman" w:hAnsi="Times New Roman" w:cs="Times New Roman"/>
          <w:b/>
          <w:sz w:val="24"/>
          <w:szCs w:val="24"/>
        </w:rPr>
        <w:t>, currently under preparation</w:t>
      </w:r>
      <w:r w:rsidR="00FE0043" w:rsidRPr="00C86460">
        <w:rPr>
          <w:rFonts w:ascii="Times New Roman" w:hAnsi="Times New Roman" w:cs="Times New Roman"/>
          <w:b/>
          <w:sz w:val="24"/>
          <w:szCs w:val="24"/>
        </w:rPr>
        <w:t xml:space="preserve">, concerning </w:t>
      </w:r>
      <w:r w:rsidRPr="00C86460">
        <w:rPr>
          <w:rFonts w:ascii="Times New Roman" w:hAnsi="Times New Roman" w:cs="Times New Roman"/>
          <w:b/>
          <w:sz w:val="24"/>
          <w:szCs w:val="24"/>
        </w:rPr>
        <w:t xml:space="preserve">the terms and procedures </w:t>
      </w:r>
      <w:r w:rsidR="00FE0043" w:rsidRPr="00C86460">
        <w:rPr>
          <w:rFonts w:ascii="Times New Roman" w:hAnsi="Times New Roman" w:cs="Times New Roman"/>
          <w:b/>
          <w:sz w:val="24"/>
          <w:szCs w:val="24"/>
        </w:rPr>
        <w:t xml:space="preserve">for the management of the action at national level. </w:t>
      </w:r>
    </w:p>
    <w:p w14:paraId="6E2F9051" w14:textId="77777777" w:rsidR="00945652" w:rsidRDefault="00945652" w:rsidP="00822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C965EB" w14:textId="13B0A617" w:rsidR="00AF0BE5" w:rsidRDefault="004247A4" w:rsidP="00822877">
      <w:pPr>
        <w:jc w:val="both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945652">
        <w:rPr>
          <w:rFonts w:asciiTheme="majorHAnsi" w:hAnsiTheme="majorHAnsi" w:cs="Times New Roman"/>
          <w:b/>
          <w:sz w:val="24"/>
          <w:szCs w:val="24"/>
          <w:lang w:val="en-GB"/>
        </w:rPr>
        <w:t xml:space="preserve">A. </w:t>
      </w:r>
      <w:r w:rsidR="00AF0BE5" w:rsidRPr="00945652">
        <w:rPr>
          <w:rFonts w:asciiTheme="majorHAnsi" w:hAnsiTheme="majorHAnsi" w:cs="Times New Roman"/>
          <w:b/>
          <w:sz w:val="24"/>
          <w:szCs w:val="24"/>
          <w:lang w:val="en-GB"/>
        </w:rPr>
        <w:t>Legal requirements for the eligibility of a partner or a project</w:t>
      </w:r>
    </w:p>
    <w:p w14:paraId="4C57E08E" w14:textId="77777777" w:rsidR="00AF0BE5" w:rsidRPr="00945652" w:rsidRDefault="00AF0BE5" w:rsidP="00A95DB2">
      <w:pPr>
        <w:spacing w:before="120"/>
        <w:jc w:val="both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945652">
        <w:rPr>
          <w:rFonts w:asciiTheme="majorHAnsi" w:hAnsiTheme="majorHAnsi" w:cs="Times New Roman"/>
          <w:b/>
          <w:sz w:val="24"/>
          <w:szCs w:val="24"/>
          <w:lang w:val="en-GB"/>
        </w:rPr>
        <w:t>1) Type or nature of participants</w:t>
      </w:r>
    </w:p>
    <w:p w14:paraId="3DE59C71" w14:textId="77777777" w:rsidR="00AF0BE5" w:rsidRPr="00C86460" w:rsidRDefault="00AF0BE5" w:rsidP="009F5CF6">
      <w:pPr>
        <w:spacing w:before="40" w:after="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GSRI potentially supports all private and public </w:t>
      </w:r>
      <w:r w:rsidRPr="00C86460">
        <w:rPr>
          <w:rFonts w:ascii="Times New Roman" w:hAnsi="Times New Roman" w:cs="Times New Roman"/>
          <w:sz w:val="24"/>
          <w:szCs w:val="24"/>
          <w:lang w:val="en-US"/>
        </w:rPr>
        <w:t xml:space="preserve">legal entities legally operating in Greece (not natural persons) </w:t>
      </w:r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namely: </w:t>
      </w:r>
    </w:p>
    <w:p w14:paraId="2CAF7E42" w14:textId="77777777" w:rsidR="00AF0BE5" w:rsidRPr="00C86460" w:rsidRDefault="00AF0BE5" w:rsidP="009F5CF6">
      <w:pPr>
        <w:numPr>
          <w:ilvl w:val="0"/>
          <w:numId w:val="10"/>
        </w:num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eastAsia="el-GR"/>
        </w:rPr>
      </w:pPr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Research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knowledge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-dissemination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organization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val="en-US" w:eastAsia="el-GR"/>
        </w:rPr>
        <w:t>s</w:t>
      </w:r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(e.g. </w:t>
      </w:r>
      <w:r w:rsidRPr="00C86460">
        <w:rPr>
          <w:rFonts w:ascii="Times New Roman" w:hAnsi="Times New Roman" w:cs="Times New Roman"/>
          <w:color w:val="000000"/>
          <w:sz w:val="24"/>
          <w:szCs w:val="24"/>
        </w:rPr>
        <w:t>Higher-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Institutions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Research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Centres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>/Institutes</w:t>
      </w:r>
      <w:r w:rsidRPr="00C86460">
        <w:rPr>
          <w:rFonts w:ascii="Times New Roman" w:hAnsi="Times New Roman" w:cs="Times New Roman"/>
          <w:sz w:val="24"/>
          <w:szCs w:val="24"/>
          <w:lang w:eastAsia="el-GR"/>
        </w:rPr>
        <w:t>)</w:t>
      </w:r>
    </w:p>
    <w:p w14:paraId="638B7055" w14:textId="77777777" w:rsidR="00AF0BE5" w:rsidRPr="00C86460" w:rsidRDefault="00AF0BE5" w:rsidP="009F5CF6">
      <w:pPr>
        <w:numPr>
          <w:ilvl w:val="0"/>
          <w:numId w:val="10"/>
        </w:num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Undertakings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(</w:t>
      </w:r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a private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sector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unit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regardless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legal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status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size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engaged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C86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color w:val="000000"/>
          <w:sz w:val="24"/>
          <w:szCs w:val="24"/>
        </w:rPr>
        <w:t>activity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) </w:t>
      </w:r>
    </w:p>
    <w:p w14:paraId="77615C38" w14:textId="77777777" w:rsidR="00AF0BE5" w:rsidRPr="00C86460" w:rsidRDefault="00AF0BE5" w:rsidP="009F5CF6">
      <w:pPr>
        <w:pStyle w:val="ListParagraph"/>
        <w:numPr>
          <w:ilvl w:val="0"/>
          <w:numId w:val="10"/>
        </w:numPr>
        <w:tabs>
          <w:tab w:val="left" w:pos="720"/>
        </w:tabs>
        <w:spacing w:before="40" w:after="40"/>
        <w:jc w:val="both"/>
        <w:rPr>
          <w:rFonts w:ascii="Times New Roman" w:hAnsi="Times New Roman"/>
          <w:sz w:val="24"/>
          <w:szCs w:val="24"/>
          <w:lang w:val="en-US"/>
        </w:rPr>
      </w:pPr>
      <w:r w:rsidRPr="00C86460">
        <w:rPr>
          <w:rFonts w:ascii="Times New Roman" w:hAnsi="Times New Roman"/>
          <w:sz w:val="24"/>
          <w:szCs w:val="24"/>
          <w:lang w:val="en-GB" w:eastAsia="el-GR"/>
        </w:rPr>
        <w:t>Other entities that will be considered as Research and knowledge-dissemination organizations,</w:t>
      </w:r>
      <w:r w:rsidRPr="00C86460">
        <w:rPr>
          <w:rFonts w:ascii="Times New Roman" w:hAnsi="Times New Roman"/>
          <w:color w:val="000000"/>
          <w:sz w:val="24"/>
          <w:szCs w:val="24"/>
          <w:lang w:val="en-GB"/>
        </w:rPr>
        <w:t xml:space="preserve"> if respective requirements are met,</w:t>
      </w:r>
      <w:r w:rsidRPr="00C86460">
        <w:rPr>
          <w:rFonts w:ascii="Times New Roman" w:hAnsi="Times New Roman"/>
          <w:sz w:val="24"/>
          <w:szCs w:val="24"/>
          <w:lang w:val="en-GB" w:eastAsia="el-GR"/>
        </w:rPr>
        <w:t xml:space="preserve"> or undertakings </w:t>
      </w:r>
    </w:p>
    <w:p w14:paraId="6D1BCD66" w14:textId="77777777" w:rsidR="00AF0BE5" w:rsidRPr="00C86460" w:rsidRDefault="00AF0BE5" w:rsidP="009F5CF6">
      <w:pPr>
        <w:pStyle w:val="NormalWeb"/>
        <w:spacing w:before="40" w:beforeAutospacing="0" w:after="40" w:afterAutospacing="0" w:line="276" w:lineRule="auto"/>
        <w:jc w:val="both"/>
        <w:rPr>
          <w:color w:val="000000"/>
        </w:rPr>
      </w:pPr>
      <w:r w:rsidRPr="00C86460">
        <w:rPr>
          <w:color w:val="000000"/>
        </w:rPr>
        <w:t>Besides natural persons the following categories of undertakings are also not eligible:</w:t>
      </w:r>
    </w:p>
    <w:p w14:paraId="5EA3A209" w14:textId="77777777" w:rsidR="00AF0BE5" w:rsidRPr="00C86460" w:rsidRDefault="00AF0BE5" w:rsidP="009F5CF6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sz w:val="24"/>
          <w:szCs w:val="24"/>
          <w:lang w:val="en-GB"/>
        </w:rPr>
      </w:pPr>
      <w:r w:rsidRPr="00C86460">
        <w:rPr>
          <w:rFonts w:ascii="Times New Roman" w:hAnsi="Times New Roman"/>
          <w:sz w:val="24"/>
          <w:szCs w:val="24"/>
          <w:lang w:val="en-GB"/>
        </w:rPr>
        <w:t>An “undertaking in difficulty” (according to Reg. EU 651/2014, art.2).</w:t>
      </w:r>
    </w:p>
    <w:p w14:paraId="468C2755" w14:textId="77777777" w:rsidR="00AF0BE5" w:rsidRPr="00C86460" w:rsidRDefault="00AF0BE5" w:rsidP="009F5CF6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sz w:val="24"/>
          <w:szCs w:val="24"/>
          <w:lang w:val="en-GB"/>
        </w:rPr>
      </w:pPr>
      <w:r w:rsidRPr="00C86460">
        <w:rPr>
          <w:rFonts w:ascii="Times New Roman" w:hAnsi="Times New Roman"/>
          <w:sz w:val="24"/>
          <w:szCs w:val="24"/>
          <w:lang w:val="en-GB"/>
        </w:rPr>
        <w:t>An undertaking which is subject to an outstanding recovery order following a previous Commission decision declaring an aid illegal and incompatible with the internal market.</w:t>
      </w:r>
    </w:p>
    <w:p w14:paraId="3A82FE68" w14:textId="77777777" w:rsidR="00AF0BE5" w:rsidRPr="00C86460" w:rsidRDefault="00AF0BE5" w:rsidP="00867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D6CFD" w14:textId="77777777" w:rsidR="00AF0BE5" w:rsidRPr="00945652" w:rsidRDefault="00AF0BE5" w:rsidP="00AF0BE5">
      <w:pPr>
        <w:jc w:val="both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945652">
        <w:rPr>
          <w:rFonts w:asciiTheme="majorHAnsi" w:hAnsiTheme="majorHAnsi" w:cs="Times New Roman"/>
          <w:b/>
          <w:sz w:val="24"/>
          <w:szCs w:val="24"/>
          <w:lang w:val="en-GB"/>
        </w:rPr>
        <w:t>2) Legal, administrative and financial conditions</w:t>
      </w:r>
    </w:p>
    <w:p w14:paraId="29D7468C" w14:textId="77777777" w:rsidR="00A2540F" w:rsidRDefault="00A2540F" w:rsidP="009F5CF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86460">
        <w:rPr>
          <w:rFonts w:ascii="Times New Roman" w:hAnsi="Times New Roman" w:cs="Times New Roman"/>
          <w:b/>
          <w:i/>
          <w:sz w:val="24"/>
          <w:szCs w:val="24"/>
          <w:lang w:val="en-US"/>
        </w:rPr>
        <w:t>Eligible activities</w:t>
      </w:r>
    </w:p>
    <w:p w14:paraId="57CDF181" w14:textId="3264B285" w:rsidR="00A95DB2" w:rsidRPr="00945652" w:rsidRDefault="00A95DB2" w:rsidP="00A95DB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45652">
        <w:rPr>
          <w:rFonts w:ascii="Times New Roman" w:hAnsi="Times New Roman"/>
          <w:sz w:val="24"/>
          <w:szCs w:val="24"/>
          <w:lang w:val="en-GB"/>
        </w:rPr>
        <w:lastRenderedPageBreak/>
        <w:t xml:space="preserve">All funded activities should </w:t>
      </w:r>
      <w:r w:rsidRPr="00945652">
        <w:rPr>
          <w:rFonts w:ascii="Times New Roman" w:hAnsi="Times New Roman"/>
          <w:sz w:val="24"/>
          <w:szCs w:val="24"/>
          <w:lang w:val="en-US"/>
        </w:rPr>
        <w:t>contribute to the aims and objectives of the National Recovery and Resilience Plan - Greece 2.0 (</w:t>
      </w:r>
      <w:hyperlink r:id="rId10" w:history="1">
        <w:r w:rsidRPr="00642C4A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https://greece20.gov.gr/to-plires-sxedio/</w:t>
        </w:r>
      </w:hyperlink>
      <w:r w:rsidRPr="0094565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 It is mandatory; otherwise the proposal will be rejected.</w:t>
      </w:r>
    </w:p>
    <w:p w14:paraId="273C852E" w14:textId="77777777" w:rsidR="00A95DB2" w:rsidRPr="00A95DB2" w:rsidRDefault="00A95DB2" w:rsidP="00A95DB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2BA415A" w14:textId="0984886C" w:rsidR="00A2540F" w:rsidRPr="00945652" w:rsidRDefault="00A2540F" w:rsidP="009F5CF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45652">
        <w:rPr>
          <w:rFonts w:ascii="Times New Roman" w:hAnsi="Times New Roman"/>
          <w:sz w:val="24"/>
          <w:szCs w:val="24"/>
          <w:lang w:val="en-US"/>
        </w:rPr>
        <w:t>In case of participants falling under cat</w:t>
      </w:r>
      <w:r w:rsidR="00945652" w:rsidRPr="00945652">
        <w:rPr>
          <w:rFonts w:ascii="Times New Roman" w:hAnsi="Times New Roman"/>
          <w:sz w:val="24"/>
          <w:szCs w:val="24"/>
          <w:lang w:val="en-US"/>
        </w:rPr>
        <w:t xml:space="preserve">egory (b) the main part of the </w:t>
      </w:r>
      <w:r w:rsidR="00945652" w:rsidRPr="00945652">
        <w:rPr>
          <w:rFonts w:ascii="Times New Roman" w:hAnsi="Times New Roman"/>
          <w:sz w:val="24"/>
          <w:szCs w:val="24"/>
          <w:lang w:val="en-GB"/>
        </w:rPr>
        <w:t>project</w:t>
      </w:r>
      <w:r w:rsidRPr="00945652">
        <w:rPr>
          <w:rFonts w:ascii="Times New Roman" w:hAnsi="Times New Roman"/>
          <w:sz w:val="24"/>
          <w:szCs w:val="24"/>
          <w:lang w:val="en-GB"/>
        </w:rPr>
        <w:t xml:space="preserve"> should fall within the categories of industrial research or experimental development or feasibility studies (according to the provisions of art 25 of Reg. EU 651/2014). For SMEs funding for innovation activities (art. 28 of Reg. EU 651/2014) may also be provided.</w:t>
      </w:r>
    </w:p>
    <w:p w14:paraId="35DB18C7" w14:textId="77777777" w:rsidR="00AF0BE5" w:rsidRPr="00C86460" w:rsidRDefault="00AF0BE5" w:rsidP="00867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524F4E" w14:textId="2113FA25" w:rsidR="00AF0BE5" w:rsidRDefault="00AF0BE5" w:rsidP="00840923">
      <w:pPr>
        <w:spacing w:after="0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945652">
        <w:rPr>
          <w:rFonts w:asciiTheme="majorHAnsi" w:hAnsiTheme="majorHAnsi" w:cs="Times New Roman"/>
          <w:b/>
          <w:sz w:val="24"/>
          <w:szCs w:val="24"/>
          <w:lang w:val="en-GB"/>
        </w:rPr>
        <w:t>3) Consortium configuration</w:t>
      </w:r>
      <w:r w:rsidR="00A2540F" w:rsidRPr="00945652">
        <w:rPr>
          <w:rFonts w:asciiTheme="majorHAnsi" w:hAnsiTheme="majorHAnsi" w:cs="Times New Roman"/>
          <w:b/>
          <w:sz w:val="24"/>
          <w:szCs w:val="24"/>
          <w:lang w:val="en-GB"/>
        </w:rPr>
        <w:t xml:space="preserve">: </w:t>
      </w:r>
      <w:r w:rsidR="00A2540F" w:rsidRPr="00945652">
        <w:rPr>
          <w:rFonts w:asciiTheme="majorHAnsi" w:hAnsiTheme="majorHAnsi" w:cs="Times New Roman"/>
          <w:sz w:val="24"/>
          <w:szCs w:val="24"/>
          <w:lang w:val="en-GB"/>
        </w:rPr>
        <w:t>no restrictions</w:t>
      </w:r>
    </w:p>
    <w:p w14:paraId="22D3BBE9" w14:textId="77777777" w:rsidR="00840923" w:rsidRDefault="00840923" w:rsidP="00840923">
      <w:pPr>
        <w:spacing w:after="0"/>
        <w:jc w:val="both"/>
        <w:rPr>
          <w:rFonts w:asciiTheme="majorHAnsi" w:hAnsiTheme="majorHAnsi" w:cs="Times New Roman"/>
          <w:sz w:val="24"/>
          <w:szCs w:val="24"/>
          <w:lang w:val="en-GB"/>
        </w:rPr>
      </w:pPr>
    </w:p>
    <w:p w14:paraId="3C0D4533" w14:textId="75B7FB1D" w:rsidR="00840923" w:rsidRPr="00840923" w:rsidRDefault="00840923" w:rsidP="00840923">
      <w:pPr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40923">
        <w:rPr>
          <w:rFonts w:asciiTheme="majorHAnsi" w:hAnsiTheme="majorHAnsi" w:cs="Times New Roman"/>
          <w:b/>
          <w:sz w:val="24"/>
          <w:szCs w:val="24"/>
          <w:lang w:val="en-US"/>
        </w:rPr>
        <w:t>4) Other conditions</w:t>
      </w:r>
    </w:p>
    <w:p w14:paraId="64249223" w14:textId="23358164" w:rsidR="00840923" w:rsidRDefault="00822877" w:rsidP="009F5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for Greek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on-line, in Greek, a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undertaken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Greek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eligibility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check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23" w:rsidRPr="00C86460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="00840923" w:rsidRPr="00C86460">
        <w:rPr>
          <w:rFonts w:ascii="Times New Roman" w:hAnsi="Times New Roman" w:cs="Times New Roman"/>
          <w:sz w:val="24"/>
          <w:szCs w:val="24"/>
        </w:rPr>
        <w:t>.</w:t>
      </w:r>
    </w:p>
    <w:p w14:paraId="40541BBD" w14:textId="77777777" w:rsidR="00840923" w:rsidRPr="00C86460" w:rsidRDefault="00840923" w:rsidP="009F5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F0C92" w14:textId="432B101E" w:rsidR="00AA1D79" w:rsidRDefault="00840923" w:rsidP="009F5CF6">
      <w:pPr>
        <w:tabs>
          <w:tab w:val="num" w:pos="786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accompanied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relevant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Greek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eligibility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2 of G</w:t>
      </w:r>
      <w:r w:rsidR="008576D6">
        <w:rPr>
          <w:rFonts w:ascii="Times New Roman" w:hAnsi="Times New Roman" w:cs="Times New Roman"/>
          <w:sz w:val="24"/>
          <w:szCs w:val="24"/>
        </w:rPr>
        <w:t>B</w:t>
      </w:r>
      <w:r w:rsidRPr="00C86460">
        <w:rPr>
          <w:rFonts w:ascii="Times New Roman" w:hAnsi="Times New Roman" w:cs="Times New Roman"/>
          <w:sz w:val="24"/>
          <w:szCs w:val="24"/>
        </w:rPr>
        <w:t xml:space="preserve">ER Regulation, 651/2014 for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undertakings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="006F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8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F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F0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082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="006F00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06BAE">
        <w:rPr>
          <w:rFonts w:ascii="Times New Roman" w:hAnsi="Times New Roman" w:cs="Times New Roman"/>
          <w:sz w:val="24"/>
          <w:szCs w:val="24"/>
        </w:rPr>
        <w:t>undertakings</w:t>
      </w:r>
      <w:proofErr w:type="spellEnd"/>
      <w:r w:rsidR="00506BA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6BAE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="00506BAE">
        <w:rPr>
          <w:rFonts w:ascii="Times New Roman" w:hAnsi="Times New Roman" w:cs="Times New Roman"/>
          <w:sz w:val="24"/>
          <w:szCs w:val="24"/>
        </w:rPr>
        <w:t>.</w:t>
      </w:r>
    </w:p>
    <w:p w14:paraId="36BD746C" w14:textId="77777777" w:rsidR="00597BC2" w:rsidRPr="00AA1D79" w:rsidRDefault="00597BC2" w:rsidP="009F5CF6">
      <w:pPr>
        <w:tabs>
          <w:tab w:val="num" w:pos="786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</w:p>
    <w:p w14:paraId="205C3148" w14:textId="1A9949F0" w:rsidR="00597BC2" w:rsidRDefault="00597BC2" w:rsidP="009F5CF6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A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In addition all Greek applicants should </w:t>
      </w:r>
      <w:r w:rsidR="00885A40" w:rsidRPr="00885A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provide </w:t>
      </w:r>
      <w:r w:rsidR="00885A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additional </w:t>
      </w:r>
      <w:r w:rsidRPr="00885A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information on the contribution of the project to the national RRF plan objectives and the impact to the Greek economy</w:t>
      </w:r>
      <w:r w:rsidR="00885A40" w:rsidRPr="00885A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/competitiveness</w:t>
      </w:r>
      <w:r w:rsidRPr="00885A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and society, skills development and employment in particular for young </w:t>
      </w:r>
      <w:r w:rsidR="00885A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and/or highly qualified </w:t>
      </w:r>
      <w:r w:rsidRPr="00885A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people.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Furthermore Companies (business partner in the project) must provide specific information on the possible industrial and commercial impact of the </w:t>
      </w:r>
      <w:r w:rsidR="00885A40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project to the country and in the Europe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and justify that they have the necessary means to exploit the project results. </w:t>
      </w:r>
    </w:p>
    <w:p w14:paraId="694E37A5" w14:textId="77777777" w:rsidR="00597BC2" w:rsidRDefault="00597BC2" w:rsidP="009F5CF6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</w:p>
    <w:p w14:paraId="31B0D1A2" w14:textId="7F1E4655" w:rsidR="00840923" w:rsidRDefault="00840923" w:rsidP="009F5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460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r w:rsidR="006F0082" w:rsidRPr="00C86460">
        <w:rPr>
          <w:rFonts w:ascii="Times New Roman" w:hAnsi="Times New Roman" w:cs="Times New Roman"/>
          <w:sz w:val="24"/>
          <w:szCs w:val="24"/>
        </w:rPr>
        <w:t>Submission</w:t>
      </w:r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will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a</w:t>
      </w:r>
      <w:r w:rsidR="00337A5E">
        <w:rPr>
          <w:rFonts w:ascii="Times New Roman" w:hAnsi="Times New Roman" w:cs="Times New Roman"/>
          <w:sz w:val="24"/>
          <w:szCs w:val="24"/>
        </w:rPr>
        <w:t xml:space="preserve">t a </w:t>
      </w:r>
      <w:proofErr w:type="spellStart"/>
      <w:r w:rsidR="00337A5E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337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A5E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337A5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37A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7A5E">
        <w:rPr>
          <w:rFonts w:ascii="Times New Roman" w:hAnsi="Times New Roman" w:cs="Times New Roman"/>
          <w:sz w:val="24"/>
          <w:szCs w:val="24"/>
        </w:rPr>
        <w:t xml:space="preserve"> GSRI</w:t>
      </w:r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DCCB6" w14:textId="77777777" w:rsidR="00945652" w:rsidRDefault="00945652" w:rsidP="00867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007E1" w14:textId="77777777" w:rsidR="00A94217" w:rsidRPr="00822877" w:rsidRDefault="00A94217" w:rsidP="00867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5E73E" w14:textId="7F0EBDB9" w:rsidR="00A2540F" w:rsidRDefault="004247A4" w:rsidP="00A2540F">
      <w:pPr>
        <w:jc w:val="both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945652">
        <w:rPr>
          <w:rFonts w:asciiTheme="majorHAnsi" w:hAnsiTheme="majorHAnsi" w:cs="Times New Roman"/>
          <w:b/>
          <w:sz w:val="24"/>
          <w:szCs w:val="24"/>
          <w:lang w:val="en-GB"/>
        </w:rPr>
        <w:t>B.</w:t>
      </w:r>
      <w:r w:rsidR="00A2540F" w:rsidRPr="00945652">
        <w:rPr>
          <w:rFonts w:asciiTheme="majorHAnsi" w:hAnsiTheme="majorHAnsi" w:cs="Times New Roman"/>
          <w:b/>
          <w:sz w:val="24"/>
          <w:szCs w:val="24"/>
          <w:lang w:val="en-GB"/>
        </w:rPr>
        <w:t xml:space="preserve"> Eligibility of the costs and funding</w:t>
      </w:r>
    </w:p>
    <w:p w14:paraId="4FB4E7BA" w14:textId="353A2D10" w:rsidR="00A2540F" w:rsidRPr="00867ACC" w:rsidRDefault="004247A4" w:rsidP="00867ACC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67ACC">
        <w:rPr>
          <w:rFonts w:asciiTheme="majorHAnsi" w:hAnsiTheme="majorHAnsi" w:cs="Times New Roman"/>
          <w:b/>
          <w:sz w:val="24"/>
          <w:szCs w:val="24"/>
        </w:rPr>
        <w:t xml:space="preserve">1) </w:t>
      </w:r>
      <w:r w:rsidR="00A2540F" w:rsidRPr="00867ACC">
        <w:rPr>
          <w:rFonts w:asciiTheme="majorHAnsi" w:hAnsiTheme="majorHAnsi" w:cs="Times New Roman"/>
          <w:b/>
          <w:sz w:val="24"/>
          <w:szCs w:val="24"/>
        </w:rPr>
        <w:t xml:space="preserve">Double </w:t>
      </w:r>
      <w:proofErr w:type="spellStart"/>
      <w:r w:rsidR="00A2540F" w:rsidRPr="00867ACC">
        <w:rPr>
          <w:rFonts w:asciiTheme="majorHAnsi" w:hAnsiTheme="majorHAnsi" w:cs="Times New Roman"/>
          <w:b/>
          <w:sz w:val="24"/>
          <w:szCs w:val="24"/>
        </w:rPr>
        <w:t>funding</w:t>
      </w:r>
      <w:proofErr w:type="spellEnd"/>
    </w:p>
    <w:p w14:paraId="11F16DDF" w14:textId="7610BD2E" w:rsidR="00B06501" w:rsidRDefault="00A2540F" w:rsidP="009F5CF6">
      <w:pPr>
        <w:jc w:val="both"/>
        <w:rPr>
          <w:rFonts w:ascii="Times New Roman" w:hAnsi="Times New Roman" w:cs="Times New Roman"/>
          <w:sz w:val="24"/>
          <w:szCs w:val="24"/>
        </w:rPr>
      </w:pPr>
      <w:r w:rsidRPr="00C8646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benefited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redundant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overlap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C86460">
        <w:rPr>
          <w:rFonts w:ascii="Times New Roman" w:hAnsi="Times New Roman" w:cs="Times New Roman"/>
          <w:sz w:val="24"/>
          <w:szCs w:val="24"/>
        </w:rPr>
        <w:t>.</w:t>
      </w:r>
    </w:p>
    <w:p w14:paraId="42D9053A" w14:textId="77777777" w:rsidR="00322A53" w:rsidRDefault="004247A4" w:rsidP="00A2540F">
      <w:pPr>
        <w:jc w:val="both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867ACC">
        <w:rPr>
          <w:rFonts w:asciiTheme="majorHAnsi" w:hAnsiTheme="majorHAnsi" w:cs="Times New Roman"/>
          <w:b/>
          <w:sz w:val="24"/>
          <w:szCs w:val="24"/>
          <w:lang w:val="en-GB"/>
        </w:rPr>
        <w:lastRenderedPageBreak/>
        <w:t xml:space="preserve">2) </w:t>
      </w:r>
      <w:r w:rsidR="00A2540F" w:rsidRPr="00867ACC">
        <w:rPr>
          <w:rFonts w:asciiTheme="majorHAnsi" w:hAnsiTheme="majorHAnsi" w:cs="Times New Roman"/>
          <w:b/>
          <w:sz w:val="24"/>
          <w:szCs w:val="24"/>
          <w:lang w:val="en-GB"/>
        </w:rPr>
        <w:t>Co-funding source</w:t>
      </w:r>
    </w:p>
    <w:p w14:paraId="0DAC7528" w14:textId="1577E11A" w:rsidR="00A2540F" w:rsidRDefault="00A2540F" w:rsidP="00A254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A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22A53">
        <w:rPr>
          <w:rFonts w:ascii="Times New Roman" w:hAnsi="Times New Roman" w:cs="Times New Roman"/>
          <w:sz w:val="24"/>
          <w:szCs w:val="24"/>
          <w:lang w:val="en-GB"/>
        </w:rPr>
        <w:t>National Contribution from RRF</w:t>
      </w:r>
      <w:r w:rsidRPr="00322A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</w:t>
      </w:r>
      <w:r w:rsidRPr="00C8646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C86460">
        <w:rPr>
          <w:rFonts w:ascii="Times New Roman" w:hAnsi="Times New Roman" w:cs="Times New Roman"/>
          <w:sz w:val="24"/>
          <w:szCs w:val="24"/>
          <w:lang w:val="en-US"/>
        </w:rPr>
        <w:t xml:space="preserve">National Recovery and Resilience Plan </w:t>
      </w:r>
      <w:r w:rsidR="00867ACC" w:rsidRPr="00C86460">
        <w:rPr>
          <w:rFonts w:ascii="Times New Roman" w:hAnsi="Times New Roman" w:cs="Times New Roman"/>
          <w:sz w:val="24"/>
          <w:szCs w:val="24"/>
          <w:lang w:val="en-US"/>
        </w:rPr>
        <w:t>- Greece</w:t>
      </w:r>
      <w:r w:rsidRPr="00C86460">
        <w:rPr>
          <w:rFonts w:ascii="Times New Roman" w:hAnsi="Times New Roman" w:cs="Times New Roman"/>
          <w:sz w:val="24"/>
          <w:szCs w:val="24"/>
          <w:lang w:val="en-US"/>
        </w:rPr>
        <w:t xml:space="preserve"> 2.0</w:t>
      </w:r>
    </w:p>
    <w:p w14:paraId="3DB921FA" w14:textId="7C41514D" w:rsidR="00AF0BE5" w:rsidRPr="00867ACC" w:rsidRDefault="004247A4" w:rsidP="00AF0BE5">
      <w:pPr>
        <w:jc w:val="both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867ACC">
        <w:rPr>
          <w:rFonts w:asciiTheme="majorHAnsi" w:hAnsiTheme="majorHAnsi" w:cs="Times New Roman"/>
          <w:b/>
          <w:sz w:val="24"/>
          <w:szCs w:val="24"/>
          <w:lang w:val="en-GB"/>
        </w:rPr>
        <w:t xml:space="preserve">3) </w:t>
      </w:r>
      <w:r w:rsidR="00A2540F" w:rsidRPr="00867ACC">
        <w:rPr>
          <w:rFonts w:asciiTheme="majorHAnsi" w:hAnsiTheme="majorHAnsi" w:cs="Times New Roman"/>
          <w:b/>
          <w:sz w:val="24"/>
          <w:szCs w:val="24"/>
          <w:lang w:val="en-GB"/>
        </w:rPr>
        <w:t>Funding rates</w:t>
      </w:r>
    </w:p>
    <w:p w14:paraId="0C8BA7B1" w14:textId="28844E41" w:rsidR="00A2540F" w:rsidRDefault="00A2540F" w:rsidP="009F5C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For Research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945652" w:rsidRPr="00C86460">
        <w:rPr>
          <w:rFonts w:ascii="Times New Roman" w:hAnsi="Times New Roman" w:cs="Times New Roman"/>
          <w:sz w:val="24"/>
          <w:szCs w:val="24"/>
          <w:lang w:eastAsia="el-GR"/>
        </w:rPr>
        <w:t>Knowledge</w:t>
      </w:r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-dissemination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organization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s, or other entities treated as such,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the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val="en-US"/>
        </w:rPr>
        <w:t xml:space="preserve"> funding rate may reach a maximum of 100% of the eligible costs for non-economic activities, less the contribution of the JU.</w:t>
      </w:r>
    </w:p>
    <w:p w14:paraId="64ACE440" w14:textId="77777777" w:rsidR="00A2540F" w:rsidRDefault="00A2540F" w:rsidP="009F5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Maximum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aid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intensity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for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undertakings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is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calculated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according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paragraphs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5,6,7 of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article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25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eastAsia="el-GR"/>
        </w:rPr>
        <w:t>and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eastAsia="el-GR"/>
        </w:rPr>
        <w:t xml:space="preserve"> art. 28 of </w:t>
      </w:r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Reg. </w:t>
      </w:r>
      <w:proofErr w:type="gramStart"/>
      <w:r w:rsidRPr="00C86460">
        <w:rPr>
          <w:rFonts w:ascii="Times New Roman" w:hAnsi="Times New Roman" w:cs="Times New Roman"/>
          <w:sz w:val="24"/>
          <w:szCs w:val="24"/>
          <w:lang w:val="en-GB"/>
        </w:rPr>
        <w:t>EU 651/2014</w:t>
      </w:r>
      <w:r w:rsidRPr="00C86460">
        <w:rPr>
          <w:rFonts w:ascii="Times New Roman" w:hAnsi="Times New Roman" w:cs="Times New Roman"/>
          <w:sz w:val="24"/>
          <w:szCs w:val="24"/>
          <w:lang w:eastAsia="el-GR"/>
        </w:rPr>
        <w:t>.</w:t>
      </w:r>
      <w:proofErr w:type="gramEnd"/>
    </w:p>
    <w:p w14:paraId="7B367E40" w14:textId="77777777" w:rsidR="00B06501" w:rsidRDefault="00B06501" w:rsidP="00A2540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</w:p>
    <w:p w14:paraId="142C4B18" w14:textId="50060167" w:rsidR="00A2540F" w:rsidRDefault="009B1BAA" w:rsidP="009F5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l-GR"/>
        </w:rPr>
      </w:pPr>
      <w:r w:rsidRPr="00C86460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Table 1. </w:t>
      </w:r>
      <w:proofErr w:type="spellStart"/>
      <w:r w:rsidRPr="00C86460">
        <w:rPr>
          <w:rFonts w:ascii="Times New Roman" w:hAnsi="Times New Roman" w:cs="Times New Roman"/>
          <w:i/>
          <w:sz w:val="24"/>
          <w:szCs w:val="24"/>
          <w:lang w:eastAsia="el-GR"/>
        </w:rPr>
        <w:t>Aid</w:t>
      </w:r>
      <w:proofErr w:type="spellEnd"/>
      <w:r w:rsidRPr="00C86460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Pr="00C86460">
        <w:rPr>
          <w:rFonts w:ascii="Times New Roman" w:hAnsi="Times New Roman" w:cs="Times New Roman"/>
          <w:i/>
          <w:sz w:val="24"/>
          <w:szCs w:val="24"/>
          <w:lang w:eastAsia="el-GR"/>
        </w:rPr>
        <w:t>intensity</w:t>
      </w:r>
      <w:proofErr w:type="spellEnd"/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1526"/>
        <w:gridCol w:w="2486"/>
        <w:gridCol w:w="1985"/>
      </w:tblGrid>
      <w:tr w:rsidR="00A2540F" w:rsidRPr="00C86460" w14:paraId="7345951F" w14:textId="77777777" w:rsidTr="006205B6">
        <w:trPr>
          <w:cantSplit/>
          <w:trHeight w:val="20"/>
          <w:tblCellSpacing w:w="0" w:type="dxa"/>
          <w:jc w:val="center"/>
        </w:trPr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0E1"/>
            <w:vAlign w:val="center"/>
            <w:hideMark/>
          </w:tcPr>
          <w:p w14:paraId="34B02C67" w14:textId="77777777" w:rsidR="00A2540F" w:rsidRPr="00C86460" w:rsidRDefault="00A2540F" w:rsidP="006205B6">
            <w:pPr>
              <w:tabs>
                <w:tab w:val="left" w:pos="357"/>
              </w:tabs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of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enterprise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65A43692" w14:textId="77777777" w:rsidR="00A2540F" w:rsidRPr="00C86460" w:rsidRDefault="00A2540F" w:rsidP="006205B6">
            <w:pPr>
              <w:tabs>
                <w:tab w:val="left" w:pos="357"/>
              </w:tabs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of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5FFF" w14:textId="77777777" w:rsidR="00A2540F" w:rsidRPr="00C86460" w:rsidRDefault="00A2540F" w:rsidP="006205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Aid intensity -TBD</w:t>
            </w:r>
          </w:p>
        </w:tc>
      </w:tr>
      <w:tr w:rsidR="00A2540F" w:rsidRPr="00C86460" w14:paraId="5F9EF26D" w14:textId="77777777" w:rsidTr="006205B6">
        <w:trPr>
          <w:cantSplit/>
          <w:trHeight w:val="475"/>
          <w:tblCellSpacing w:w="0" w:type="dxa"/>
          <w:jc w:val="center"/>
        </w:trPr>
        <w:tc>
          <w:tcPr>
            <w:tcW w:w="2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BE25" w14:textId="77777777" w:rsidR="00A2540F" w:rsidRPr="00C86460" w:rsidRDefault="00A2540F" w:rsidP="006205B6">
            <w:pPr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19698343" w14:textId="77777777" w:rsidR="00A2540F" w:rsidRPr="00C86460" w:rsidRDefault="00A2540F" w:rsidP="006205B6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Large Enterprises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7FDD5171" w14:textId="77777777" w:rsidR="00A2540F" w:rsidRPr="00C86460" w:rsidRDefault="00A2540F" w:rsidP="006205B6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  <w:t>Medium</w:t>
            </w:r>
          </w:p>
          <w:p w14:paraId="688A4D6A" w14:textId="77777777" w:rsidR="00A2540F" w:rsidRPr="00C86460" w:rsidRDefault="00A2540F" w:rsidP="006205B6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Enterprises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1CC8D4F8" w14:textId="77777777" w:rsidR="00A2540F" w:rsidRPr="00C86460" w:rsidRDefault="00A2540F" w:rsidP="006205B6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  <w:t xml:space="preserve">Small and too small 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Enterprises</w:t>
            </w:r>
          </w:p>
        </w:tc>
      </w:tr>
      <w:tr w:rsidR="00A2540F" w:rsidRPr="00C86460" w14:paraId="47ED83E8" w14:textId="77777777" w:rsidTr="006205B6">
        <w:trPr>
          <w:trHeight w:val="232"/>
          <w:tblCellSpacing w:w="0" w:type="dxa"/>
          <w:jc w:val="center"/>
        </w:trPr>
        <w:tc>
          <w:tcPr>
            <w:tcW w:w="8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C7329C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R&amp;D Activities (art.25 </w:t>
            </w:r>
            <w:r w:rsidRPr="00C864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Reg. EU 651/2014)</w:t>
            </w:r>
          </w:p>
        </w:tc>
      </w:tr>
      <w:tr w:rsidR="00A2540F" w:rsidRPr="00C86460" w14:paraId="472A3AC0" w14:textId="77777777" w:rsidTr="006205B6">
        <w:trPr>
          <w:trHeight w:val="567"/>
          <w:tblCellSpacing w:w="0" w:type="dxa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A3138" w14:textId="77777777" w:rsidR="00A2540F" w:rsidRPr="00C86460" w:rsidRDefault="00A2540F" w:rsidP="006205B6">
            <w:pPr>
              <w:tabs>
                <w:tab w:val="left" w:pos="357"/>
              </w:tabs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Industrial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applied research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F3EA9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 - JU%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3A30C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60% 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 JU%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2F267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70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</w:tr>
      <w:tr w:rsidR="00A2540F" w:rsidRPr="00C86460" w14:paraId="1DE003C1" w14:textId="77777777" w:rsidTr="006205B6">
        <w:trPr>
          <w:trHeight w:val="283"/>
          <w:tblCellSpacing w:w="0" w:type="dxa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CAFB7" w14:textId="77777777" w:rsidR="00A2540F" w:rsidRPr="00C86460" w:rsidRDefault="00A2540F" w:rsidP="006205B6">
            <w:pPr>
              <w:tabs>
                <w:tab w:val="left" w:pos="35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Ind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ustrial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applied research 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given that conditions i) or ii) are met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DE2C2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65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1202A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75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BD67C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80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</w:tr>
      <w:tr w:rsidR="00A2540F" w:rsidRPr="00C86460" w14:paraId="08D8BB86" w14:textId="77777777" w:rsidTr="006205B6">
        <w:trPr>
          <w:trHeight w:val="510"/>
          <w:tblCellSpacing w:w="0" w:type="dxa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CB923" w14:textId="77777777" w:rsidR="00A2540F" w:rsidRPr="00C86460" w:rsidRDefault="00A2540F" w:rsidP="006205B6">
            <w:pPr>
              <w:tabs>
                <w:tab w:val="left" w:pos="357"/>
              </w:tabs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Experimental development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74C21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074B8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35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A6B71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45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</w:tr>
      <w:tr w:rsidR="00A2540F" w:rsidRPr="00C86460" w14:paraId="3121B676" w14:textId="77777777" w:rsidTr="006205B6">
        <w:trPr>
          <w:trHeight w:val="855"/>
          <w:tblCellSpacing w:w="0" w:type="dxa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9EC59D" w14:textId="77777777" w:rsidR="00A2540F" w:rsidRPr="00C86460" w:rsidRDefault="00A2540F" w:rsidP="006205B6">
            <w:pPr>
              <w:tabs>
                <w:tab w:val="left" w:pos="357"/>
              </w:tabs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Experimental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development</w:t>
            </w: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given that conditions i) or ii) are met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0123E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8B841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16663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60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</w:tr>
      <w:tr w:rsidR="00A2540F" w:rsidRPr="00C86460" w14:paraId="2820C1ED" w14:textId="77777777" w:rsidTr="006205B6">
        <w:trPr>
          <w:trHeight w:val="855"/>
          <w:tblCellSpacing w:w="0" w:type="dxa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61A62E" w14:textId="77777777" w:rsidR="00A2540F" w:rsidRPr="00C86460" w:rsidRDefault="00A2540F" w:rsidP="006205B6">
            <w:pPr>
              <w:tabs>
                <w:tab w:val="left" w:pos="357"/>
              </w:tabs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Feasibility Studies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2055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2CD3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60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9396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70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%- JU%</w:t>
            </w:r>
          </w:p>
        </w:tc>
      </w:tr>
      <w:tr w:rsidR="00A2540F" w:rsidRPr="00C86460" w14:paraId="5774C9FD" w14:textId="77777777" w:rsidTr="006205B6">
        <w:trPr>
          <w:trHeight w:val="331"/>
          <w:tblCellSpacing w:w="0" w:type="dxa"/>
          <w:jc w:val="center"/>
        </w:trPr>
        <w:tc>
          <w:tcPr>
            <w:tcW w:w="8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BC722C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Innovation </w:t>
            </w:r>
            <w:proofErr w:type="spellStart"/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Activities</w:t>
            </w:r>
            <w:proofErr w:type="spellEnd"/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(art.28 of </w:t>
            </w:r>
            <w:r w:rsidRPr="00C864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Reg. EU 651/2014)</w:t>
            </w:r>
          </w:p>
        </w:tc>
      </w:tr>
      <w:tr w:rsidR="00A2540F" w:rsidRPr="00C86460" w14:paraId="5352379C" w14:textId="77777777" w:rsidTr="006205B6">
        <w:trPr>
          <w:trHeight w:val="601"/>
          <w:tblCellSpacing w:w="0" w:type="dxa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75DE1B" w14:textId="77777777" w:rsidR="00A2540F" w:rsidRPr="00C86460" w:rsidRDefault="00A2540F" w:rsidP="006205B6">
            <w:pPr>
              <w:tabs>
                <w:tab w:val="left" w:pos="357"/>
              </w:tabs>
              <w:ind w:left="1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8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Activities defined in art. 28, REG. (EU) 651/2014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7A90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CE76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 JU%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7124" w14:textId="77777777" w:rsidR="00A2540F" w:rsidRPr="00C86460" w:rsidRDefault="00A2540F" w:rsidP="006205B6">
            <w:pPr>
              <w:tabs>
                <w:tab w:val="left" w:pos="3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  <w:r w:rsidRPr="00C86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- JU%</w:t>
            </w:r>
          </w:p>
        </w:tc>
      </w:tr>
    </w:tbl>
    <w:p w14:paraId="020861D1" w14:textId="77777777" w:rsidR="00A2540F" w:rsidRDefault="00A2540F" w:rsidP="00AF0B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AA3293" w14:textId="257BD6F5" w:rsidR="00867ACC" w:rsidRPr="00C86460" w:rsidRDefault="00867ACC" w:rsidP="009F5CF6">
      <w:pPr>
        <w:spacing w:before="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b/>
          <w:sz w:val="24"/>
          <w:szCs w:val="24"/>
          <w:lang w:val="en-GB"/>
        </w:rPr>
        <w:t>Conditions for increasing the maximum aid intensity for research and development activities (Reg. (EU) No 651/2014)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4632BE8" w14:textId="77777777" w:rsidR="00867ACC" w:rsidRPr="00C86460" w:rsidRDefault="00867ACC" w:rsidP="009F5CF6">
      <w:pPr>
        <w:spacing w:before="40" w:after="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sz w:val="24"/>
          <w:szCs w:val="24"/>
          <w:lang w:val="en-GB"/>
        </w:rPr>
        <w:lastRenderedPageBreak/>
        <w:t>The aid intensities for industrial research and experimental development may be increased by 15 percentage points and up to a maximum aid intensity of 80% of the eligible costs if one of the following conditions is fulfilled:</w:t>
      </w:r>
    </w:p>
    <w:p w14:paraId="4B9862CF" w14:textId="77777777" w:rsidR="00867ACC" w:rsidRPr="00C86460" w:rsidRDefault="00867ACC" w:rsidP="009F5CF6">
      <w:pPr>
        <w:spacing w:before="40" w:after="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(i) </w:t>
      </w:r>
      <w:proofErr w:type="gramStart"/>
      <w:r w:rsidRPr="00C86460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 project involves effective collaboration:</w:t>
      </w:r>
    </w:p>
    <w:p w14:paraId="30137EE2" w14:textId="77777777" w:rsidR="00867ACC" w:rsidRPr="00C86460" w:rsidRDefault="00867ACC" w:rsidP="009F5CF6">
      <w:pPr>
        <w:spacing w:before="40" w:after="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sz w:val="24"/>
          <w:szCs w:val="24"/>
          <w:lang w:val="en-GB"/>
        </w:rPr>
        <w:t>— between undertakings among which at least one is an SME, or is carried out in at least two Member States, or in a Member State and in a Contracting Party of the EEA Agreement, and no single undertaking bears more than 70 % of the eligible costs, or</w:t>
      </w:r>
    </w:p>
    <w:p w14:paraId="76F77C37" w14:textId="77777777" w:rsidR="00867ACC" w:rsidRPr="00C86460" w:rsidRDefault="00867ACC" w:rsidP="009F5CF6">
      <w:pPr>
        <w:spacing w:before="40" w:after="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— </w:t>
      </w:r>
      <w:proofErr w:type="gramStart"/>
      <w:r w:rsidRPr="00C86460">
        <w:rPr>
          <w:rFonts w:ascii="Times New Roman" w:hAnsi="Times New Roman" w:cs="Times New Roman"/>
          <w:sz w:val="24"/>
          <w:szCs w:val="24"/>
          <w:lang w:val="en-GB"/>
        </w:rPr>
        <w:t>between</w:t>
      </w:r>
      <w:proofErr w:type="gramEnd"/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 an undertaking and one or more research and knowledge-dissemination organisations, where the latter bear at least 10 % of the eligible costs and have the right to publish their own research results;</w:t>
      </w:r>
    </w:p>
    <w:p w14:paraId="0F653B33" w14:textId="77777777" w:rsidR="00867ACC" w:rsidRPr="00C86460" w:rsidRDefault="00867ACC" w:rsidP="009F5CF6">
      <w:pPr>
        <w:spacing w:before="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(ii) </w:t>
      </w:r>
      <w:proofErr w:type="gramStart"/>
      <w:r w:rsidRPr="00C86460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 results of the project are widely disseminated through conferences, publication, open access repositories, or free or open source software.</w:t>
      </w:r>
    </w:p>
    <w:p w14:paraId="12D0B028" w14:textId="4178F82C" w:rsidR="00867ACC" w:rsidRPr="00C86460" w:rsidRDefault="00867ACC" w:rsidP="009F5CF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86460">
        <w:rPr>
          <w:rFonts w:ascii="Times New Roman" w:hAnsi="Times New Roman" w:cs="Times New Roman"/>
          <w:b/>
          <w:sz w:val="24"/>
          <w:szCs w:val="24"/>
          <w:lang w:val="en-GB"/>
        </w:rPr>
        <w:t>Cumulation</w:t>
      </w:r>
      <w:proofErr w:type="spellEnd"/>
      <w:r w:rsidR="008409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C86460">
        <w:rPr>
          <w:rFonts w:ascii="Times New Roman" w:hAnsi="Times New Roman" w:cs="Times New Roman"/>
          <w:sz w:val="24"/>
          <w:szCs w:val="24"/>
          <w:lang w:val="en-GB"/>
        </w:rPr>
        <w:t>In case of undertakings aid with identifiable eligible costs may be cumulated with:</w:t>
      </w:r>
    </w:p>
    <w:p w14:paraId="6B02B616" w14:textId="77777777" w:rsidR="00867ACC" w:rsidRPr="00C86460" w:rsidRDefault="00867ACC" w:rsidP="009F5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C86460">
        <w:rPr>
          <w:rFonts w:ascii="Times New Roman" w:hAnsi="Times New Roman" w:cs="Times New Roman"/>
          <w:sz w:val="24"/>
          <w:szCs w:val="24"/>
          <w:lang w:val="en-GB"/>
        </w:rPr>
        <w:t>any</w:t>
      </w:r>
      <w:proofErr w:type="gramEnd"/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 other State aid, as long as those measures concern different identifiable eligible costs,</w:t>
      </w:r>
    </w:p>
    <w:p w14:paraId="621055BD" w14:textId="77777777" w:rsidR="00867ACC" w:rsidRPr="00C86460" w:rsidRDefault="00867ACC" w:rsidP="009F5C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(b) </w:t>
      </w:r>
      <w:proofErr w:type="gramStart"/>
      <w:r w:rsidRPr="00C86460">
        <w:rPr>
          <w:rFonts w:ascii="Times New Roman" w:hAnsi="Times New Roman" w:cs="Times New Roman"/>
          <w:sz w:val="24"/>
          <w:szCs w:val="24"/>
          <w:lang w:val="en-GB"/>
        </w:rPr>
        <w:t>any</w:t>
      </w:r>
      <w:proofErr w:type="gramEnd"/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 other State aid, in relation to the same eligible costs, partly or fully overlapping, only if such </w:t>
      </w:r>
      <w:proofErr w:type="spellStart"/>
      <w:r w:rsidRPr="00C86460">
        <w:rPr>
          <w:rFonts w:ascii="Times New Roman" w:hAnsi="Times New Roman" w:cs="Times New Roman"/>
          <w:sz w:val="24"/>
          <w:szCs w:val="24"/>
          <w:lang w:val="en-GB"/>
        </w:rPr>
        <w:t>cumulation</w:t>
      </w:r>
      <w:proofErr w:type="spellEnd"/>
      <w:r w:rsidRPr="00C86460">
        <w:rPr>
          <w:rFonts w:ascii="Times New Roman" w:hAnsi="Times New Roman" w:cs="Times New Roman"/>
          <w:sz w:val="24"/>
          <w:szCs w:val="24"/>
          <w:lang w:val="en-GB"/>
        </w:rPr>
        <w:t xml:space="preserve"> does not result in exceeding the highest aid intensity or aid amount as defined above.</w:t>
      </w:r>
    </w:p>
    <w:p w14:paraId="20D31750" w14:textId="77777777" w:rsidR="00867ACC" w:rsidRPr="00822877" w:rsidRDefault="00867ACC" w:rsidP="00AF0B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78DCA2" w14:textId="77777777" w:rsidR="00FA0EE9" w:rsidRDefault="00FA0EE9" w:rsidP="00FA0EE9">
      <w:pPr>
        <w:jc w:val="both"/>
        <w:rPr>
          <w:rFonts w:asciiTheme="majorHAnsi" w:hAnsiTheme="majorHAnsi" w:cs="Times New Roman"/>
          <w:b/>
          <w:sz w:val="24"/>
          <w:szCs w:val="24"/>
          <w:lang w:val="en-GB"/>
        </w:rPr>
      </w:pPr>
      <w:r>
        <w:rPr>
          <w:rFonts w:asciiTheme="majorHAnsi" w:hAnsiTheme="majorHAnsi" w:cs="Times New Roman"/>
          <w:b/>
          <w:sz w:val="24"/>
          <w:szCs w:val="24"/>
          <w:lang w:val="en-GB"/>
        </w:rPr>
        <w:t>4</w:t>
      </w:r>
      <w:r w:rsidRPr="00867ACC">
        <w:rPr>
          <w:rFonts w:asciiTheme="majorHAnsi" w:hAnsiTheme="majorHAnsi" w:cs="Times New Roman"/>
          <w:b/>
          <w:sz w:val="24"/>
          <w:szCs w:val="24"/>
          <w:lang w:val="en-GB"/>
        </w:rPr>
        <w:t xml:space="preserve">) </w:t>
      </w:r>
      <w:r>
        <w:rPr>
          <w:rFonts w:asciiTheme="majorHAnsi" w:hAnsiTheme="majorHAnsi" w:cs="Times New Roman"/>
          <w:b/>
          <w:sz w:val="24"/>
          <w:szCs w:val="24"/>
          <w:lang w:val="en-GB"/>
        </w:rPr>
        <w:t>VAT eligibility</w:t>
      </w:r>
    </w:p>
    <w:p w14:paraId="5CDC935F" w14:textId="6629B1B2" w:rsidR="00FA0EE9" w:rsidRPr="00FA0EE9" w:rsidRDefault="00FA0EE9" w:rsidP="00FA0EE9">
      <w:pPr>
        <w:jc w:val="both"/>
        <w:rPr>
          <w:rFonts w:asciiTheme="majorHAnsi" w:hAnsiTheme="majorHAnsi" w:cs="Times New Roman"/>
          <w:sz w:val="24"/>
          <w:szCs w:val="24"/>
          <w:lang w:val="en-GB"/>
        </w:rPr>
      </w:pPr>
      <w:r w:rsidRPr="00FA0EE9">
        <w:rPr>
          <w:rFonts w:asciiTheme="majorHAnsi" w:hAnsiTheme="majorHAnsi" w:cs="Times New Roman"/>
          <w:sz w:val="24"/>
          <w:szCs w:val="24"/>
          <w:lang w:val="en-GB"/>
        </w:rPr>
        <w:t xml:space="preserve"> Only non-reclaimable VAT is eligible</w:t>
      </w:r>
    </w:p>
    <w:p w14:paraId="3C1B06D6" w14:textId="77777777" w:rsidR="00822877" w:rsidRPr="00867ACC" w:rsidRDefault="00822877" w:rsidP="00AF0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21DAB" w14:textId="77777777" w:rsidR="00867ACC" w:rsidRDefault="00867ACC" w:rsidP="00AF0B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6A91F81" w14:textId="77777777" w:rsidR="00867ACC" w:rsidRDefault="00867ACC" w:rsidP="00AF0B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2A97C5" w14:textId="77777777" w:rsidR="00867ACC" w:rsidRPr="00C86460" w:rsidRDefault="00867ACC" w:rsidP="00AF0B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867ACC" w:rsidRPr="00C86460" w:rsidSect="0006403E">
      <w:footerReference w:type="default" r:id="rId11"/>
      <w:pgSz w:w="12240" w:h="15840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04258" w14:textId="77777777" w:rsidR="006830D4" w:rsidRDefault="006830D4" w:rsidP="00FA7251">
      <w:pPr>
        <w:spacing w:after="0" w:line="240" w:lineRule="auto"/>
      </w:pPr>
      <w:r>
        <w:separator/>
      </w:r>
    </w:p>
  </w:endnote>
  <w:endnote w:type="continuationSeparator" w:id="0">
    <w:p w14:paraId="7DB97093" w14:textId="77777777" w:rsidR="006830D4" w:rsidRDefault="006830D4" w:rsidP="00FA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669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F6EB8" w14:textId="11A39CEA" w:rsidR="00B06501" w:rsidRDefault="00B065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4711F" w14:textId="77777777" w:rsidR="00B06501" w:rsidRDefault="00B0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259D1" w14:textId="77777777" w:rsidR="006830D4" w:rsidRDefault="006830D4" w:rsidP="00FA7251">
      <w:pPr>
        <w:spacing w:after="0" w:line="240" w:lineRule="auto"/>
      </w:pPr>
      <w:r>
        <w:separator/>
      </w:r>
    </w:p>
  </w:footnote>
  <w:footnote w:type="continuationSeparator" w:id="0">
    <w:p w14:paraId="30994633" w14:textId="77777777" w:rsidR="006830D4" w:rsidRDefault="006830D4" w:rsidP="00FA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40A"/>
    <w:multiLevelType w:val="hybridMultilevel"/>
    <w:tmpl w:val="48BA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3E1"/>
    <w:multiLevelType w:val="hybridMultilevel"/>
    <w:tmpl w:val="E3AA6F0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BEA"/>
    <w:multiLevelType w:val="hybridMultilevel"/>
    <w:tmpl w:val="6082B2C2"/>
    <w:lvl w:ilvl="0" w:tplc="32E85E7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EUAlbertina-Regu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2536"/>
    <w:multiLevelType w:val="hybridMultilevel"/>
    <w:tmpl w:val="ED928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0DC8"/>
    <w:multiLevelType w:val="multilevel"/>
    <w:tmpl w:val="B5DC2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71B89"/>
    <w:multiLevelType w:val="multilevel"/>
    <w:tmpl w:val="022ED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4628B4"/>
    <w:multiLevelType w:val="hybridMultilevel"/>
    <w:tmpl w:val="32123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021C2"/>
    <w:multiLevelType w:val="hybridMultilevel"/>
    <w:tmpl w:val="287A2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6474"/>
    <w:multiLevelType w:val="hybridMultilevel"/>
    <w:tmpl w:val="F41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F3C8A"/>
    <w:multiLevelType w:val="hybridMultilevel"/>
    <w:tmpl w:val="A5449E6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87F36"/>
    <w:multiLevelType w:val="hybridMultilevel"/>
    <w:tmpl w:val="8976EB2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7436"/>
    <w:multiLevelType w:val="hybridMultilevel"/>
    <w:tmpl w:val="4D6C9C06"/>
    <w:lvl w:ilvl="0" w:tplc="B96AC91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6D120B"/>
    <w:multiLevelType w:val="multilevel"/>
    <w:tmpl w:val="CA3E4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D7E514F"/>
    <w:multiLevelType w:val="hybridMultilevel"/>
    <w:tmpl w:val="D730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E0D39"/>
    <w:multiLevelType w:val="hybridMultilevel"/>
    <w:tmpl w:val="E42A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D2D4B"/>
    <w:multiLevelType w:val="hybridMultilevel"/>
    <w:tmpl w:val="CD4454C0"/>
    <w:lvl w:ilvl="0" w:tplc="13564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14D8A"/>
    <w:multiLevelType w:val="hybridMultilevel"/>
    <w:tmpl w:val="C906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86AA8"/>
    <w:multiLevelType w:val="hybridMultilevel"/>
    <w:tmpl w:val="CD4454C0"/>
    <w:lvl w:ilvl="0" w:tplc="13564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441C6"/>
    <w:multiLevelType w:val="hybridMultilevel"/>
    <w:tmpl w:val="31366A24"/>
    <w:lvl w:ilvl="0" w:tplc="5A363E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4F81BD" w:themeColor="accent1"/>
        <w:u w:color="4F81BD" w:themeColor="accent1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9A9271A"/>
    <w:multiLevelType w:val="hybridMultilevel"/>
    <w:tmpl w:val="C88AF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27401"/>
    <w:multiLevelType w:val="hybridMultilevel"/>
    <w:tmpl w:val="2598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 w:numId="18">
    <w:abstractNumId w:val="19"/>
  </w:num>
  <w:num w:numId="19">
    <w:abstractNumId w:val="1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F"/>
    <w:rsid w:val="00063175"/>
    <w:rsid w:val="0006403E"/>
    <w:rsid w:val="000B1959"/>
    <w:rsid w:val="000D43E6"/>
    <w:rsid w:val="000E0DC7"/>
    <w:rsid w:val="000E14A6"/>
    <w:rsid w:val="00101E6D"/>
    <w:rsid w:val="001176D8"/>
    <w:rsid w:val="00122290"/>
    <w:rsid w:val="0013563F"/>
    <w:rsid w:val="00135DCB"/>
    <w:rsid w:val="001428BB"/>
    <w:rsid w:val="00142A13"/>
    <w:rsid w:val="001472D0"/>
    <w:rsid w:val="00170DEB"/>
    <w:rsid w:val="001A7EFD"/>
    <w:rsid w:val="001B39A9"/>
    <w:rsid w:val="001C117B"/>
    <w:rsid w:val="001E7922"/>
    <w:rsid w:val="001F2292"/>
    <w:rsid w:val="00226540"/>
    <w:rsid w:val="002546AA"/>
    <w:rsid w:val="002745D3"/>
    <w:rsid w:val="0028745E"/>
    <w:rsid w:val="00296A5E"/>
    <w:rsid w:val="00297230"/>
    <w:rsid w:val="002A3795"/>
    <w:rsid w:val="002D43EF"/>
    <w:rsid w:val="002E300D"/>
    <w:rsid w:val="002E4D69"/>
    <w:rsid w:val="002E6D51"/>
    <w:rsid w:val="00322A53"/>
    <w:rsid w:val="00333B92"/>
    <w:rsid w:val="00337A5E"/>
    <w:rsid w:val="00374C00"/>
    <w:rsid w:val="00377B95"/>
    <w:rsid w:val="0039616E"/>
    <w:rsid w:val="003A0793"/>
    <w:rsid w:val="003C47D3"/>
    <w:rsid w:val="0040663F"/>
    <w:rsid w:val="004203ED"/>
    <w:rsid w:val="0042239B"/>
    <w:rsid w:val="004247A4"/>
    <w:rsid w:val="00451F30"/>
    <w:rsid w:val="0046449D"/>
    <w:rsid w:val="0047598C"/>
    <w:rsid w:val="004B1BCD"/>
    <w:rsid w:val="004B3B58"/>
    <w:rsid w:val="004D4A55"/>
    <w:rsid w:val="00506BAE"/>
    <w:rsid w:val="0052629D"/>
    <w:rsid w:val="00531578"/>
    <w:rsid w:val="00583FAA"/>
    <w:rsid w:val="00597BC2"/>
    <w:rsid w:val="005B3A90"/>
    <w:rsid w:val="0060124C"/>
    <w:rsid w:val="0060414E"/>
    <w:rsid w:val="00617DE7"/>
    <w:rsid w:val="00646A4B"/>
    <w:rsid w:val="00647ABB"/>
    <w:rsid w:val="006830D4"/>
    <w:rsid w:val="006861BC"/>
    <w:rsid w:val="006A025E"/>
    <w:rsid w:val="006F0082"/>
    <w:rsid w:val="006F73C8"/>
    <w:rsid w:val="006F7B39"/>
    <w:rsid w:val="00705C05"/>
    <w:rsid w:val="007163B9"/>
    <w:rsid w:val="0076545D"/>
    <w:rsid w:val="0077050C"/>
    <w:rsid w:val="00796EE6"/>
    <w:rsid w:val="007C6138"/>
    <w:rsid w:val="007F4BEF"/>
    <w:rsid w:val="007F4EEC"/>
    <w:rsid w:val="0081239A"/>
    <w:rsid w:val="008179E0"/>
    <w:rsid w:val="00822877"/>
    <w:rsid w:val="00840923"/>
    <w:rsid w:val="008441E3"/>
    <w:rsid w:val="008576D6"/>
    <w:rsid w:val="00867ACC"/>
    <w:rsid w:val="00885A40"/>
    <w:rsid w:val="008B70FD"/>
    <w:rsid w:val="008E2975"/>
    <w:rsid w:val="008F2E96"/>
    <w:rsid w:val="008F6F68"/>
    <w:rsid w:val="0090201F"/>
    <w:rsid w:val="00945652"/>
    <w:rsid w:val="00961194"/>
    <w:rsid w:val="009620C2"/>
    <w:rsid w:val="0099149F"/>
    <w:rsid w:val="00996E96"/>
    <w:rsid w:val="009A3C5F"/>
    <w:rsid w:val="009A3D09"/>
    <w:rsid w:val="009A3E8A"/>
    <w:rsid w:val="009A6DDC"/>
    <w:rsid w:val="009B1BAA"/>
    <w:rsid w:val="009E0E0C"/>
    <w:rsid w:val="009F5CF6"/>
    <w:rsid w:val="00A03234"/>
    <w:rsid w:val="00A1222B"/>
    <w:rsid w:val="00A25118"/>
    <w:rsid w:val="00A2540F"/>
    <w:rsid w:val="00A32124"/>
    <w:rsid w:val="00A408C9"/>
    <w:rsid w:val="00A51398"/>
    <w:rsid w:val="00A607BF"/>
    <w:rsid w:val="00A64776"/>
    <w:rsid w:val="00A8732A"/>
    <w:rsid w:val="00A91112"/>
    <w:rsid w:val="00A94217"/>
    <w:rsid w:val="00A95DB2"/>
    <w:rsid w:val="00AA1D79"/>
    <w:rsid w:val="00AA31EC"/>
    <w:rsid w:val="00AA5390"/>
    <w:rsid w:val="00AA6BC3"/>
    <w:rsid w:val="00AD5E94"/>
    <w:rsid w:val="00AF0BE5"/>
    <w:rsid w:val="00B06501"/>
    <w:rsid w:val="00B2019B"/>
    <w:rsid w:val="00B20D2C"/>
    <w:rsid w:val="00B46EAD"/>
    <w:rsid w:val="00BA6D06"/>
    <w:rsid w:val="00C035BC"/>
    <w:rsid w:val="00C078DB"/>
    <w:rsid w:val="00C3779E"/>
    <w:rsid w:val="00C550E7"/>
    <w:rsid w:val="00C77815"/>
    <w:rsid w:val="00C86460"/>
    <w:rsid w:val="00C91203"/>
    <w:rsid w:val="00CC450B"/>
    <w:rsid w:val="00CD7EFE"/>
    <w:rsid w:val="00CE78DF"/>
    <w:rsid w:val="00D164FC"/>
    <w:rsid w:val="00D32D18"/>
    <w:rsid w:val="00D44FB2"/>
    <w:rsid w:val="00D709F1"/>
    <w:rsid w:val="00DB788D"/>
    <w:rsid w:val="00DC4ACF"/>
    <w:rsid w:val="00E00F14"/>
    <w:rsid w:val="00E9165A"/>
    <w:rsid w:val="00EA0709"/>
    <w:rsid w:val="00EA075A"/>
    <w:rsid w:val="00EA0864"/>
    <w:rsid w:val="00EA5742"/>
    <w:rsid w:val="00EB1C90"/>
    <w:rsid w:val="00EE051F"/>
    <w:rsid w:val="00EF03DD"/>
    <w:rsid w:val="00EF6BA5"/>
    <w:rsid w:val="00EF6FC5"/>
    <w:rsid w:val="00F23629"/>
    <w:rsid w:val="00F268B9"/>
    <w:rsid w:val="00F302C8"/>
    <w:rsid w:val="00F351D7"/>
    <w:rsid w:val="00F45418"/>
    <w:rsid w:val="00F46BA9"/>
    <w:rsid w:val="00F553BE"/>
    <w:rsid w:val="00F83858"/>
    <w:rsid w:val="00FA0EE9"/>
    <w:rsid w:val="00FA7251"/>
    <w:rsid w:val="00FE0043"/>
    <w:rsid w:val="00FF3214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0F"/>
    <w:pPr>
      <w:spacing w:after="120"/>
    </w:pPr>
    <w:rPr>
      <w:rFonts w:ascii="Gill Sans MT" w:hAnsi="Gill Sans MT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3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à puces retrait droite"/>
    <w:basedOn w:val="Normal"/>
    <w:link w:val="ListParagraphChar"/>
    <w:uiPriority w:val="1"/>
    <w:qFormat/>
    <w:rsid w:val="0006403E"/>
    <w:pPr>
      <w:spacing w:after="200"/>
      <w:ind w:left="720"/>
      <w:contextualSpacing/>
    </w:pPr>
    <w:rPr>
      <w:rFonts w:ascii="Calibri" w:hAnsi="Calibri" w:cs="Times New Roman"/>
      <w:lang w:val="el-GR"/>
    </w:rPr>
  </w:style>
  <w:style w:type="character" w:customStyle="1" w:styleId="ListParagraphChar">
    <w:name w:val="List Paragraph Char"/>
    <w:aliases w:val="Liste à puces retrait droite Char"/>
    <w:link w:val="ListParagraph"/>
    <w:uiPriority w:val="1"/>
    <w:locked/>
    <w:rsid w:val="0006403E"/>
    <w:rPr>
      <w:rFonts w:ascii="Calibri" w:hAnsi="Calibri" w:cs="Times New Roman"/>
      <w:lang w:val="el-GR"/>
    </w:rPr>
  </w:style>
  <w:style w:type="paragraph" w:customStyle="1" w:styleId="TextValue">
    <w:name w:val="TextValue"/>
    <w:basedOn w:val="Normal"/>
    <w:link w:val="TextValueChar"/>
    <w:qFormat/>
    <w:rsid w:val="00FA72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ValueChar">
    <w:name w:val="TextValue Char"/>
    <w:basedOn w:val="DefaultParagraphFont"/>
    <w:link w:val="TextValue"/>
    <w:rsid w:val="00FA725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ellTextValue">
    <w:name w:val="CellTextValue"/>
    <w:basedOn w:val="TextValue"/>
    <w:link w:val="CellTextValueChar"/>
    <w:qFormat/>
    <w:rsid w:val="00FA7251"/>
  </w:style>
  <w:style w:type="character" w:customStyle="1" w:styleId="CellTextValueChar">
    <w:name w:val="CellTextValue Char"/>
    <w:basedOn w:val="TextValueChar"/>
    <w:link w:val="CellTextValue"/>
    <w:rsid w:val="00FA725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HeadingTwo">
    <w:name w:val="HeadingTwo"/>
    <w:basedOn w:val="Heading2"/>
    <w:next w:val="TextValue"/>
    <w:qFormat/>
    <w:rsid w:val="00FA7251"/>
    <w:p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GB" w:eastAsia="en-GB"/>
    </w:rPr>
  </w:style>
  <w:style w:type="paragraph" w:customStyle="1" w:styleId="CellHeaderTextValue">
    <w:name w:val="CellHeaderTextValue"/>
    <w:basedOn w:val="CellTextValue"/>
    <w:qFormat/>
    <w:rsid w:val="00FA7251"/>
    <w:pPr>
      <w:jc w:val="center"/>
    </w:pPr>
  </w:style>
  <w:style w:type="paragraph" w:customStyle="1" w:styleId="NumberParagraphAlpha">
    <w:name w:val="NumberParagraphAlpha"/>
    <w:basedOn w:val="ListParagraph"/>
    <w:link w:val="NumberParagraphAlphaChar"/>
    <w:qFormat/>
    <w:rsid w:val="00FA7251"/>
    <w:pPr>
      <w:spacing w:after="0" w:line="240" w:lineRule="auto"/>
      <w:ind w:left="0"/>
      <w:contextualSpacing w:val="0"/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umberParagraphAlphaChar">
    <w:name w:val="NumberParagraphAlpha Char"/>
    <w:basedOn w:val="DefaultParagraphFont"/>
    <w:link w:val="NumberParagraphAlpha"/>
    <w:rsid w:val="00FA72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FA7251"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nhideWhenUsed/>
    <w:rsid w:val="00FA72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FA725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51"/>
    <w:rPr>
      <w:rFonts w:ascii="Tahoma" w:hAnsi="Tahoma" w:cs="Tahoma"/>
      <w:sz w:val="16"/>
      <w:szCs w:val="16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6F7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B39"/>
    <w:rPr>
      <w:rFonts w:ascii="Gill Sans MT" w:hAnsi="Gill Sans MT"/>
      <w:sz w:val="20"/>
      <w:szCs w:val="20"/>
      <w:lang w:val="de-DE"/>
    </w:rPr>
  </w:style>
  <w:style w:type="paragraph" w:styleId="NormalWeb">
    <w:name w:val="Normal (Web)"/>
    <w:basedOn w:val="Normal"/>
    <w:uiPriority w:val="99"/>
    <w:unhideWhenUsed/>
    <w:rsid w:val="00EA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A0709"/>
    <w:rPr>
      <w:color w:val="0000FF"/>
      <w:u w:val="single"/>
    </w:rPr>
  </w:style>
  <w:style w:type="paragraph" w:customStyle="1" w:styleId="Default">
    <w:name w:val="Default"/>
    <w:rsid w:val="00AA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B8"/>
    <w:pPr>
      <w:spacing w:after="120"/>
      <w:jc w:val="left"/>
    </w:pPr>
    <w:rPr>
      <w:rFonts w:ascii="Gill Sans MT" w:eastAsiaTheme="minorHAnsi" w:hAnsi="Gill Sans MT" w:cstheme="minorBid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B8"/>
    <w:rPr>
      <w:rFonts w:ascii="Gill Sans MT" w:eastAsia="Times New Roman" w:hAnsi="Gill Sans MT" w:cs="Times New Roman"/>
      <w:b/>
      <w:bCs/>
      <w:sz w:val="20"/>
      <w:szCs w:val="20"/>
      <w:lang w:val="de-DE" w:eastAsia="en-GB"/>
    </w:rPr>
  </w:style>
  <w:style w:type="character" w:customStyle="1" w:styleId="apple-converted-space">
    <w:name w:val="apple-converted-space"/>
    <w:basedOn w:val="DefaultParagraphFont"/>
    <w:rsid w:val="00F45418"/>
  </w:style>
  <w:style w:type="character" w:styleId="FollowedHyperlink">
    <w:name w:val="FollowedHyperlink"/>
    <w:basedOn w:val="DefaultParagraphFont"/>
    <w:uiPriority w:val="99"/>
    <w:semiHidden/>
    <w:unhideWhenUsed/>
    <w:rsid w:val="00F45418"/>
    <w:rPr>
      <w:color w:val="800080" w:themeColor="followedHyperlink"/>
      <w:u w:val="single"/>
    </w:rPr>
  </w:style>
  <w:style w:type="character" w:styleId="FootnoteReference">
    <w:name w:val="footnote reference"/>
    <w:aliases w:val="Footnote symbol,Footnote,Footnote Reference Superscript,RSC_WP (footnote reference),number,Footnote reference number,note TESI,-E Fußnotenzeichen,SUPERS,Times 10 Point,Exposant 3 Point,Fußnotenzeichen,Footnote number,fr,o,BVI fnr"/>
    <w:basedOn w:val="DefaultParagraphFont"/>
    <w:link w:val="FootnotesymbolCarZchn"/>
    <w:uiPriority w:val="99"/>
    <w:unhideWhenUsed/>
    <w:qFormat/>
    <w:rsid w:val="00AA6BC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AA1D79"/>
    <w:pPr>
      <w:spacing w:after="0" w:line="240" w:lineRule="exact"/>
      <w:jc w:val="both"/>
    </w:pPr>
    <w:rPr>
      <w:rFonts w:asciiTheme="minorHAnsi" w:hAnsiTheme="minorHAnsi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65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01"/>
    <w:rPr>
      <w:rFonts w:ascii="Gill Sans MT" w:hAnsi="Gill Sans MT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065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01"/>
    <w:rPr>
      <w:rFonts w:ascii="Gill Sans MT" w:hAnsi="Gill Sans MT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0F"/>
    <w:pPr>
      <w:spacing w:after="120"/>
    </w:pPr>
    <w:rPr>
      <w:rFonts w:ascii="Gill Sans MT" w:hAnsi="Gill Sans MT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3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à puces retrait droite"/>
    <w:basedOn w:val="Normal"/>
    <w:link w:val="ListParagraphChar"/>
    <w:uiPriority w:val="1"/>
    <w:qFormat/>
    <w:rsid w:val="0006403E"/>
    <w:pPr>
      <w:spacing w:after="200"/>
      <w:ind w:left="720"/>
      <w:contextualSpacing/>
    </w:pPr>
    <w:rPr>
      <w:rFonts w:ascii="Calibri" w:hAnsi="Calibri" w:cs="Times New Roman"/>
      <w:lang w:val="el-GR"/>
    </w:rPr>
  </w:style>
  <w:style w:type="character" w:customStyle="1" w:styleId="ListParagraphChar">
    <w:name w:val="List Paragraph Char"/>
    <w:aliases w:val="Liste à puces retrait droite Char"/>
    <w:link w:val="ListParagraph"/>
    <w:uiPriority w:val="1"/>
    <w:locked/>
    <w:rsid w:val="0006403E"/>
    <w:rPr>
      <w:rFonts w:ascii="Calibri" w:hAnsi="Calibri" w:cs="Times New Roman"/>
      <w:lang w:val="el-GR"/>
    </w:rPr>
  </w:style>
  <w:style w:type="paragraph" w:customStyle="1" w:styleId="TextValue">
    <w:name w:val="TextValue"/>
    <w:basedOn w:val="Normal"/>
    <w:link w:val="TextValueChar"/>
    <w:qFormat/>
    <w:rsid w:val="00FA72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ValueChar">
    <w:name w:val="TextValue Char"/>
    <w:basedOn w:val="DefaultParagraphFont"/>
    <w:link w:val="TextValue"/>
    <w:rsid w:val="00FA725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ellTextValue">
    <w:name w:val="CellTextValue"/>
    <w:basedOn w:val="TextValue"/>
    <w:link w:val="CellTextValueChar"/>
    <w:qFormat/>
    <w:rsid w:val="00FA7251"/>
  </w:style>
  <w:style w:type="character" w:customStyle="1" w:styleId="CellTextValueChar">
    <w:name w:val="CellTextValue Char"/>
    <w:basedOn w:val="TextValueChar"/>
    <w:link w:val="CellTextValue"/>
    <w:rsid w:val="00FA725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HeadingTwo">
    <w:name w:val="HeadingTwo"/>
    <w:basedOn w:val="Heading2"/>
    <w:next w:val="TextValue"/>
    <w:qFormat/>
    <w:rsid w:val="00FA7251"/>
    <w:p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GB" w:eastAsia="en-GB"/>
    </w:rPr>
  </w:style>
  <w:style w:type="paragraph" w:customStyle="1" w:styleId="CellHeaderTextValue">
    <w:name w:val="CellHeaderTextValue"/>
    <w:basedOn w:val="CellTextValue"/>
    <w:qFormat/>
    <w:rsid w:val="00FA7251"/>
    <w:pPr>
      <w:jc w:val="center"/>
    </w:pPr>
  </w:style>
  <w:style w:type="paragraph" w:customStyle="1" w:styleId="NumberParagraphAlpha">
    <w:name w:val="NumberParagraphAlpha"/>
    <w:basedOn w:val="ListParagraph"/>
    <w:link w:val="NumberParagraphAlphaChar"/>
    <w:qFormat/>
    <w:rsid w:val="00FA7251"/>
    <w:pPr>
      <w:spacing w:after="0" w:line="240" w:lineRule="auto"/>
      <w:ind w:left="0"/>
      <w:contextualSpacing w:val="0"/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umberParagraphAlphaChar">
    <w:name w:val="NumberParagraphAlpha Char"/>
    <w:basedOn w:val="DefaultParagraphFont"/>
    <w:link w:val="NumberParagraphAlpha"/>
    <w:rsid w:val="00FA72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FA7251"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nhideWhenUsed/>
    <w:rsid w:val="00FA72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FA725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51"/>
    <w:rPr>
      <w:rFonts w:ascii="Tahoma" w:hAnsi="Tahoma" w:cs="Tahoma"/>
      <w:sz w:val="16"/>
      <w:szCs w:val="16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6F7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B39"/>
    <w:rPr>
      <w:rFonts w:ascii="Gill Sans MT" w:hAnsi="Gill Sans MT"/>
      <w:sz w:val="20"/>
      <w:szCs w:val="20"/>
      <w:lang w:val="de-DE"/>
    </w:rPr>
  </w:style>
  <w:style w:type="paragraph" w:styleId="NormalWeb">
    <w:name w:val="Normal (Web)"/>
    <w:basedOn w:val="Normal"/>
    <w:uiPriority w:val="99"/>
    <w:unhideWhenUsed/>
    <w:rsid w:val="00EA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A0709"/>
    <w:rPr>
      <w:color w:val="0000FF"/>
      <w:u w:val="single"/>
    </w:rPr>
  </w:style>
  <w:style w:type="paragraph" w:customStyle="1" w:styleId="Default">
    <w:name w:val="Default"/>
    <w:rsid w:val="00AA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B8"/>
    <w:pPr>
      <w:spacing w:after="120"/>
      <w:jc w:val="left"/>
    </w:pPr>
    <w:rPr>
      <w:rFonts w:ascii="Gill Sans MT" w:eastAsiaTheme="minorHAnsi" w:hAnsi="Gill Sans MT" w:cstheme="minorBid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B8"/>
    <w:rPr>
      <w:rFonts w:ascii="Gill Sans MT" w:eastAsia="Times New Roman" w:hAnsi="Gill Sans MT" w:cs="Times New Roman"/>
      <w:b/>
      <w:bCs/>
      <w:sz w:val="20"/>
      <w:szCs w:val="20"/>
      <w:lang w:val="de-DE" w:eastAsia="en-GB"/>
    </w:rPr>
  </w:style>
  <w:style w:type="character" w:customStyle="1" w:styleId="apple-converted-space">
    <w:name w:val="apple-converted-space"/>
    <w:basedOn w:val="DefaultParagraphFont"/>
    <w:rsid w:val="00F45418"/>
  </w:style>
  <w:style w:type="character" w:styleId="FollowedHyperlink">
    <w:name w:val="FollowedHyperlink"/>
    <w:basedOn w:val="DefaultParagraphFont"/>
    <w:uiPriority w:val="99"/>
    <w:semiHidden/>
    <w:unhideWhenUsed/>
    <w:rsid w:val="00F45418"/>
    <w:rPr>
      <w:color w:val="800080" w:themeColor="followedHyperlink"/>
      <w:u w:val="single"/>
    </w:rPr>
  </w:style>
  <w:style w:type="character" w:styleId="FootnoteReference">
    <w:name w:val="footnote reference"/>
    <w:aliases w:val="Footnote symbol,Footnote,Footnote Reference Superscript,RSC_WP (footnote reference),number,Footnote reference number,note TESI,-E Fußnotenzeichen,SUPERS,Times 10 Point,Exposant 3 Point,Fußnotenzeichen,Footnote number,fr,o,BVI fnr"/>
    <w:basedOn w:val="DefaultParagraphFont"/>
    <w:link w:val="FootnotesymbolCarZchn"/>
    <w:uiPriority w:val="99"/>
    <w:unhideWhenUsed/>
    <w:qFormat/>
    <w:rsid w:val="00AA6BC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AA1D79"/>
    <w:pPr>
      <w:spacing w:after="0" w:line="240" w:lineRule="exact"/>
      <w:jc w:val="both"/>
    </w:pPr>
    <w:rPr>
      <w:rFonts w:asciiTheme="minorHAnsi" w:hAnsiTheme="minorHAnsi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65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01"/>
    <w:rPr>
      <w:rFonts w:ascii="Gill Sans MT" w:hAnsi="Gill Sans MT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065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01"/>
    <w:rPr>
      <w:rFonts w:ascii="Gill Sans MT" w:hAnsi="Gill Sans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reece20.gov.gr/to-plires-sxedi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sri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6558-477B-4389-BF1A-96319C5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Gkizeli</dc:creator>
  <cp:lastModifiedBy>Maria Christoula</cp:lastModifiedBy>
  <cp:revision>2</cp:revision>
  <cp:lastPrinted>2021-11-30T12:19:00Z</cp:lastPrinted>
  <dcterms:created xsi:type="dcterms:W3CDTF">2022-02-04T08:49:00Z</dcterms:created>
  <dcterms:modified xsi:type="dcterms:W3CDTF">2022-02-04T08:49:00Z</dcterms:modified>
</cp:coreProperties>
</file>