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082" w:rsidRPr="00B91D6D" w:rsidRDefault="00947082">
      <w:bookmarkStart w:id="0" w:name="_GoBack"/>
      <w:bookmarkEnd w:id="0"/>
    </w:p>
    <w:p w:rsidR="00DC5730" w:rsidRPr="00B91D6D" w:rsidRDefault="00DC5730" w:rsidP="00DC5730">
      <w:pPr>
        <w:spacing w:before="100" w:beforeAutospacing="1" w:after="100" w:afterAutospacing="1" w:line="240" w:lineRule="auto"/>
        <w:outlineLvl w:val="3"/>
        <w:rPr>
          <w:rFonts w:eastAsia="Times New Roman" w:cs="Times"/>
          <w:b/>
          <w:bCs/>
          <w:lang w:eastAsia="el-GR"/>
        </w:rPr>
      </w:pPr>
      <w:r w:rsidRPr="00B91D6D">
        <w:rPr>
          <w:rFonts w:eastAsia="Times New Roman" w:cs="Times"/>
          <w:b/>
          <w:bCs/>
          <w:lang w:eastAsia="el-GR"/>
        </w:rPr>
        <w:t>ΝΟΜΟΣ ΥΠ’ ΑΡΙΘ. 4172 Φορολογία εισοδήματος, επείγοντα μέτρα εφαρμογής του ν. 4046/2012, του ν. 4093/2012 και του ν. 4127/2013 και άλλες διατάξεις</w:t>
      </w:r>
    </w:p>
    <w:p w:rsidR="00DC5730" w:rsidRPr="00B91D6D" w:rsidRDefault="00DC5730" w:rsidP="00B724ED">
      <w:pPr>
        <w:spacing w:before="100" w:beforeAutospacing="1" w:after="100" w:afterAutospacing="1" w:line="240" w:lineRule="auto"/>
        <w:rPr>
          <w:rFonts w:eastAsia="Times New Roman" w:cs="Times"/>
          <w:lang w:eastAsia="el-GR"/>
        </w:rPr>
      </w:pPr>
      <w:r w:rsidRPr="00B91D6D">
        <w:rPr>
          <w:rFonts w:eastAsia="Times New Roman" w:cs="Times"/>
          <w:lang w:eastAsia="el-GR"/>
        </w:rPr>
        <w:t>(ΦΕΚ Α' 167/23-07-2013)</w:t>
      </w:r>
      <w:r w:rsidRPr="00B91D6D">
        <w:rPr>
          <w:rFonts w:eastAsia="Times New Roman" w:cs="Times"/>
          <w:lang w:eastAsia="el-GR"/>
        </w:rPr>
        <w:br/>
      </w:r>
      <w:r w:rsidRPr="00B91D6D">
        <w:rPr>
          <w:rFonts w:eastAsia="Times New Roman" w:cs="Times"/>
          <w:lang w:eastAsia="el-GR"/>
        </w:rPr>
        <w:br/>
        <w:t>Ο ΠΡΟΕΔΡΟΣ ΤΗΣ ΕΛΛΗΝΙΚΗΣ ΔΗΜΟΚΡΑΤΙΑΣ</w:t>
      </w:r>
      <w:r w:rsidRPr="00B91D6D">
        <w:rPr>
          <w:rFonts w:eastAsia="Times New Roman" w:cs="Times"/>
          <w:lang w:eastAsia="el-GR"/>
        </w:rPr>
        <w:br/>
      </w:r>
      <w:r w:rsidRPr="00B91D6D">
        <w:rPr>
          <w:rFonts w:eastAsia="Times New Roman" w:cs="Times"/>
          <w:lang w:eastAsia="el-GR"/>
        </w:rPr>
        <w:br/>
        <w:t>Εκδίδομε τον ακόλουθο νόμο που ψήφισε η Βουλή:</w:t>
      </w:r>
      <w:r w:rsidRPr="00B91D6D">
        <w:rPr>
          <w:rFonts w:ascii="Times" w:eastAsia="Times New Roman" w:hAnsi="Times" w:cs="Times"/>
          <w:lang w:eastAsia="el-GR"/>
        </w:rPr>
        <w:t>﻿</w:t>
      </w:r>
      <w:r w:rsidR="00D10D57">
        <w:rPr>
          <w:rFonts w:eastAsia="Times New Roman" w:cs="Times"/>
          <w:lang w:eastAsia="el-GR"/>
        </w:rPr>
        <w:pict>
          <v:rect id="_x0000_i1025" style="width:0;height:1.5pt" o:hralign="center" o:hrstd="t" o:hr="t" fillcolor="gray" stroked="f"/>
        </w:pict>
      </w:r>
    </w:p>
    <w:p w:rsidR="00DC5730" w:rsidRPr="00B91D6D" w:rsidRDefault="001946ED" w:rsidP="00DC5730">
      <w:pPr>
        <w:spacing w:before="100" w:beforeAutospacing="1" w:after="100" w:afterAutospacing="1" w:line="240" w:lineRule="auto"/>
        <w:outlineLvl w:val="3"/>
        <w:rPr>
          <w:rFonts w:eastAsia="Times New Roman" w:cs="Times"/>
          <w:b/>
          <w:bCs/>
          <w:lang w:eastAsia="el-GR"/>
        </w:rPr>
      </w:pPr>
      <w:r>
        <w:rPr>
          <w:rFonts w:eastAsia="Times New Roman" w:cs="Times"/>
          <w:b/>
          <w:bCs/>
          <w:lang w:eastAsia="el-GR"/>
        </w:rPr>
        <w:t>Ά</w:t>
      </w:r>
      <w:r w:rsidR="00DC5730" w:rsidRPr="00B91D6D">
        <w:rPr>
          <w:rFonts w:eastAsia="Times New Roman" w:cs="Times"/>
          <w:b/>
          <w:bCs/>
          <w:lang w:eastAsia="el-GR"/>
        </w:rPr>
        <w:t>ρθρο 22Α. Δαπάνες Επιστημονικής και Τεχνολογικής Έρευνας</w:t>
      </w:r>
    </w:p>
    <w:p w:rsidR="001946ED" w:rsidRPr="001946ED" w:rsidRDefault="00DC5730" w:rsidP="001946ED">
      <w:pPr>
        <w:spacing w:after="240" w:line="240" w:lineRule="auto"/>
        <w:rPr>
          <w:rFonts w:eastAsia="Times New Roman" w:cs="Times"/>
          <w:lang w:eastAsia="el-GR"/>
        </w:rPr>
      </w:pPr>
      <w:r w:rsidRPr="00B91D6D">
        <w:rPr>
          <w:rFonts w:ascii="Tahoma" w:eastAsia="Times New Roman" w:hAnsi="Tahoma" w:cs="Tahoma"/>
          <w:lang w:eastAsia="el-GR"/>
        </w:rPr>
        <w:t>﻿</w:t>
      </w:r>
      <w:r w:rsidR="001946ED" w:rsidRPr="001946ED">
        <w:rPr>
          <w:rFonts w:eastAsia="Times New Roman" w:cs="Times"/>
          <w:lang w:eastAsia="el-GR"/>
        </w:rPr>
        <w:t xml:space="preserve">1. Οι δαπάνες επιστημονικής και τεχνολογικής έρευνας, στις οποίες περιλαμβάνονται και οι αποσβέσεις του εξοπλισμού και των οργάνων, που χρησιμοποιούνται για τις ανάγκες εκτέλεσης της επιστημονικής και της τεχνολογικής έρευνας, εκπίπτουν από τα ακαθάριστα έσοδα των επιχειρήσεων κατά το χρόνο της πραγματοποίησης τους προσαυξημένες κατά ποσοστό τριάντα τοις εκατό (30%). Τα κριτήρια χαρακτηρισμού των πιο πάνω δαπανών καθορίζονται με κοινή υπουργική απόφαση των Υπουργών Οικονομικών και Παιδείας, Έρευνας και Θρησκευμάτων. Αν προκύψουν ζημίες μετά την αφαίρεση του ως άνω ποσοστού μεταφέρονται με βάση το άρθρο 27 του παρόντος. </w:t>
      </w:r>
    </w:p>
    <w:p w:rsidR="001946ED" w:rsidRDefault="001946ED" w:rsidP="001946ED">
      <w:pPr>
        <w:spacing w:after="240" w:line="240" w:lineRule="auto"/>
        <w:rPr>
          <w:rFonts w:eastAsia="Times New Roman" w:cs="Times"/>
          <w:lang w:eastAsia="el-GR"/>
        </w:rPr>
      </w:pPr>
      <w:r w:rsidRPr="001946ED">
        <w:rPr>
          <w:rFonts w:eastAsia="Times New Roman" w:cs="Times"/>
          <w:lang w:eastAsia="el-GR"/>
        </w:rPr>
        <w:t>﻿2. Συγχρόνως με την υποβολή της φορολογικής της δήλωσης, η επιχείρηση υποβάλλει στη Γενική Γραμματεία Έρευνας και Τεχνολογίας του Υπουργείου Παιδείας και Θρησκευμάτων τα απαραίτητα δικαιολογητικά για τις δαπάνες έρευνας και τεχνολογίας που πραγματοποίησε. Ο έλεγχος και η πιστοποίηση των δαπανών αυτών διενεργούνται εντός χρονικού διαστήματος έξι (6) μηνών. Μετά την άπρακτη παρέλευση της εν λόγω προθεσμίας θεωρείται ότι οι σχετικές δαπάνες έχουν εγκριθεί. Σε κάθε περίπτωση, το Υπουργείο Παιδείας και Θρησκευμάτων ενημερώνει σχετικά το Υπουργείο Οικονομικών σύμφωνα με τη διαδικασία που καθορίζεται στο προεδρικό διάταγμα.</w:t>
      </w:r>
    </w:p>
    <w:p w:rsidR="001946ED" w:rsidRDefault="001946ED" w:rsidP="001946ED">
      <w:pPr>
        <w:spacing w:after="240" w:line="240" w:lineRule="auto"/>
        <w:rPr>
          <w:rFonts w:eastAsia="Times New Roman" w:cs="Times"/>
          <w:lang w:eastAsia="el-GR"/>
        </w:rPr>
      </w:pPr>
    </w:p>
    <w:p w:rsidR="001946ED" w:rsidRPr="001946ED" w:rsidRDefault="001946ED" w:rsidP="001946ED">
      <w:pPr>
        <w:spacing w:after="240" w:line="240" w:lineRule="auto"/>
        <w:rPr>
          <w:rFonts w:eastAsia="Times New Roman" w:cs="Times"/>
          <w:b/>
          <w:bCs/>
          <w:lang w:eastAsia="el-GR"/>
        </w:rPr>
      </w:pPr>
      <w:r>
        <w:rPr>
          <w:rFonts w:eastAsia="Times New Roman" w:cs="Times"/>
          <w:b/>
          <w:bCs/>
          <w:lang w:eastAsia="el-GR"/>
        </w:rPr>
        <w:t>Ά</w:t>
      </w:r>
      <w:r w:rsidRPr="001946ED">
        <w:rPr>
          <w:rFonts w:eastAsia="Times New Roman" w:cs="Times"/>
          <w:b/>
          <w:bCs/>
          <w:lang w:eastAsia="el-GR"/>
        </w:rPr>
        <w:t>ρθρο 24. Φορολογικές Αποσβέσεις - Κείμενο νόμου</w:t>
      </w:r>
    </w:p>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br/>
        <w:t>﻿1. Κατά τον προσδιορισμό των κερδών από επιχειρηματική δραστηριότητα, οι φορολογικές αποσβέσεις των στοιχείων του ενεργητικού εκπίπτουν από:</w:t>
      </w:r>
      <w:r w:rsidRPr="001946ED">
        <w:rPr>
          <w:rFonts w:eastAsia="Times New Roman" w:cs="Times"/>
          <w:lang w:eastAsia="el-GR"/>
        </w:rPr>
        <w:br/>
        <w:t>α) τον κύριο των παγίων στοιχείων του ενεργητικού της επιχείρησης σε όλες τις περιπτώσεις εκτός της περίπτωσης β' ,</w:t>
      </w:r>
      <w:r w:rsidRPr="001946ED">
        <w:rPr>
          <w:rFonts w:eastAsia="Times New Roman" w:cs="Times"/>
          <w:lang w:eastAsia="el-GR"/>
        </w:rPr>
        <w:br/>
        <w:t xml:space="preserve">β) τον μισθωτή, σε περίπτωση χρηματοοικονομικής μίσθωσης. </w:t>
      </w:r>
    </w:p>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﻿2. Για τους σκοπούς της παρούσας διάταξης, ο όρος «χρηματοοικονομική μίσθωση» σημαίνει οποιαδήποτε προφορική ή έγγραφη σύμβαση με την οποία ο εκμισθωτής (κύριος) υποχρεούται έναντι μισθώματος να παραχωρεί στον μισθωτή (χρήστη) τη χρήση ενός περιουσιακού στοιχείου, εφόσον πληρούνται ένα ή περισσότερα από τα ακόλουθα κριτήρια:</w:t>
      </w:r>
      <w:r w:rsidRPr="001946ED">
        <w:rPr>
          <w:rFonts w:eastAsia="Times New Roman" w:cs="Times"/>
          <w:lang w:eastAsia="el-GR"/>
        </w:rPr>
        <w:br/>
        <w:t>α) η κυριότητα του περιουσιακού στοιχείου περιέρχεται στον μισθωτή με τη λήξη του χρόνου της μίσθωσης,</w:t>
      </w:r>
      <w:r w:rsidRPr="001946ED">
        <w:rPr>
          <w:rFonts w:eastAsia="Times New Roman" w:cs="Times"/>
          <w:lang w:eastAsia="el-GR"/>
        </w:rPr>
        <w:br/>
        <w:t>β) η σύμβαση της μίσθωσης περιλαμβάνει όρο συμφέρουσας προσφοράς για την εξαγορά του εξοπλισμού σε τιμή κατώτερη της αγοραίας αξίας,</w:t>
      </w:r>
      <w:r w:rsidRPr="001946ED">
        <w:rPr>
          <w:rFonts w:eastAsia="Times New Roman" w:cs="Times"/>
          <w:lang w:eastAsia="el-GR"/>
        </w:rPr>
        <w:br/>
      </w:r>
      <w:r w:rsidRPr="001946ED">
        <w:rPr>
          <w:rFonts w:eastAsia="Times New Roman" w:cs="Times"/>
          <w:lang w:eastAsia="el-GR"/>
        </w:rPr>
        <w:lastRenderedPageBreak/>
        <w:t>γ) η περίοδος της μίσθωσης καλύπτει τουλάχιστον το ενενήντα τοις εκατό (90%) της οικονομικής διάρκειας ζωής του περιουσιακού στοιχείου όπως αυτή προκύπτει από τον πίνακα της παραγράφου 4 ακόμη και στην περίπτωση που ο τίτλος δεν μεταβιβάζεται κατά τη λήξη της μίσθωσης,</w:t>
      </w:r>
      <w:r w:rsidRPr="001946ED">
        <w:rPr>
          <w:rFonts w:eastAsia="Times New Roman" w:cs="Times"/>
          <w:lang w:eastAsia="el-GR"/>
        </w:rPr>
        <w:br/>
        <w:t>δ) κατά τη σύναψη της σύμβασης της μίσθωσης, η παρούσα αξία των μισθωμάτων ανέρχεται τουλάχιστον στο ενενήντα τοις εκατό (90%) της αγοραίας αξίας του περιουσιακού στοιχείου που εκμισθώνεται,</w:t>
      </w:r>
      <w:r w:rsidRPr="001946ED">
        <w:rPr>
          <w:rFonts w:eastAsia="Times New Roman" w:cs="Times"/>
          <w:lang w:eastAsia="el-GR"/>
        </w:rPr>
        <w:br/>
        <w:t>ε) τα περιουσιακά στοιχεία που εκμισθώνονται είναι τέτοιας ειδικής φύσης που μόνον ο μισθωτής δύναται να τα μεταχειριστεί δίχως να προβεί σε σημαντικές αλλοιώσεις.</w:t>
      </w:r>
      <w:r w:rsidRPr="001946ED">
        <w:rPr>
          <w:rFonts w:eastAsia="Times New Roman" w:cs="Times"/>
          <w:lang w:eastAsia="el-GR"/>
        </w:rPr>
        <w:br/>
        <w:t xml:space="preserve">Στην περίπτωση της μίσθωσης οχημάτων στην έννοια του μισθώματος σύμφωνα με την περίπτωση δ' δεν συμπεριλαμβάνονται τα κόστη λειτουργίας και κυκλοφορίας του οχήματος. </w:t>
      </w:r>
    </w:p>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br/>
        <w:t xml:space="preserve">﻿3. Εδαφικές εκτάσεις, έργα τέχνης, αντίκες, κοσμήματα και άλλα πάγια στοιχεία ενεργητικού επιχειρήσεων που δεν υπόκεινται σε φθορά και αχρήστευση λόγω παλαιότητας, δεν υπόκεινται σε φορολογική απόσβεση. </w:t>
      </w:r>
    </w:p>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4. Κόστος κτήσης ή κατασκευής, περιλαμβανομένου και του κόστους βελτίωσης, ανανέωσης και ανακατασκευής αποκατάστασης του περιβάλλοντος αποσβένονται, σύμφωνα με τον παρακάτω πίνακα:</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40"/>
        <w:gridCol w:w="2286"/>
      </w:tblGrid>
      <w:tr w:rsidR="001946ED" w:rsidRPr="001946ED" w:rsidTr="001946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Κατηγορία ενεργητικού επιχείρησης</w:t>
            </w:r>
          </w:p>
        </w:tc>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Συντελεστής φορολογικής απόσβεσης (% ανά φορολογικό έτος)</w:t>
            </w:r>
          </w:p>
        </w:tc>
      </w:tr>
      <w:tr w:rsidR="001946ED" w:rsidRPr="001946ED" w:rsidTr="001946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Κτίρια, κατασκευές, εγκαταστάσεις, βιομηχανικές και ειδικές εγκαταστάσεις, μη κτιριακές εγκαταστάσεις, αποθήκες και σταθμοί, περιλαμβανομένων των παραρτημάτων τους (και ειδικών οχημάτων φορτοεκφόρτωσης)</w:t>
            </w:r>
          </w:p>
        </w:tc>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4</w:t>
            </w:r>
          </w:p>
        </w:tc>
      </w:tr>
      <w:tr w:rsidR="001946ED" w:rsidRPr="001946ED" w:rsidTr="001946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Εδαφικές εκτάσεις που χρησιμοποιούνται σε εξόρυξη και λατομεία, εκτός αν χρησιμοποιούνται για τις υποστηρικτικές δραστηριότητες εξόρυξης</w:t>
            </w:r>
          </w:p>
        </w:tc>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5</w:t>
            </w:r>
          </w:p>
        </w:tc>
      </w:tr>
      <w:tr w:rsidR="001946ED" w:rsidRPr="001946ED" w:rsidTr="001946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Μέσα μαζικής μεταφοράς, περιλαμβανομένων αεροσκαφών, σιδηροδρομικών συρμών, πλοίων και σκαφών</w:t>
            </w:r>
          </w:p>
        </w:tc>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5</w:t>
            </w:r>
          </w:p>
        </w:tc>
      </w:tr>
      <w:tr w:rsidR="001946ED" w:rsidRPr="001946ED" w:rsidTr="001946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Μηχανήματα, εξοπλισμός εκτός Η/Υ και λογισμικού</w:t>
            </w:r>
          </w:p>
        </w:tc>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10</w:t>
            </w:r>
          </w:p>
        </w:tc>
      </w:tr>
      <w:tr w:rsidR="001946ED" w:rsidRPr="001946ED" w:rsidTr="001946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Μέσα μεταφοράς ατόμων</w:t>
            </w:r>
          </w:p>
        </w:tc>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16</w:t>
            </w:r>
          </w:p>
        </w:tc>
      </w:tr>
      <w:tr w:rsidR="001946ED" w:rsidRPr="001946ED" w:rsidTr="001946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Μέσα μεταφοράς εμπορευμάτων («εσωτερικές εμπορευματικές μεταφορές» )</w:t>
            </w:r>
          </w:p>
        </w:tc>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12</w:t>
            </w:r>
          </w:p>
        </w:tc>
      </w:tr>
      <w:tr w:rsidR="001946ED" w:rsidRPr="001946ED" w:rsidTr="001946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Άυλα στοιχεία και δικαιώματα και έξοδα πολυετούς απόσβεσης</w:t>
            </w:r>
          </w:p>
        </w:tc>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10</w:t>
            </w:r>
          </w:p>
        </w:tc>
      </w:tr>
      <w:tr w:rsidR="001946ED" w:rsidRPr="001946ED" w:rsidTr="001946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Εξοπλισμός Η/Υ, κύριος και περιφερειακός και λογισμικό</w:t>
            </w:r>
          </w:p>
        </w:tc>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20</w:t>
            </w:r>
          </w:p>
        </w:tc>
      </w:tr>
      <w:tr w:rsidR="001946ED" w:rsidRPr="001946ED" w:rsidTr="001946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lastRenderedPageBreak/>
              <w:t>Λοιπά πάγια στοιχεία της επιχείρησης</w:t>
            </w:r>
          </w:p>
        </w:tc>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10</w:t>
            </w:r>
          </w:p>
        </w:tc>
      </w:tr>
      <w:tr w:rsidR="001946ED" w:rsidRPr="001946ED" w:rsidTr="001946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Εξοπλισμός και όργανα, που χρησιμοποιούνται για τις ανάγκες εκτέλεσης επιστημονικής και τεχνολογικής έρευνας.</w:t>
            </w:r>
            <w:r w:rsidRPr="001946ED">
              <w:rPr>
                <w:rFonts w:eastAsia="Times New Roman" w:cs="Times"/>
                <w:lang w:eastAsia="el-GR"/>
              </w:rPr>
              <w:br/>
              <w:t>Ως εξοπλισμός και όργανα που χρησιμοποιούνται για τις ανάγκες εκτέλεσης της επιστημονικής και της τεχνολογικής έρευνας, θεωρείται αυτός, που περιγράφεται στο σχετικό άρθρο της κοινής υπουργικής απόφασης του άρθρου 22Α.</w:t>
            </w:r>
          </w:p>
        </w:tc>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40</w:t>
            </w:r>
          </w:p>
        </w:tc>
      </w:tr>
    </w:tbl>
    <w:p w:rsidR="00DC5730" w:rsidRPr="00B91D6D" w:rsidRDefault="001946ED" w:rsidP="001946ED">
      <w:pPr>
        <w:spacing w:after="240" w:line="240" w:lineRule="auto"/>
        <w:rPr>
          <w:rFonts w:eastAsia="Times New Roman" w:cs="Times"/>
          <w:lang w:eastAsia="el-GR"/>
        </w:rPr>
      </w:pPr>
      <w:r w:rsidRPr="001946ED">
        <w:rPr>
          <w:rFonts w:eastAsia="Times New Roman" w:cs="Times"/>
          <w:lang w:eastAsia="el-GR"/>
        </w:rPr>
        <w:br/>
        <w:t>Ο συντελεστής φορολογικής απόσβεσης του προηγούμενου πίνακα για τα άυλα στοιχεία και δικαιώματα ισχύει, εφόσον δεν προκύπτει συμβατικά από την αρχική συμφωνία διαφορετική των δέκα (10) ετών οικονομική διάρκεια ζωής, οπότε και ο συντελεστής διαμορφώνεται ως το πηλίκο «1 διά έτη διάρκειας ζωής δικαιώματος». Σε περίπτωση δικαιωμάτων που θεμελιώθηκαν πριν από την έναρξη ισχύος της παρούσας διάταξης, για την αναπόσβεστη αξία (εναπομείνασα αξία) ως διάρκεια δικαιώματος λαμβάνεται η υπολειπόμενη διάρκεια του δικαιώματος.</w:t>
      </w:r>
      <w:r w:rsidRPr="001946ED">
        <w:rPr>
          <w:rFonts w:eastAsia="Times New Roman" w:cs="Times"/>
          <w:lang w:eastAsia="el-GR"/>
        </w:rPr>
        <w:br/>
      </w:r>
      <w:r w:rsidR="00DC5730" w:rsidRPr="00B91D6D">
        <w:rPr>
          <w:rFonts w:eastAsia="Times New Roman" w:cs="Times"/>
          <w:lang w:eastAsia="el-GR"/>
        </w:rPr>
        <w:br/>
      </w:r>
      <w:r w:rsidR="00D10D57">
        <w:rPr>
          <w:rFonts w:eastAsia="Times New Roman" w:cs="Times"/>
          <w:lang w:eastAsia="el-GR"/>
        </w:rPr>
        <w:pict>
          <v:rect id="_x0000_i1026" style="width:0;height:1.5pt" o:hralign="center" o:hrstd="t" o:hr="t" fillcolor="gray" stroked="f"/>
        </w:pict>
      </w:r>
    </w:p>
    <w:sectPr w:rsidR="00DC5730" w:rsidRPr="00B91D6D" w:rsidSect="0094708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D57" w:rsidRDefault="00D10D57" w:rsidP="00DC5730">
      <w:pPr>
        <w:spacing w:after="0" w:line="240" w:lineRule="auto"/>
      </w:pPr>
      <w:r>
        <w:separator/>
      </w:r>
    </w:p>
  </w:endnote>
  <w:endnote w:type="continuationSeparator" w:id="0">
    <w:p w:rsidR="00D10D57" w:rsidRDefault="00D10D57" w:rsidP="00DC5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730" w:rsidRDefault="00DC57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4782"/>
      <w:docPartObj>
        <w:docPartGallery w:val="Page Numbers (Bottom of Page)"/>
        <w:docPartUnique/>
      </w:docPartObj>
    </w:sdtPr>
    <w:sdtEndPr/>
    <w:sdtContent>
      <w:p w:rsidR="00DC5730" w:rsidRDefault="00CB6A09">
        <w:pPr>
          <w:pStyle w:val="Footer"/>
          <w:jc w:val="right"/>
        </w:pPr>
        <w:r>
          <w:fldChar w:fldCharType="begin"/>
        </w:r>
        <w:r>
          <w:instrText xml:space="preserve"> PAGE   \* MERGEFORMAT </w:instrText>
        </w:r>
        <w:r>
          <w:fldChar w:fldCharType="separate"/>
        </w:r>
        <w:r w:rsidR="007C5FE8">
          <w:rPr>
            <w:noProof/>
          </w:rPr>
          <w:t>1</w:t>
        </w:r>
        <w:r>
          <w:rPr>
            <w:noProof/>
          </w:rPr>
          <w:fldChar w:fldCharType="end"/>
        </w:r>
      </w:p>
    </w:sdtContent>
  </w:sdt>
  <w:p w:rsidR="00DC5730" w:rsidRDefault="00DC57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730" w:rsidRDefault="00DC57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D57" w:rsidRDefault="00D10D57" w:rsidP="00DC5730">
      <w:pPr>
        <w:spacing w:after="0" w:line="240" w:lineRule="auto"/>
      </w:pPr>
      <w:r>
        <w:separator/>
      </w:r>
    </w:p>
  </w:footnote>
  <w:footnote w:type="continuationSeparator" w:id="0">
    <w:p w:rsidR="00D10D57" w:rsidRDefault="00D10D57" w:rsidP="00DC57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730" w:rsidRDefault="00DC57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730" w:rsidRDefault="00DC57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730" w:rsidRDefault="00DC57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730"/>
    <w:rsid w:val="001946ED"/>
    <w:rsid w:val="002E2B12"/>
    <w:rsid w:val="003A2013"/>
    <w:rsid w:val="004975AE"/>
    <w:rsid w:val="007C5FE8"/>
    <w:rsid w:val="00816B73"/>
    <w:rsid w:val="008E5DEE"/>
    <w:rsid w:val="009074AC"/>
    <w:rsid w:val="00947082"/>
    <w:rsid w:val="00B724ED"/>
    <w:rsid w:val="00B91D6D"/>
    <w:rsid w:val="00BE1A06"/>
    <w:rsid w:val="00CB6A09"/>
    <w:rsid w:val="00D10D57"/>
    <w:rsid w:val="00DC5730"/>
    <w:rsid w:val="00DF10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DC5730"/>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C5730"/>
    <w:rPr>
      <w:rFonts w:ascii="Times New Roman" w:eastAsia="Times New Roman" w:hAnsi="Times New Roman" w:cs="Times New Roman"/>
      <w:b/>
      <w:bCs/>
      <w:sz w:val="24"/>
      <w:szCs w:val="24"/>
      <w:lang w:eastAsia="el-GR"/>
    </w:rPr>
  </w:style>
  <w:style w:type="paragraph" w:styleId="NormalWeb">
    <w:name w:val="Normal (Web)"/>
    <w:basedOn w:val="Normal"/>
    <w:uiPriority w:val="99"/>
    <w:semiHidden/>
    <w:unhideWhenUsed/>
    <w:rsid w:val="00DC573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DC5730"/>
    <w:rPr>
      <w:color w:val="0000FF"/>
      <w:u w:val="single"/>
    </w:rPr>
  </w:style>
  <w:style w:type="paragraph" w:styleId="Header">
    <w:name w:val="header"/>
    <w:basedOn w:val="Normal"/>
    <w:link w:val="HeaderChar"/>
    <w:uiPriority w:val="99"/>
    <w:semiHidden/>
    <w:unhideWhenUsed/>
    <w:rsid w:val="00DC5730"/>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DC5730"/>
  </w:style>
  <w:style w:type="paragraph" w:styleId="Footer">
    <w:name w:val="footer"/>
    <w:basedOn w:val="Normal"/>
    <w:link w:val="FooterChar"/>
    <w:uiPriority w:val="99"/>
    <w:unhideWhenUsed/>
    <w:rsid w:val="00DC573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C5730"/>
  </w:style>
  <w:style w:type="character" w:customStyle="1" w:styleId="Mention">
    <w:name w:val="Mention"/>
    <w:basedOn w:val="DefaultParagraphFont"/>
    <w:uiPriority w:val="99"/>
    <w:semiHidden/>
    <w:unhideWhenUsed/>
    <w:rsid w:val="001946ED"/>
    <w:rPr>
      <w:color w:val="2B579A"/>
      <w:shd w:val="clear" w:color="auto" w:fill="E6E6E6"/>
    </w:rPr>
  </w:style>
  <w:style w:type="paragraph" w:styleId="ListParagraph">
    <w:name w:val="List Paragraph"/>
    <w:basedOn w:val="Normal"/>
    <w:uiPriority w:val="34"/>
    <w:qFormat/>
    <w:rsid w:val="001946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DC5730"/>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C5730"/>
    <w:rPr>
      <w:rFonts w:ascii="Times New Roman" w:eastAsia="Times New Roman" w:hAnsi="Times New Roman" w:cs="Times New Roman"/>
      <w:b/>
      <w:bCs/>
      <w:sz w:val="24"/>
      <w:szCs w:val="24"/>
      <w:lang w:eastAsia="el-GR"/>
    </w:rPr>
  </w:style>
  <w:style w:type="paragraph" w:styleId="NormalWeb">
    <w:name w:val="Normal (Web)"/>
    <w:basedOn w:val="Normal"/>
    <w:uiPriority w:val="99"/>
    <w:semiHidden/>
    <w:unhideWhenUsed/>
    <w:rsid w:val="00DC573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DC5730"/>
    <w:rPr>
      <w:color w:val="0000FF"/>
      <w:u w:val="single"/>
    </w:rPr>
  </w:style>
  <w:style w:type="paragraph" w:styleId="Header">
    <w:name w:val="header"/>
    <w:basedOn w:val="Normal"/>
    <w:link w:val="HeaderChar"/>
    <w:uiPriority w:val="99"/>
    <w:semiHidden/>
    <w:unhideWhenUsed/>
    <w:rsid w:val="00DC5730"/>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DC5730"/>
  </w:style>
  <w:style w:type="paragraph" w:styleId="Footer">
    <w:name w:val="footer"/>
    <w:basedOn w:val="Normal"/>
    <w:link w:val="FooterChar"/>
    <w:uiPriority w:val="99"/>
    <w:unhideWhenUsed/>
    <w:rsid w:val="00DC573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C5730"/>
  </w:style>
  <w:style w:type="character" w:customStyle="1" w:styleId="Mention">
    <w:name w:val="Mention"/>
    <w:basedOn w:val="DefaultParagraphFont"/>
    <w:uiPriority w:val="99"/>
    <w:semiHidden/>
    <w:unhideWhenUsed/>
    <w:rsid w:val="001946ED"/>
    <w:rPr>
      <w:color w:val="2B579A"/>
      <w:shd w:val="clear" w:color="auto" w:fill="E6E6E6"/>
    </w:rPr>
  </w:style>
  <w:style w:type="paragraph" w:styleId="ListParagraph">
    <w:name w:val="List Paragraph"/>
    <w:basedOn w:val="Normal"/>
    <w:uiPriority w:val="34"/>
    <w:qFormat/>
    <w:rsid w:val="001946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557306">
      <w:bodyDiv w:val="1"/>
      <w:marLeft w:val="0"/>
      <w:marRight w:val="0"/>
      <w:marTop w:val="0"/>
      <w:marBottom w:val="0"/>
      <w:divBdr>
        <w:top w:val="none" w:sz="0" w:space="0" w:color="auto"/>
        <w:left w:val="none" w:sz="0" w:space="0" w:color="auto"/>
        <w:bottom w:val="none" w:sz="0" w:space="0" w:color="auto"/>
        <w:right w:val="none" w:sz="0" w:space="0" w:color="auto"/>
      </w:divBdr>
      <w:divsChild>
        <w:div w:id="1247300565">
          <w:blockQuote w:val="1"/>
          <w:marLeft w:val="720"/>
          <w:marRight w:val="720"/>
          <w:marTop w:val="100"/>
          <w:marBottom w:val="100"/>
          <w:divBdr>
            <w:top w:val="none" w:sz="0" w:space="0" w:color="auto"/>
            <w:left w:val="none" w:sz="0" w:space="0" w:color="auto"/>
            <w:bottom w:val="none" w:sz="0" w:space="0" w:color="auto"/>
            <w:right w:val="none" w:sz="0" w:space="0" w:color="auto"/>
          </w:divBdr>
        </w:div>
        <w:div w:id="943268216">
          <w:blockQuote w:val="1"/>
          <w:marLeft w:val="720"/>
          <w:marRight w:val="720"/>
          <w:marTop w:val="100"/>
          <w:marBottom w:val="100"/>
          <w:divBdr>
            <w:top w:val="none" w:sz="0" w:space="0" w:color="auto"/>
            <w:left w:val="none" w:sz="0" w:space="0" w:color="auto"/>
            <w:bottom w:val="none" w:sz="0" w:space="0" w:color="auto"/>
            <w:right w:val="none" w:sz="0" w:space="0" w:color="auto"/>
          </w:divBdr>
        </w:div>
        <w:div w:id="391582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5207439">
      <w:bodyDiv w:val="1"/>
      <w:marLeft w:val="0"/>
      <w:marRight w:val="0"/>
      <w:marTop w:val="0"/>
      <w:marBottom w:val="0"/>
      <w:divBdr>
        <w:top w:val="none" w:sz="0" w:space="0" w:color="auto"/>
        <w:left w:val="none" w:sz="0" w:space="0" w:color="auto"/>
        <w:bottom w:val="none" w:sz="0" w:space="0" w:color="auto"/>
        <w:right w:val="none" w:sz="0" w:space="0" w:color="auto"/>
      </w:divBdr>
      <w:divsChild>
        <w:div w:id="1513908807">
          <w:marLeft w:val="0"/>
          <w:marRight w:val="0"/>
          <w:marTop w:val="0"/>
          <w:marBottom w:val="0"/>
          <w:divBdr>
            <w:top w:val="none" w:sz="0" w:space="0" w:color="auto"/>
            <w:left w:val="none" w:sz="0" w:space="0" w:color="auto"/>
            <w:bottom w:val="none" w:sz="0" w:space="0" w:color="auto"/>
            <w:right w:val="none" w:sz="0" w:space="0" w:color="auto"/>
          </w:divBdr>
        </w:div>
      </w:divsChild>
    </w:div>
    <w:div w:id="1162964287">
      <w:bodyDiv w:val="1"/>
      <w:marLeft w:val="0"/>
      <w:marRight w:val="0"/>
      <w:marTop w:val="0"/>
      <w:marBottom w:val="0"/>
      <w:divBdr>
        <w:top w:val="none" w:sz="0" w:space="0" w:color="auto"/>
        <w:left w:val="none" w:sz="0" w:space="0" w:color="auto"/>
        <w:bottom w:val="none" w:sz="0" w:space="0" w:color="auto"/>
        <w:right w:val="none" w:sz="0" w:space="0" w:color="auto"/>
      </w:divBdr>
      <w:divsChild>
        <w:div w:id="849489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Theoni Sofianopoulou</cp:lastModifiedBy>
  <cp:revision>4</cp:revision>
  <dcterms:created xsi:type="dcterms:W3CDTF">2021-07-26T14:49:00Z</dcterms:created>
  <dcterms:modified xsi:type="dcterms:W3CDTF">2022-05-27T13:53:00Z</dcterms:modified>
</cp:coreProperties>
</file>