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540D" w14:textId="77777777" w:rsidR="006047C2" w:rsidRPr="006047C2" w:rsidRDefault="006047C2" w:rsidP="006047C2">
      <w:pPr>
        <w:keepNext/>
        <w:keepLines/>
        <w:spacing w:after="224" w:line="259" w:lineRule="auto"/>
        <w:jc w:val="center"/>
        <w:outlineLvl w:val="0"/>
        <w:rPr>
          <w:rFonts w:ascii="Calibri" w:eastAsia="Times New Roman" w:hAnsi="Calibri" w:cs="Calibri"/>
          <w:bCs/>
          <w:caps/>
          <w:color w:val="000000"/>
          <w:kern w:val="24"/>
          <w:sz w:val="24"/>
          <w:szCs w:val="32"/>
        </w:rPr>
      </w:pPr>
      <w:bookmarkStart w:id="0" w:name="_Toc105588287"/>
      <w:r w:rsidRPr="006047C2">
        <w:rPr>
          <w:rFonts w:ascii="Calibri" w:eastAsia="Times New Roman" w:hAnsi="Calibri" w:cs="Calibri"/>
          <w:b/>
          <w:bCs/>
          <w:caps/>
          <w:color w:val="000000"/>
          <w:kern w:val="24"/>
          <w:sz w:val="24"/>
          <w:szCs w:val="32"/>
        </w:rPr>
        <w:t xml:space="preserve">ΠΑΡΑΡΤΗΜΑ </w:t>
      </w:r>
      <w:r w:rsidRPr="006047C2">
        <w:rPr>
          <w:rFonts w:ascii="Calibri" w:eastAsia="Times New Roman" w:hAnsi="Calibri" w:cs="Calibri"/>
          <w:b/>
          <w:bCs/>
          <w:caps/>
          <w:color w:val="000000"/>
          <w:kern w:val="24"/>
          <w:sz w:val="24"/>
          <w:szCs w:val="32"/>
          <w:lang w:val="en-US"/>
        </w:rPr>
        <w:t>VIII</w:t>
      </w:r>
      <w:r w:rsidRPr="006047C2">
        <w:rPr>
          <w:rFonts w:ascii="Calibri" w:eastAsia="Times New Roman" w:hAnsi="Calibri" w:cs="Calibri"/>
          <w:b/>
          <w:bCs/>
          <w:caps/>
          <w:color w:val="000000"/>
          <w:kern w:val="24"/>
          <w:sz w:val="24"/>
          <w:szCs w:val="32"/>
        </w:rPr>
        <w:t xml:space="preserve">  </w:t>
      </w:r>
      <w:r w:rsidRPr="006047C2">
        <w:rPr>
          <w:rFonts w:ascii="Calibri" w:eastAsia="Calibri" w:hAnsi="Calibri" w:cs="Tahoma"/>
          <w:b/>
          <w:color w:val="000000"/>
          <w:sz w:val="24"/>
        </w:rPr>
        <w:t>ΠΡΟΥΠΟΘΕΣΕΙΣ Καν. 1407 2013</w:t>
      </w:r>
      <w:bookmarkEnd w:id="0"/>
    </w:p>
    <w:p w14:paraId="148F49F9" w14:textId="77777777" w:rsidR="006047C2" w:rsidRPr="006047C2" w:rsidRDefault="006047C2" w:rsidP="006047C2">
      <w:pPr>
        <w:spacing w:after="0"/>
        <w:rPr>
          <w:rFonts w:ascii="Calibri" w:eastAsia="Calibri" w:hAnsi="Calibri" w:cs="Times New Roman"/>
          <w:strike/>
        </w:rPr>
      </w:pPr>
    </w:p>
    <w:p w14:paraId="5815815D"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Προκειμένου να είναι οι ενισχύσεις συμβατές με τον Κανονισμό Καν Ε.Ε. 1407/2013 πρέπει να ισχύουν οι παρακάτω όροι και προϋποθέσεις:</w:t>
      </w:r>
    </w:p>
    <w:p w14:paraId="4C10B78F" w14:textId="77777777" w:rsidR="006047C2" w:rsidRPr="006047C2" w:rsidRDefault="006047C2" w:rsidP="006047C2">
      <w:pPr>
        <w:spacing w:after="160" w:line="259" w:lineRule="auto"/>
        <w:jc w:val="both"/>
        <w:rPr>
          <w:rFonts w:ascii="Calibri" w:eastAsia="Calibri" w:hAnsi="Calibri" w:cs="Times New Roman"/>
          <w:u w:val="single"/>
          <w:lang w:eastAsia="en-US"/>
        </w:rPr>
      </w:pPr>
      <w:r w:rsidRPr="006047C2">
        <w:rPr>
          <w:rFonts w:ascii="Calibri" w:eastAsia="Calibri" w:hAnsi="Calibri" w:cs="Times New Roman"/>
          <w:u w:val="single"/>
          <w:lang w:eastAsia="en-US"/>
        </w:rPr>
        <w:t>Α. Γενικοί  όροι:</w:t>
      </w:r>
    </w:p>
    <w:p w14:paraId="385EBC92"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1. ο παρόν κανονισμός δεν εφαρμόζεται στις:</w:t>
      </w:r>
    </w:p>
    <w:p w14:paraId="2574FBCA"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14:paraId="13EC4A8E"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 xml:space="preserve">β) ενισχύσεις που χορηγούνται σε επιχειρήσεις που δραστηριοποιούνται στην πρωτογενή παραγωγή γεωργικών προϊόντων </w:t>
      </w:r>
    </w:p>
    <w:p w14:paraId="6AF4D8B7"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14:paraId="4E2AC7FC"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i.</w:t>
      </w:r>
      <w:r w:rsidRPr="006047C2">
        <w:rPr>
          <w:rFonts w:ascii="Calibri" w:eastAsia="Calibri" w:hAnsi="Calibri" w:cs="Times New Roman"/>
          <w:lang w:eastAsia="en-US"/>
        </w:rPr>
        <w:tab/>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A46F0C7" w14:textId="77777777" w:rsidR="006047C2" w:rsidRPr="006047C2" w:rsidRDefault="006047C2" w:rsidP="006047C2">
      <w:pPr>
        <w:spacing w:after="160" w:line="259" w:lineRule="auto"/>
        <w:jc w:val="both"/>
        <w:rPr>
          <w:rFonts w:ascii="Calibri" w:eastAsia="Calibri" w:hAnsi="Calibri" w:cs="Times New Roman"/>
          <w:lang w:eastAsia="en-US"/>
        </w:rPr>
      </w:pPr>
      <w:proofErr w:type="spellStart"/>
      <w:r w:rsidRPr="006047C2">
        <w:rPr>
          <w:rFonts w:ascii="Calibri" w:eastAsia="Calibri" w:hAnsi="Calibri" w:cs="Times New Roman"/>
          <w:lang w:eastAsia="en-US"/>
        </w:rPr>
        <w:t>ii</w:t>
      </w:r>
      <w:proofErr w:type="spellEnd"/>
      <w:r w:rsidRPr="006047C2">
        <w:rPr>
          <w:rFonts w:ascii="Calibri" w:eastAsia="Calibri" w:hAnsi="Calibri" w:cs="Times New Roman"/>
          <w:lang w:eastAsia="en-US"/>
        </w:rPr>
        <w:t>.</w:t>
      </w:r>
      <w:r w:rsidRPr="006047C2">
        <w:rPr>
          <w:rFonts w:ascii="Calibri" w:eastAsia="Calibri" w:hAnsi="Calibri" w:cs="Times New Roman"/>
          <w:lang w:eastAsia="en-US"/>
        </w:rPr>
        <w:tab/>
        <w:t>όπου η ενίσχυση συνοδεύεται από την υποχρέωση απόδοσής της εν μέρει ή εξ ολοκλήρου σε πρωτογενείς παραγωγούς</w:t>
      </w:r>
    </w:p>
    <w:p w14:paraId="6E8FE126"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 xml:space="preserve">δ) ενισχύσεις για τις οποίες τίθεται ως όρος η χρήση εγχώριων αγαθών αντί των εισαγόμενων, </w:t>
      </w:r>
    </w:p>
    <w:p w14:paraId="20BD6D5C"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ε) 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παρόντος κανονισμού ή ασκούν άλλες δραστηριότητες που εμπίπτουν στο πεδίο εφαρμογής του παρόντος κανονισμού, ο παρών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παρόντος κανονισμού δεν τυγχάνουν ενίσχυσης ήσσονος σημασίας που χορηγείται δυνάμει του παρόντος κανονισμού.</w:t>
      </w:r>
    </w:p>
    <w:p w14:paraId="1E193452" w14:textId="77777777" w:rsidR="006047C2" w:rsidRPr="006047C2" w:rsidRDefault="006047C2" w:rsidP="006047C2">
      <w:pPr>
        <w:spacing w:after="160" w:line="259" w:lineRule="auto"/>
        <w:jc w:val="both"/>
        <w:rPr>
          <w:rFonts w:ascii="Calibri" w:eastAsia="Calibri" w:hAnsi="Calibri" w:cs="Times New Roman"/>
          <w:lang w:eastAsia="en-US"/>
        </w:rPr>
      </w:pPr>
      <w:proofErr w:type="spellStart"/>
      <w:r w:rsidRPr="006047C2">
        <w:rPr>
          <w:rFonts w:ascii="Calibri" w:eastAsia="Calibri" w:hAnsi="Calibri" w:cs="Times New Roman"/>
          <w:lang w:eastAsia="en-US"/>
        </w:rPr>
        <w:t>στ</w:t>
      </w:r>
      <w:proofErr w:type="spellEnd"/>
      <w:r w:rsidRPr="006047C2">
        <w:rPr>
          <w:rFonts w:ascii="Calibri" w:eastAsia="Calibri" w:hAnsi="Calibri" w:cs="Times New Roman"/>
          <w:lang w:eastAsia="en-US"/>
        </w:rPr>
        <w:t>)  Επίσης ο κανονισμός Ε.Ε. 1407/2013 δεν εφαρμόζεται στις ενισχύσεις για δραστηριότητες που σχετίζονται με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47F8F5B8" w14:textId="77777777" w:rsidR="006047C2" w:rsidRPr="006047C2" w:rsidRDefault="006047C2" w:rsidP="006047C2">
      <w:pPr>
        <w:spacing w:after="160" w:line="259" w:lineRule="auto"/>
        <w:jc w:val="both"/>
        <w:rPr>
          <w:rFonts w:ascii="Calibri" w:eastAsia="Calibri" w:hAnsi="Calibri" w:cs="Times New Roman"/>
          <w:lang w:eastAsia="en-US"/>
        </w:rPr>
      </w:pPr>
    </w:p>
    <w:p w14:paraId="34F77C12" w14:textId="77777777" w:rsidR="006047C2" w:rsidRPr="006047C2" w:rsidRDefault="006047C2" w:rsidP="006047C2">
      <w:pPr>
        <w:spacing w:after="160" w:line="259" w:lineRule="auto"/>
        <w:jc w:val="both"/>
        <w:rPr>
          <w:rFonts w:ascii="Calibri" w:eastAsia="Calibri" w:hAnsi="Calibri" w:cs="Times New Roman"/>
          <w:u w:val="single"/>
          <w:lang w:eastAsia="en-US"/>
        </w:rPr>
      </w:pPr>
      <w:r w:rsidRPr="006047C2">
        <w:rPr>
          <w:rFonts w:ascii="Calibri" w:eastAsia="Calibri" w:hAnsi="Calibri" w:cs="Times New Roman"/>
          <w:u w:val="single"/>
          <w:lang w:eastAsia="en-US"/>
        </w:rPr>
        <w:t xml:space="preserve">Β. Ειδικοί όροι </w:t>
      </w:r>
    </w:p>
    <w:p w14:paraId="155F8B6B"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1)</w:t>
      </w:r>
      <w:r w:rsidRPr="006047C2">
        <w:rPr>
          <w:rFonts w:ascii="Calibri" w:eastAsia="Calibri" w:hAnsi="Calibri" w:cs="Times New Roman"/>
          <w:lang w:eastAsia="en-US"/>
        </w:rPr>
        <w:tab/>
        <w:t xml:space="preserve">Η ενίσχυση, δεν μπορεί να υπερβαίνει τα 200.000€ Δημόσια Δαπάνη, συναθροίζοντας και τυχόν ενισχύσεις που έχουν ληφθεί ή θα ληφθούν, από άλλα μέτρα που υπάγονται στο καθεστώς de </w:t>
      </w:r>
      <w:proofErr w:type="spellStart"/>
      <w:r w:rsidRPr="006047C2">
        <w:rPr>
          <w:rFonts w:ascii="Calibri" w:eastAsia="Calibri" w:hAnsi="Calibri" w:cs="Times New Roman"/>
          <w:lang w:eastAsia="en-US"/>
        </w:rPr>
        <w:t>minimis</w:t>
      </w:r>
      <w:proofErr w:type="spellEnd"/>
      <w:r w:rsidRPr="006047C2">
        <w:rPr>
          <w:rFonts w:ascii="Calibri" w:eastAsia="Calibri" w:hAnsi="Calibri" w:cs="Times New Roman"/>
          <w:lang w:eastAsia="en-US"/>
        </w:rPr>
        <w:t xml:space="preserve">, σε οποιαδήποτε περίοδο τριών οικονομικών ετών και από οποιοδήποτε φορέα χορήγησης σε επίπεδο ενιαίας επιχείρησης. </w:t>
      </w:r>
    </w:p>
    <w:p w14:paraId="0D744949"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2)</w:t>
      </w:r>
      <w:r w:rsidRPr="006047C2">
        <w:rPr>
          <w:rFonts w:ascii="Calibri" w:eastAsia="Calibri" w:hAnsi="Calibri" w:cs="Times New Roman"/>
          <w:lang w:eastAsia="en-US"/>
        </w:rPr>
        <w:tab/>
        <w:t xml:space="preserve">Όταν σημειωθεί υπέρβαση του σχετικού </w:t>
      </w:r>
      <w:proofErr w:type="spellStart"/>
      <w:r w:rsidRPr="006047C2">
        <w:rPr>
          <w:rFonts w:ascii="Calibri" w:eastAsia="Calibri" w:hAnsi="Calibri" w:cs="Times New Roman"/>
          <w:lang w:eastAsia="en-US"/>
        </w:rPr>
        <w:t>ανωτάτου</w:t>
      </w:r>
      <w:proofErr w:type="spellEnd"/>
      <w:r w:rsidRPr="006047C2">
        <w:rPr>
          <w:rFonts w:ascii="Calibri" w:eastAsia="Calibri" w:hAnsi="Calibri" w:cs="Times New Roman"/>
          <w:lang w:eastAsia="en-US"/>
        </w:rPr>
        <w:t xml:space="preserve">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παρόντος κανονισμού</w:t>
      </w:r>
    </w:p>
    <w:p w14:paraId="412C3EF3"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lastRenderedPageBreak/>
        <w:t>3)</w:t>
      </w:r>
      <w:r w:rsidRPr="006047C2">
        <w:rPr>
          <w:rFonts w:ascii="Calibri" w:eastAsia="Calibri" w:hAnsi="Calibri" w:cs="Times New Roman"/>
          <w:lang w:eastAsia="en-US"/>
        </w:rPr>
        <w:tab/>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6047C2">
        <w:rPr>
          <w:rFonts w:ascii="Calibri" w:eastAsia="Calibri" w:hAnsi="Calibri" w:cs="Times New Roman"/>
          <w:lang w:eastAsia="en-US"/>
        </w:rPr>
        <w:t>εξαγοράζουσα</w:t>
      </w:r>
      <w:proofErr w:type="spellEnd"/>
      <w:r w:rsidRPr="006047C2">
        <w:rPr>
          <w:rFonts w:ascii="Calibri" w:eastAsia="Calibri" w:hAnsi="Calibri" w:cs="Times New Roman"/>
          <w:lang w:eastAsia="en-US"/>
        </w:rPr>
        <w:t xml:space="preserve"> επιχείρηση υπερβαίνει το σχετικό ανώτατο όριο. Οι ενισχύσεις ήσσονος σημασίας που είχαν χορηγηθεί νομίμως πριν από τη συγχώνευση ή την εξαγορά παραμένουν νόμιμες.</w:t>
      </w:r>
    </w:p>
    <w:p w14:paraId="5977CA6A"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4)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39D320D"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5) Σε περίπτωση επένδυσης από επιχείρηση που εκτελεί οδικές εμπορευματικές μεταφορές για λογαριασμό τρίτων το ποσό των ενισχύσεων δεν μπορεί να τις 100.000 ευρώ σε οποιαδήποτε περίοδο τριών οικονομικών ετών. Εάν μια επιχείρηση εκτελεί οδικές εμπορευματικές μεταφορές για λογαριασμό τρίτων, και ασκεί και άλλες δραστηριότητες για τις οποίες ισχύει το ανώτατο όριο των 200 000 ευρώ, θα ισχύει το ανώτατο όριο των 200.000 ευρώ για την επιχείρηση, με την προϋπόθεση ότι υπάρχει διαχωρισμός των δραστηριοτήτων ή διάκριση των στοιχείων του κόστους, ούτως ώστε η στήριξη της δραστηριότητας των οδικών εμπορευματικών μεταφορών να μην υπερβαίνει το ποσό των 100 000 ευρώ και να μη χρησιμοποιείται ενίσχυση ήσσονος σημασίας για την απόκτηση οχημάτων οδικών εμπορευματικών μεταφορών.</w:t>
      </w:r>
    </w:p>
    <w:p w14:paraId="20960BFE"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 xml:space="preserve">6) 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14:paraId="3756DEFF"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7) 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14:paraId="1AB5C0AB"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α) μια επιχείρηση κατέχει την πλειοψηφία των δικαιωμάτων ψήφου των μετόχων ή των εταίρων άλλης επιχείρησης·</w:t>
      </w:r>
    </w:p>
    <w:p w14:paraId="49AD2667"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2A725CC"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161B78F"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0CCBC87C"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 xml:space="preserve">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 </w:t>
      </w:r>
    </w:p>
    <w:p w14:paraId="00D7073B"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8) Απαγορεύεται η σώρευση ενισχύσεων ήσσονος σημασίας με άλλες κρατικές ενισχύσεις για τις ίδιες επιλέξιμες δαπάνες ή με κρατικές ενισχύσεις για το ίδιο μέτρο χρηματοδότησης υψηλού κινδύνου, αν η σώρευση αυτή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43D0F2A"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lastRenderedPageBreak/>
        <w:t>9) Πριν από τη χορήγηση της ενίσχυσης, το οικείο κράτος μέλος φροντίζει επίσης να λάβει από την αποδέκτρια επιχείρηση δήλωση, σε έγγραφη ή ηλεκτρονική μορφή, για οποιαδήποτε άλλη ενίσχυση ήσσονος σημασίας την οποία έλαβε η οικεία επιχείρηση βάσει του παρόντος κανονισμού ή άλλων κανονισμών για ενισχύσεις ήσσονος σημασίας κατά τα δύο προηγούμενα οικονομικά έτη και κατά το τρέχον οικονομικό έτος.</w:t>
      </w:r>
    </w:p>
    <w:p w14:paraId="457BA8F5" w14:textId="77777777" w:rsidR="006047C2" w:rsidRPr="006047C2" w:rsidRDefault="006047C2" w:rsidP="006047C2">
      <w:pPr>
        <w:spacing w:after="160" w:line="259" w:lineRule="auto"/>
        <w:jc w:val="both"/>
        <w:rPr>
          <w:rFonts w:ascii="Calibri" w:eastAsia="Calibri" w:hAnsi="Calibri" w:cs="Times New Roman"/>
          <w:lang w:eastAsia="en-US"/>
        </w:rPr>
      </w:pPr>
      <w:r w:rsidRPr="006047C2">
        <w:rPr>
          <w:rFonts w:ascii="Calibri" w:eastAsia="Calibri" w:hAnsi="Calibri" w:cs="Times New Roman"/>
          <w:lang w:eastAsia="en-US"/>
        </w:rPr>
        <w:t>10) Τα κράτη μέλη χορηγούν νέα ενίσχυση ήσσονος σημασίας σύμφωνα με τον Καν. ΕΕ 1407/2013, μόνο αφού εξακριβώσουν ότι η ενίσχυση αυτή δεν αυξάνει το συνολικό ποσό των ενισχύσεων ήσσονος σημασίας που έχουν χορηγηθεί στην οικεία επιχείρηση σε επίπεδο που υπερβαίνει το σχετικό ανώτατο όριο που καθορίζεται στο άρθρο 3 παράγραφος 2 και ότι τηρούνται όλοι οι όροι που καθορίζονται στον κανονισμό αυτό.</w:t>
      </w:r>
    </w:p>
    <w:p w14:paraId="340D971F" w14:textId="77777777" w:rsidR="006047C2" w:rsidRPr="006047C2" w:rsidRDefault="006047C2" w:rsidP="006047C2">
      <w:pPr>
        <w:spacing w:after="0"/>
        <w:rPr>
          <w:rFonts w:ascii="Calibri" w:eastAsia="Calibri" w:hAnsi="Calibri" w:cs="Times New Roman"/>
          <w:strike/>
        </w:rPr>
      </w:pPr>
    </w:p>
    <w:p w14:paraId="086B4B1E" w14:textId="77777777" w:rsidR="006047C2" w:rsidRPr="006047C2" w:rsidRDefault="006047C2" w:rsidP="006047C2">
      <w:pPr>
        <w:spacing w:after="0"/>
        <w:rPr>
          <w:rFonts w:ascii="Calibri" w:eastAsia="Calibri" w:hAnsi="Calibri" w:cs="Times New Roman"/>
          <w:strike/>
        </w:rPr>
      </w:pPr>
    </w:p>
    <w:p w14:paraId="172D82FC" w14:textId="77777777" w:rsidR="006047C2" w:rsidRPr="006047C2" w:rsidRDefault="006047C2" w:rsidP="006047C2">
      <w:pPr>
        <w:spacing w:after="0"/>
        <w:rPr>
          <w:rFonts w:ascii="Calibri" w:eastAsia="Calibri" w:hAnsi="Calibri" w:cs="Times New Roman"/>
          <w:strike/>
        </w:rPr>
      </w:pPr>
    </w:p>
    <w:p w14:paraId="4806C328" w14:textId="77777777" w:rsidR="006047C2" w:rsidRPr="006047C2" w:rsidRDefault="006047C2" w:rsidP="006047C2">
      <w:pPr>
        <w:spacing w:after="0"/>
        <w:rPr>
          <w:rFonts w:ascii="Calibri" w:eastAsia="Calibri" w:hAnsi="Calibri" w:cs="Times New Roman"/>
          <w:strike/>
        </w:rPr>
      </w:pPr>
    </w:p>
    <w:p w14:paraId="4679A58E" w14:textId="77777777" w:rsidR="006047C2" w:rsidRPr="006047C2" w:rsidRDefault="006047C2" w:rsidP="006047C2">
      <w:pPr>
        <w:spacing w:after="0"/>
        <w:rPr>
          <w:rFonts w:ascii="Calibri" w:eastAsia="Calibri" w:hAnsi="Calibri" w:cs="Times New Roman"/>
          <w:strike/>
        </w:rPr>
      </w:pPr>
    </w:p>
    <w:p w14:paraId="43D11220" w14:textId="77777777" w:rsidR="006047C2" w:rsidRPr="006047C2" w:rsidRDefault="006047C2" w:rsidP="006047C2">
      <w:pPr>
        <w:spacing w:after="0"/>
        <w:rPr>
          <w:rFonts w:ascii="Calibri" w:eastAsia="Calibri" w:hAnsi="Calibri" w:cs="Times New Roman"/>
          <w:strike/>
        </w:rPr>
      </w:pPr>
    </w:p>
    <w:p w14:paraId="46B131C9" w14:textId="77777777" w:rsidR="006047C2" w:rsidRPr="006047C2" w:rsidRDefault="006047C2" w:rsidP="006047C2">
      <w:pPr>
        <w:spacing w:after="0"/>
        <w:rPr>
          <w:rFonts w:ascii="Calibri" w:eastAsia="Calibri" w:hAnsi="Calibri" w:cs="Times New Roman"/>
          <w:strike/>
        </w:rPr>
      </w:pPr>
    </w:p>
    <w:p w14:paraId="16CFD5E5" w14:textId="77777777" w:rsidR="006047C2" w:rsidRPr="006047C2" w:rsidRDefault="006047C2" w:rsidP="006047C2">
      <w:pPr>
        <w:spacing w:after="0"/>
        <w:rPr>
          <w:rFonts w:ascii="Calibri" w:eastAsia="Calibri" w:hAnsi="Calibri" w:cs="Times New Roman"/>
          <w:strike/>
        </w:rPr>
      </w:pPr>
    </w:p>
    <w:p w14:paraId="3E4D7EEB" w14:textId="77777777" w:rsidR="006047C2" w:rsidRPr="006047C2" w:rsidRDefault="006047C2" w:rsidP="006047C2">
      <w:pPr>
        <w:spacing w:after="0"/>
        <w:rPr>
          <w:rFonts w:ascii="Calibri" w:eastAsia="Calibri" w:hAnsi="Calibri" w:cs="Times New Roman"/>
          <w:strike/>
        </w:rPr>
      </w:pPr>
    </w:p>
    <w:p w14:paraId="3E0AD736" w14:textId="77777777" w:rsidR="006047C2" w:rsidRPr="006047C2" w:rsidRDefault="006047C2" w:rsidP="006047C2">
      <w:pPr>
        <w:spacing w:after="0"/>
        <w:rPr>
          <w:rFonts w:ascii="Calibri" w:eastAsia="Calibri" w:hAnsi="Calibri" w:cs="Times New Roman"/>
          <w:strike/>
        </w:rPr>
      </w:pPr>
    </w:p>
    <w:p w14:paraId="40EF044A" w14:textId="77777777" w:rsidR="006047C2" w:rsidRPr="006047C2" w:rsidRDefault="006047C2" w:rsidP="006047C2">
      <w:pPr>
        <w:spacing w:after="0"/>
        <w:rPr>
          <w:rFonts w:ascii="Calibri" w:eastAsia="Calibri" w:hAnsi="Calibri" w:cs="Times New Roman"/>
          <w:strike/>
        </w:rPr>
      </w:pPr>
    </w:p>
    <w:p w14:paraId="2C846446" w14:textId="77777777" w:rsidR="006047C2" w:rsidRPr="006047C2" w:rsidRDefault="006047C2" w:rsidP="006047C2">
      <w:pPr>
        <w:spacing w:after="0"/>
        <w:rPr>
          <w:rFonts w:ascii="Calibri" w:eastAsia="Calibri" w:hAnsi="Calibri" w:cs="Times New Roman"/>
          <w:strike/>
        </w:rPr>
      </w:pPr>
    </w:p>
    <w:p w14:paraId="6E079FA7" w14:textId="77777777" w:rsidR="006047C2" w:rsidRPr="006047C2" w:rsidRDefault="006047C2" w:rsidP="006047C2">
      <w:pPr>
        <w:spacing w:after="0"/>
        <w:rPr>
          <w:rFonts w:ascii="Calibri" w:eastAsia="Calibri" w:hAnsi="Calibri" w:cs="Times New Roman"/>
          <w:strike/>
        </w:rPr>
      </w:pPr>
    </w:p>
    <w:p w14:paraId="7599C307" w14:textId="77777777" w:rsidR="000F15B6" w:rsidRPr="00006B49" w:rsidRDefault="000F15B6" w:rsidP="00006B49"/>
    <w:sectPr w:rsidR="000F15B6" w:rsidRPr="00006B49" w:rsidSect="00036D9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7E62"/>
    <w:multiLevelType w:val="hybridMultilevel"/>
    <w:tmpl w:val="80CEBBC2"/>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16cid:durableId="9995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D9"/>
    <w:rsid w:val="00006B49"/>
    <w:rsid w:val="000F15B6"/>
    <w:rsid w:val="001355D9"/>
    <w:rsid w:val="00196503"/>
    <w:rsid w:val="00267020"/>
    <w:rsid w:val="006047C2"/>
    <w:rsid w:val="00655217"/>
    <w:rsid w:val="007A2085"/>
    <w:rsid w:val="0080630C"/>
    <w:rsid w:val="00B221E9"/>
    <w:rsid w:val="00FF2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C7EE"/>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30C"/>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30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80630C"/>
    <w:rPr>
      <w:color w:val="0000FF"/>
      <w:u w:val="single"/>
    </w:rPr>
  </w:style>
  <w:style w:type="character" w:styleId="-0">
    <w:name w:val="FollowedHyperlink"/>
    <w:basedOn w:val="a0"/>
    <w:uiPriority w:val="99"/>
    <w:semiHidden/>
    <w:unhideWhenUsed/>
    <w:rsid w:val="00B22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5958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ΚΩΝΣΤΑΝΤΙΝΟΣ ΑΠΕΡΓΗΣ</cp:lastModifiedBy>
  <cp:revision>2</cp:revision>
  <dcterms:created xsi:type="dcterms:W3CDTF">2022-06-09T11:17:00Z</dcterms:created>
  <dcterms:modified xsi:type="dcterms:W3CDTF">2022-06-09T11:17:00Z</dcterms:modified>
</cp:coreProperties>
</file>