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2540D" w14:textId="77777777" w:rsidR="006047C2" w:rsidRPr="006047C2" w:rsidRDefault="006047C2" w:rsidP="006047C2">
      <w:pPr>
        <w:keepNext/>
        <w:keepLines/>
        <w:spacing w:after="224" w:line="259" w:lineRule="auto"/>
        <w:jc w:val="center"/>
        <w:outlineLvl w:val="0"/>
        <w:rPr>
          <w:rFonts w:ascii="Calibri" w:eastAsia="Times New Roman" w:hAnsi="Calibri" w:cs="Calibri"/>
          <w:bCs/>
          <w:caps/>
          <w:color w:val="000000"/>
          <w:kern w:val="24"/>
          <w:sz w:val="24"/>
          <w:szCs w:val="32"/>
        </w:rPr>
      </w:pPr>
      <w:bookmarkStart w:id="0" w:name="_Toc105588287"/>
      <w:r w:rsidRPr="006047C2">
        <w:rPr>
          <w:rFonts w:ascii="Calibri" w:eastAsia="Times New Roman" w:hAnsi="Calibri" w:cs="Calibri"/>
          <w:b/>
          <w:bCs/>
          <w:caps/>
          <w:color w:val="000000"/>
          <w:kern w:val="24"/>
          <w:sz w:val="24"/>
          <w:szCs w:val="32"/>
        </w:rPr>
        <w:t xml:space="preserve">ΠΑΡΑΡΤΗΜΑ </w:t>
      </w:r>
      <w:r w:rsidRPr="006047C2">
        <w:rPr>
          <w:rFonts w:ascii="Calibri" w:eastAsia="Times New Roman" w:hAnsi="Calibri" w:cs="Calibri"/>
          <w:b/>
          <w:bCs/>
          <w:caps/>
          <w:color w:val="000000"/>
          <w:kern w:val="24"/>
          <w:sz w:val="24"/>
          <w:szCs w:val="32"/>
          <w:lang w:val="en-US"/>
        </w:rPr>
        <w:t>VIII</w:t>
      </w:r>
      <w:r w:rsidRPr="006047C2">
        <w:rPr>
          <w:rFonts w:ascii="Calibri" w:eastAsia="Times New Roman" w:hAnsi="Calibri" w:cs="Calibri"/>
          <w:b/>
          <w:bCs/>
          <w:caps/>
          <w:color w:val="000000"/>
          <w:kern w:val="24"/>
          <w:sz w:val="24"/>
          <w:szCs w:val="32"/>
        </w:rPr>
        <w:t xml:space="preserve">  </w:t>
      </w:r>
      <w:r w:rsidRPr="006047C2">
        <w:rPr>
          <w:rFonts w:ascii="Calibri" w:eastAsia="Calibri" w:hAnsi="Calibri" w:cs="Tahoma"/>
          <w:b/>
          <w:color w:val="000000"/>
          <w:sz w:val="24"/>
        </w:rPr>
        <w:t>ΠΡΟΥΠΟΘΕΣΕΙΣ Καν. 1407 2013</w:t>
      </w:r>
      <w:bookmarkEnd w:id="0"/>
    </w:p>
    <w:p w14:paraId="148F49F9" w14:textId="77777777" w:rsidR="006047C2" w:rsidRPr="006047C2" w:rsidRDefault="006047C2" w:rsidP="006047C2">
      <w:pPr>
        <w:spacing w:after="0"/>
        <w:rPr>
          <w:rFonts w:ascii="Calibri" w:eastAsia="Calibri" w:hAnsi="Calibri" w:cs="Times New Roman"/>
          <w:strike/>
        </w:rPr>
      </w:pPr>
    </w:p>
    <w:p w14:paraId="5815815D" w14:textId="77777777" w:rsidR="006047C2" w:rsidRPr="006047C2" w:rsidRDefault="006047C2" w:rsidP="006047C2">
      <w:pPr>
        <w:spacing w:after="160" w:line="259" w:lineRule="auto"/>
        <w:jc w:val="both"/>
        <w:rPr>
          <w:rFonts w:ascii="Calibri" w:eastAsia="Calibri" w:hAnsi="Calibri" w:cs="Times New Roman"/>
          <w:lang w:eastAsia="en-US"/>
        </w:rPr>
      </w:pPr>
      <w:r w:rsidRPr="006047C2">
        <w:rPr>
          <w:rFonts w:ascii="Calibri" w:eastAsia="Calibri" w:hAnsi="Calibri" w:cs="Times New Roman"/>
          <w:lang w:eastAsia="en-US"/>
        </w:rPr>
        <w:t>Προκειμένου να είναι οι ενισχύσεις συμβατές με τον Κανονισμό Καν Ε.Ε. 1407/2013 πρέπει να ισχύουν οι παρακάτω όροι και προϋποθέσεις:</w:t>
      </w:r>
    </w:p>
    <w:p w14:paraId="4C10B78F" w14:textId="77777777" w:rsidR="006047C2" w:rsidRPr="006047C2" w:rsidRDefault="006047C2" w:rsidP="006047C2">
      <w:pPr>
        <w:spacing w:after="160" w:line="259" w:lineRule="auto"/>
        <w:jc w:val="both"/>
        <w:rPr>
          <w:rFonts w:ascii="Calibri" w:eastAsia="Calibri" w:hAnsi="Calibri" w:cs="Times New Roman"/>
          <w:u w:val="single"/>
          <w:lang w:eastAsia="en-US"/>
        </w:rPr>
      </w:pPr>
      <w:r w:rsidRPr="006047C2">
        <w:rPr>
          <w:rFonts w:ascii="Calibri" w:eastAsia="Calibri" w:hAnsi="Calibri" w:cs="Times New Roman"/>
          <w:u w:val="single"/>
          <w:lang w:eastAsia="en-US"/>
        </w:rPr>
        <w:t>Α. Γενικοί  όροι:</w:t>
      </w:r>
    </w:p>
    <w:p w14:paraId="385EBC92" w14:textId="77777777" w:rsidR="006047C2" w:rsidRPr="006047C2" w:rsidRDefault="006047C2" w:rsidP="006047C2">
      <w:pPr>
        <w:spacing w:after="160" w:line="259" w:lineRule="auto"/>
        <w:jc w:val="both"/>
        <w:rPr>
          <w:rFonts w:ascii="Calibri" w:eastAsia="Calibri" w:hAnsi="Calibri" w:cs="Times New Roman"/>
          <w:lang w:eastAsia="en-US"/>
        </w:rPr>
      </w:pPr>
      <w:r w:rsidRPr="006047C2">
        <w:rPr>
          <w:rFonts w:ascii="Calibri" w:eastAsia="Calibri" w:hAnsi="Calibri" w:cs="Times New Roman"/>
          <w:lang w:eastAsia="en-US"/>
        </w:rPr>
        <w:t>1. ο παρόν κανονισμός δεν εφαρμόζεται στις:</w:t>
      </w:r>
    </w:p>
    <w:p w14:paraId="2574FBCA" w14:textId="77777777" w:rsidR="006047C2" w:rsidRPr="006047C2" w:rsidRDefault="006047C2" w:rsidP="006047C2">
      <w:pPr>
        <w:spacing w:after="160" w:line="259" w:lineRule="auto"/>
        <w:jc w:val="both"/>
        <w:rPr>
          <w:rFonts w:ascii="Calibri" w:eastAsia="Calibri" w:hAnsi="Calibri" w:cs="Times New Roman"/>
          <w:lang w:eastAsia="en-US"/>
        </w:rPr>
      </w:pPr>
      <w:r w:rsidRPr="006047C2">
        <w:rPr>
          <w:rFonts w:ascii="Calibri" w:eastAsia="Calibri" w:hAnsi="Calibri" w:cs="Times New Roman"/>
          <w:lang w:eastAsia="en-US"/>
        </w:rPr>
        <w:t xml:space="preserve">α) ενισχύσεις προς επιχειρήσεις που δραστηριοποιούνται στους τομείς της αλιείας και της υδατοκαλλιέργειας, που εμπίπτουν στον κανονισμό (ΕΚ) αριθ. 104/2000 του Συμβουλίου </w:t>
      </w:r>
    </w:p>
    <w:p w14:paraId="13EC4A8E" w14:textId="77777777" w:rsidR="006047C2" w:rsidRPr="006047C2" w:rsidRDefault="006047C2" w:rsidP="006047C2">
      <w:pPr>
        <w:spacing w:after="160" w:line="259" w:lineRule="auto"/>
        <w:jc w:val="both"/>
        <w:rPr>
          <w:rFonts w:ascii="Calibri" w:eastAsia="Calibri" w:hAnsi="Calibri" w:cs="Times New Roman"/>
          <w:lang w:eastAsia="en-US"/>
        </w:rPr>
      </w:pPr>
      <w:r w:rsidRPr="006047C2">
        <w:rPr>
          <w:rFonts w:ascii="Calibri" w:eastAsia="Calibri" w:hAnsi="Calibri" w:cs="Times New Roman"/>
          <w:lang w:eastAsia="en-US"/>
        </w:rPr>
        <w:t xml:space="preserve">β) ενισχύσεις που χορηγούνται σε επιχειρήσεις που δραστηριοποιούνται στην πρωτογενή παραγωγή γεωργικών προϊόντων </w:t>
      </w:r>
    </w:p>
    <w:p w14:paraId="6AF4D8B7" w14:textId="77777777" w:rsidR="006047C2" w:rsidRPr="006047C2" w:rsidRDefault="006047C2" w:rsidP="006047C2">
      <w:pPr>
        <w:spacing w:after="160" w:line="259" w:lineRule="auto"/>
        <w:jc w:val="both"/>
        <w:rPr>
          <w:rFonts w:ascii="Calibri" w:eastAsia="Calibri" w:hAnsi="Calibri" w:cs="Times New Roman"/>
          <w:lang w:eastAsia="en-US"/>
        </w:rPr>
      </w:pPr>
      <w:r w:rsidRPr="006047C2">
        <w:rPr>
          <w:rFonts w:ascii="Calibri" w:eastAsia="Calibri" w:hAnsi="Calibri" w:cs="Times New Roman"/>
          <w:lang w:eastAsia="en-US"/>
        </w:rPr>
        <w:t xml:space="preserve">γ) ενισχύσεις που χορηγούνται σε επιχειρήσεις που δραστηριοποιούνται στον τομέα της μεταποίησης και της εμπορίας γεωργικών προϊόντων, στις ακόλουθες περιπτώσεις: </w:t>
      </w:r>
    </w:p>
    <w:p w14:paraId="4E2AC7FC" w14:textId="77777777" w:rsidR="006047C2" w:rsidRPr="006047C2" w:rsidRDefault="006047C2" w:rsidP="006047C2">
      <w:pPr>
        <w:spacing w:after="160" w:line="259" w:lineRule="auto"/>
        <w:jc w:val="both"/>
        <w:rPr>
          <w:rFonts w:ascii="Calibri" w:eastAsia="Calibri" w:hAnsi="Calibri" w:cs="Times New Roman"/>
          <w:lang w:eastAsia="en-US"/>
        </w:rPr>
      </w:pPr>
      <w:r w:rsidRPr="006047C2">
        <w:rPr>
          <w:rFonts w:ascii="Calibri" w:eastAsia="Calibri" w:hAnsi="Calibri" w:cs="Times New Roman"/>
          <w:lang w:eastAsia="en-US"/>
        </w:rPr>
        <w:t>i.</w:t>
      </w:r>
      <w:r w:rsidRPr="006047C2">
        <w:rPr>
          <w:rFonts w:ascii="Calibri" w:eastAsia="Calibri" w:hAnsi="Calibri" w:cs="Times New Roman"/>
          <w:lang w:eastAsia="en-US"/>
        </w:rPr>
        <w:tab/>
        <w:t xml:space="preserve">όπου το ποσό της ενίσχυσης καθορίζεται με βάση την τιμή ή την ποσότητα τέτοιων προϊόντων που πωλούνται από πρωτογενείς παραγωγούς ή διατίθενται στην αγορά από τις οικείες επιχειρήσεις, </w:t>
      </w:r>
    </w:p>
    <w:p w14:paraId="5A46F0C7" w14:textId="77777777" w:rsidR="006047C2" w:rsidRPr="006047C2" w:rsidRDefault="006047C2" w:rsidP="006047C2">
      <w:pPr>
        <w:spacing w:after="160" w:line="259" w:lineRule="auto"/>
        <w:jc w:val="both"/>
        <w:rPr>
          <w:rFonts w:ascii="Calibri" w:eastAsia="Calibri" w:hAnsi="Calibri" w:cs="Times New Roman"/>
          <w:lang w:eastAsia="en-US"/>
        </w:rPr>
      </w:pPr>
      <w:proofErr w:type="spellStart"/>
      <w:r w:rsidRPr="006047C2">
        <w:rPr>
          <w:rFonts w:ascii="Calibri" w:eastAsia="Calibri" w:hAnsi="Calibri" w:cs="Times New Roman"/>
          <w:lang w:eastAsia="en-US"/>
        </w:rPr>
        <w:t>ii</w:t>
      </w:r>
      <w:proofErr w:type="spellEnd"/>
      <w:r w:rsidRPr="006047C2">
        <w:rPr>
          <w:rFonts w:ascii="Calibri" w:eastAsia="Calibri" w:hAnsi="Calibri" w:cs="Times New Roman"/>
          <w:lang w:eastAsia="en-US"/>
        </w:rPr>
        <w:t>.</w:t>
      </w:r>
      <w:r w:rsidRPr="006047C2">
        <w:rPr>
          <w:rFonts w:ascii="Calibri" w:eastAsia="Calibri" w:hAnsi="Calibri" w:cs="Times New Roman"/>
          <w:lang w:eastAsia="en-US"/>
        </w:rPr>
        <w:tab/>
        <w:t>όπου η ενίσχυση συνοδεύεται από την υποχρέωση απόδοσής της εν μέρει ή εξ ολοκλήρου σε πρωτογενείς παραγωγούς</w:t>
      </w:r>
    </w:p>
    <w:p w14:paraId="6E8FE126" w14:textId="77777777" w:rsidR="006047C2" w:rsidRPr="006047C2" w:rsidRDefault="006047C2" w:rsidP="006047C2">
      <w:pPr>
        <w:spacing w:after="160" w:line="259" w:lineRule="auto"/>
        <w:jc w:val="both"/>
        <w:rPr>
          <w:rFonts w:ascii="Calibri" w:eastAsia="Calibri" w:hAnsi="Calibri" w:cs="Times New Roman"/>
          <w:lang w:eastAsia="en-US"/>
        </w:rPr>
      </w:pPr>
      <w:r w:rsidRPr="006047C2">
        <w:rPr>
          <w:rFonts w:ascii="Calibri" w:eastAsia="Calibri" w:hAnsi="Calibri" w:cs="Times New Roman"/>
          <w:lang w:eastAsia="en-US"/>
        </w:rPr>
        <w:t xml:space="preserve">δ) ενισχύσεις για τις οποίες τίθεται ως όρος η χρήση εγχώριων αγαθών αντί των εισαγόμενων, </w:t>
      </w:r>
    </w:p>
    <w:p w14:paraId="20BD6D5C" w14:textId="77777777" w:rsidR="006047C2" w:rsidRPr="006047C2" w:rsidRDefault="006047C2" w:rsidP="006047C2">
      <w:pPr>
        <w:spacing w:after="160" w:line="259" w:lineRule="auto"/>
        <w:jc w:val="both"/>
        <w:rPr>
          <w:rFonts w:ascii="Calibri" w:eastAsia="Calibri" w:hAnsi="Calibri" w:cs="Times New Roman"/>
          <w:lang w:eastAsia="en-US"/>
        </w:rPr>
      </w:pPr>
      <w:r w:rsidRPr="006047C2">
        <w:rPr>
          <w:rFonts w:ascii="Calibri" w:eastAsia="Calibri" w:hAnsi="Calibri" w:cs="Times New Roman"/>
          <w:lang w:eastAsia="en-US"/>
        </w:rPr>
        <w:t>ε) Στην περίπτωση επιχειρήσεων που δραστηριοποιούνται στους τομείς οι οποίοι αναφέρονται στα στοιχεία α), β) ή γ) της παραγράφου 1 και δραστηριοποιούνται επίσης σε έναν ή περισσότερους από τους τομείς οι οποίοι εμπίπτουν στο πεδίο εφαρμογής του παρόντος κανονισμού ή ασκούν άλλες δραστηριότητες που εμπίπτουν στο πεδίο εφαρμογής του παρόντος κανονισμού, ο παρών κανονισμός εφαρμόζεται σε ενισχύσεις χορηγούμενες στους τελευταίους αυτούς τομείς ή δραστηριότητες, υπό την προϋπόθεση ότι με κατάλληλα μέσα, όπως ο διαχωρισμός των δραστηριοτήτων ή η διάκριση του κόστους, διασφαλίζεται ότι οι δραστηριότητες στους τομείς που εξαιρούνται από το πεδίο εφαρμογής του παρόντος κανονισμού δεν τυγχάνουν ενίσχυσης ήσσονος σημασίας που χορηγείται δυνάμει του παρόντος κανονισμού.</w:t>
      </w:r>
    </w:p>
    <w:p w14:paraId="1E193452" w14:textId="77777777" w:rsidR="006047C2" w:rsidRPr="006047C2" w:rsidRDefault="006047C2" w:rsidP="006047C2">
      <w:pPr>
        <w:spacing w:after="160" w:line="259" w:lineRule="auto"/>
        <w:jc w:val="both"/>
        <w:rPr>
          <w:rFonts w:ascii="Calibri" w:eastAsia="Calibri" w:hAnsi="Calibri" w:cs="Times New Roman"/>
          <w:lang w:eastAsia="en-US"/>
        </w:rPr>
      </w:pPr>
      <w:proofErr w:type="spellStart"/>
      <w:r w:rsidRPr="006047C2">
        <w:rPr>
          <w:rFonts w:ascii="Calibri" w:eastAsia="Calibri" w:hAnsi="Calibri" w:cs="Times New Roman"/>
          <w:lang w:eastAsia="en-US"/>
        </w:rPr>
        <w:t>στ</w:t>
      </w:r>
      <w:proofErr w:type="spellEnd"/>
      <w:r w:rsidRPr="006047C2">
        <w:rPr>
          <w:rFonts w:ascii="Calibri" w:eastAsia="Calibri" w:hAnsi="Calibri" w:cs="Times New Roman"/>
          <w:lang w:eastAsia="en-US"/>
        </w:rPr>
        <w:t>)  Επίσης ο κανονισμός Ε.Ε. 1407/2013 δεν εφαρμόζεται στις ενισχύσεις για δραστηριότητες που σχετίζονται με εξαγωγές προς τρίτες χώρες ή προς κράτη μέλη, ιδίως δε ενισχύσεις που συνδέονται άμεσα με τις εξαγόμενες ποσότητες, με τη δημιουργία και λειτουργία δικτύου διανομής ή με άλλες τρέχουσες δαπάνες που σχετίζονται με την εξαγωγική δραστηριότητα.</w:t>
      </w:r>
    </w:p>
    <w:p w14:paraId="47F8F5B8" w14:textId="77777777" w:rsidR="006047C2" w:rsidRPr="006047C2" w:rsidRDefault="006047C2" w:rsidP="006047C2">
      <w:pPr>
        <w:spacing w:after="160" w:line="259" w:lineRule="auto"/>
        <w:jc w:val="both"/>
        <w:rPr>
          <w:rFonts w:ascii="Calibri" w:eastAsia="Calibri" w:hAnsi="Calibri" w:cs="Times New Roman"/>
          <w:lang w:eastAsia="en-US"/>
        </w:rPr>
      </w:pPr>
    </w:p>
    <w:p w14:paraId="34F77C12" w14:textId="77777777" w:rsidR="006047C2" w:rsidRPr="006047C2" w:rsidRDefault="006047C2" w:rsidP="006047C2">
      <w:pPr>
        <w:spacing w:after="160" w:line="259" w:lineRule="auto"/>
        <w:jc w:val="both"/>
        <w:rPr>
          <w:rFonts w:ascii="Calibri" w:eastAsia="Calibri" w:hAnsi="Calibri" w:cs="Times New Roman"/>
          <w:u w:val="single"/>
          <w:lang w:eastAsia="en-US"/>
        </w:rPr>
      </w:pPr>
      <w:r w:rsidRPr="006047C2">
        <w:rPr>
          <w:rFonts w:ascii="Calibri" w:eastAsia="Calibri" w:hAnsi="Calibri" w:cs="Times New Roman"/>
          <w:u w:val="single"/>
          <w:lang w:eastAsia="en-US"/>
        </w:rPr>
        <w:t xml:space="preserve">Β. Ειδικοί όροι </w:t>
      </w:r>
    </w:p>
    <w:p w14:paraId="155F8B6B" w14:textId="77777777" w:rsidR="006047C2" w:rsidRPr="006047C2" w:rsidRDefault="006047C2" w:rsidP="006047C2">
      <w:pPr>
        <w:spacing w:after="160" w:line="259" w:lineRule="auto"/>
        <w:jc w:val="both"/>
        <w:rPr>
          <w:rFonts w:ascii="Calibri" w:eastAsia="Calibri" w:hAnsi="Calibri" w:cs="Times New Roman"/>
          <w:lang w:eastAsia="en-US"/>
        </w:rPr>
      </w:pPr>
      <w:r w:rsidRPr="006047C2">
        <w:rPr>
          <w:rFonts w:ascii="Calibri" w:eastAsia="Calibri" w:hAnsi="Calibri" w:cs="Times New Roman"/>
          <w:lang w:eastAsia="en-US"/>
        </w:rPr>
        <w:t>1)</w:t>
      </w:r>
      <w:r w:rsidRPr="006047C2">
        <w:rPr>
          <w:rFonts w:ascii="Calibri" w:eastAsia="Calibri" w:hAnsi="Calibri" w:cs="Times New Roman"/>
          <w:lang w:eastAsia="en-US"/>
        </w:rPr>
        <w:tab/>
        <w:t xml:space="preserve">Η ενίσχυση, δεν μπορεί να υπερβαίνει τα 200.000€ Δημόσια Δαπάνη, συναθροίζοντας και τυχόν ενισχύσεις που έχουν ληφθεί ή θα ληφθούν, από άλλα μέτρα που υπάγονται στο καθεστώς de </w:t>
      </w:r>
      <w:proofErr w:type="spellStart"/>
      <w:r w:rsidRPr="006047C2">
        <w:rPr>
          <w:rFonts w:ascii="Calibri" w:eastAsia="Calibri" w:hAnsi="Calibri" w:cs="Times New Roman"/>
          <w:lang w:eastAsia="en-US"/>
        </w:rPr>
        <w:t>minimis</w:t>
      </w:r>
      <w:proofErr w:type="spellEnd"/>
      <w:r w:rsidRPr="006047C2">
        <w:rPr>
          <w:rFonts w:ascii="Calibri" w:eastAsia="Calibri" w:hAnsi="Calibri" w:cs="Times New Roman"/>
          <w:lang w:eastAsia="en-US"/>
        </w:rPr>
        <w:t xml:space="preserve">, σε οποιαδήποτε περίοδο τριών οικονομικών ετών και από οποιοδήποτε φορέα χορήγησης σε επίπεδο ενιαίας επιχείρησης. </w:t>
      </w:r>
    </w:p>
    <w:p w14:paraId="0D744949" w14:textId="77777777" w:rsidR="006047C2" w:rsidRPr="006047C2" w:rsidRDefault="006047C2" w:rsidP="006047C2">
      <w:pPr>
        <w:spacing w:after="160" w:line="259" w:lineRule="auto"/>
        <w:jc w:val="both"/>
        <w:rPr>
          <w:rFonts w:ascii="Calibri" w:eastAsia="Calibri" w:hAnsi="Calibri" w:cs="Times New Roman"/>
          <w:lang w:eastAsia="en-US"/>
        </w:rPr>
      </w:pPr>
      <w:r w:rsidRPr="006047C2">
        <w:rPr>
          <w:rFonts w:ascii="Calibri" w:eastAsia="Calibri" w:hAnsi="Calibri" w:cs="Times New Roman"/>
          <w:lang w:eastAsia="en-US"/>
        </w:rPr>
        <w:t>2)</w:t>
      </w:r>
      <w:r w:rsidRPr="006047C2">
        <w:rPr>
          <w:rFonts w:ascii="Calibri" w:eastAsia="Calibri" w:hAnsi="Calibri" w:cs="Times New Roman"/>
          <w:lang w:eastAsia="en-US"/>
        </w:rPr>
        <w:tab/>
        <w:t xml:space="preserve">Όταν σημειωθεί υπέρβαση του σχετικού </w:t>
      </w:r>
      <w:proofErr w:type="spellStart"/>
      <w:r w:rsidRPr="006047C2">
        <w:rPr>
          <w:rFonts w:ascii="Calibri" w:eastAsia="Calibri" w:hAnsi="Calibri" w:cs="Times New Roman"/>
          <w:lang w:eastAsia="en-US"/>
        </w:rPr>
        <w:t>ανωτάτου</w:t>
      </w:r>
      <w:proofErr w:type="spellEnd"/>
      <w:r w:rsidRPr="006047C2">
        <w:rPr>
          <w:rFonts w:ascii="Calibri" w:eastAsia="Calibri" w:hAnsi="Calibri" w:cs="Times New Roman"/>
          <w:lang w:eastAsia="en-US"/>
        </w:rPr>
        <w:t xml:space="preserve"> ορίου που ορίζεται προηγουμένως, με τη χορήγηση νέας ενίσχυσης ήσσονος σημασίας, κανένα τμήμα της εν λόγω νέας ενίσχυσης δεν δύναται να υπαχθεί στο ευεργέτημα του παρόντος κανονισμού</w:t>
      </w:r>
    </w:p>
    <w:p w14:paraId="412C3EF3" w14:textId="77777777" w:rsidR="006047C2" w:rsidRPr="006047C2" w:rsidRDefault="006047C2" w:rsidP="006047C2">
      <w:pPr>
        <w:spacing w:after="160" w:line="259" w:lineRule="auto"/>
        <w:jc w:val="both"/>
        <w:rPr>
          <w:rFonts w:ascii="Calibri" w:eastAsia="Calibri" w:hAnsi="Calibri" w:cs="Times New Roman"/>
          <w:lang w:eastAsia="en-US"/>
        </w:rPr>
      </w:pPr>
      <w:r w:rsidRPr="006047C2">
        <w:rPr>
          <w:rFonts w:ascii="Calibri" w:eastAsia="Calibri" w:hAnsi="Calibri" w:cs="Times New Roman"/>
          <w:lang w:eastAsia="en-US"/>
        </w:rPr>
        <w:lastRenderedPageBreak/>
        <w:t>3)</w:t>
      </w:r>
      <w:r w:rsidRPr="006047C2">
        <w:rPr>
          <w:rFonts w:ascii="Calibri" w:eastAsia="Calibri" w:hAnsi="Calibri" w:cs="Times New Roman"/>
          <w:lang w:eastAsia="en-US"/>
        </w:rPr>
        <w:tab/>
        <w:t xml:space="preserve">Σε περίπτωση συγχωνεύσεων ή εξαγορών, όλες οι προηγούμενες ενισχύσεις ήσσονος σημασίας που έχουν ήδη χορηγηθεί σε οποιαδήποτε από τις συγχωνευόμενες επιχειρήσεις λαμβάνονται υπόψη για να προσδιοριστεί κατά πόσο η νέα ενίσχυση ήσσονος σημασίας στη νέα ή στην </w:t>
      </w:r>
      <w:proofErr w:type="spellStart"/>
      <w:r w:rsidRPr="006047C2">
        <w:rPr>
          <w:rFonts w:ascii="Calibri" w:eastAsia="Calibri" w:hAnsi="Calibri" w:cs="Times New Roman"/>
          <w:lang w:eastAsia="en-US"/>
        </w:rPr>
        <w:t>εξαγοράζουσα</w:t>
      </w:r>
      <w:proofErr w:type="spellEnd"/>
      <w:r w:rsidRPr="006047C2">
        <w:rPr>
          <w:rFonts w:ascii="Calibri" w:eastAsia="Calibri" w:hAnsi="Calibri" w:cs="Times New Roman"/>
          <w:lang w:eastAsia="en-US"/>
        </w:rPr>
        <w:t xml:space="preserve"> επιχείρηση υπερβαίνει το σχετικό ανώτατο όριο. Οι ενισχύσεις ήσσονος σημασίας που είχαν χορηγηθεί νομίμως πριν από τη συγχώνευση ή την εξαγορά παραμένουν νόμιμες.</w:t>
      </w:r>
    </w:p>
    <w:p w14:paraId="5977CA6A" w14:textId="77777777" w:rsidR="006047C2" w:rsidRPr="006047C2" w:rsidRDefault="006047C2" w:rsidP="006047C2">
      <w:pPr>
        <w:spacing w:after="160" w:line="259" w:lineRule="auto"/>
        <w:jc w:val="both"/>
        <w:rPr>
          <w:rFonts w:ascii="Calibri" w:eastAsia="Calibri" w:hAnsi="Calibri" w:cs="Times New Roman"/>
          <w:lang w:eastAsia="en-US"/>
        </w:rPr>
      </w:pPr>
      <w:r w:rsidRPr="006047C2">
        <w:rPr>
          <w:rFonts w:ascii="Calibri" w:eastAsia="Calibri" w:hAnsi="Calibri" w:cs="Times New Roman"/>
          <w:lang w:eastAsia="en-US"/>
        </w:rPr>
        <w:t>4) Αν μια επιχείρηση διασπαστεί σε δύο ή περισσότερες χωριστές επιχειρήσεις, η ενίσχυση ήσσονος σημασίας που χορηγήθηκε πριν από τη διάσπαση καταλογίζεται στην επιχείρηση που έλαβε αυτή την ενίσχυση, η οποία είναι κατά κανόνα η επιχείρηση που ανέλαβε τις δραστηριότητες για τις οποίες χρησιμοποιήθηκε η ενίσχυση ήσσονος σημασίας. Εάν ο εν λόγω καταλογισμός δεν είναι δυνατός, οι ενισχύσεις ήσσονος σημασίας πρέπει να κατανέμονται αναλογικά με βάση τη λογιστική αξία των ιδίων κεφαλαίων των νέων επιχειρήσεων κατά την πραγματική ημερομηνία της διάσπασης.</w:t>
      </w:r>
    </w:p>
    <w:p w14:paraId="639D320D" w14:textId="77777777" w:rsidR="006047C2" w:rsidRPr="006047C2" w:rsidRDefault="006047C2" w:rsidP="006047C2">
      <w:pPr>
        <w:spacing w:after="160" w:line="259" w:lineRule="auto"/>
        <w:jc w:val="both"/>
        <w:rPr>
          <w:rFonts w:ascii="Calibri" w:eastAsia="Calibri" w:hAnsi="Calibri" w:cs="Times New Roman"/>
          <w:lang w:eastAsia="en-US"/>
        </w:rPr>
      </w:pPr>
      <w:r w:rsidRPr="006047C2">
        <w:rPr>
          <w:rFonts w:ascii="Calibri" w:eastAsia="Calibri" w:hAnsi="Calibri" w:cs="Times New Roman"/>
          <w:lang w:eastAsia="en-US"/>
        </w:rPr>
        <w:t>5) Σε περίπτωση επένδυσης από επιχείρηση που εκτελεί οδικές εμπορευματικές μεταφορές για λογαριασμό τρίτων το ποσό των ενισχύσεων δεν μπορεί να τις 100.000 ευρώ σε οποιαδήποτε περίοδο τριών οικονομικών ετών. Εάν μια επιχείρηση εκτελεί οδικές εμπορευματικές μεταφορές για λογαριασμό τρίτων, και ασκεί και άλλες δραστηριότητες για τις οποίες ισχύει το ανώτατο όριο των 200 000 ευρώ, θα ισχύει το ανώτατο όριο των 200.000 ευρώ για την επιχείρηση, με την προϋπόθεση ότι υπάρχει διαχωρισμός των δραστηριοτήτων ή διάκριση των στοιχείων του κόστους, ούτως ώστε η στήριξη της δραστηριότητας των οδικών εμπορευματικών μεταφορών να μην υπερβαίνει το ποσό των 100 000 ευρώ και να μη χρησιμοποιείται ενίσχυση ήσσονος σημασίας για την απόκτηση οχημάτων οδικών εμπορευματικών μεταφορών.</w:t>
      </w:r>
    </w:p>
    <w:p w14:paraId="20960BFE" w14:textId="77777777" w:rsidR="006047C2" w:rsidRPr="006047C2" w:rsidRDefault="006047C2" w:rsidP="006047C2">
      <w:pPr>
        <w:spacing w:after="160" w:line="259" w:lineRule="auto"/>
        <w:jc w:val="both"/>
        <w:rPr>
          <w:rFonts w:ascii="Calibri" w:eastAsia="Calibri" w:hAnsi="Calibri" w:cs="Times New Roman"/>
          <w:lang w:eastAsia="en-US"/>
        </w:rPr>
      </w:pPr>
      <w:r w:rsidRPr="006047C2">
        <w:rPr>
          <w:rFonts w:ascii="Calibri" w:eastAsia="Calibri" w:hAnsi="Calibri" w:cs="Times New Roman"/>
          <w:lang w:eastAsia="en-US"/>
        </w:rPr>
        <w:t xml:space="preserve">6) Η ενίσχυση ήσσονος σημασίας θεωρείται ότι χορηγείται κατά τον χρόνο παραχώρησης στην οικεία επιχείρηση του έννομου δικαιώματος λήψης της ενίσχυσης </w:t>
      </w:r>
    </w:p>
    <w:p w14:paraId="3756DEFF" w14:textId="77777777" w:rsidR="006047C2" w:rsidRPr="006047C2" w:rsidRDefault="006047C2" w:rsidP="006047C2">
      <w:pPr>
        <w:spacing w:after="160" w:line="259" w:lineRule="auto"/>
        <w:jc w:val="both"/>
        <w:rPr>
          <w:rFonts w:ascii="Calibri" w:eastAsia="Calibri" w:hAnsi="Calibri" w:cs="Times New Roman"/>
          <w:lang w:eastAsia="en-US"/>
        </w:rPr>
      </w:pPr>
      <w:r w:rsidRPr="006047C2">
        <w:rPr>
          <w:rFonts w:ascii="Calibri" w:eastAsia="Calibri" w:hAnsi="Calibri" w:cs="Times New Roman"/>
          <w:lang w:eastAsia="en-US"/>
        </w:rPr>
        <w:t>7) Τα ανωτέρω όρια ισχύουν υπό το πρίσμα του όρου της  «ενιαίας επιχείρησης». Στον όρο «ενιαία Επιχείρηση» περιλαμβάνονται, για τους σκοπούς του παρόντος κανονισμού, όλες οι επιχειρήσεις που έχουν τουλάχιστον μία από τις ακόλουθες σχέσεις μεταξύ τους:</w:t>
      </w:r>
    </w:p>
    <w:p w14:paraId="1AB5C0AB" w14:textId="77777777" w:rsidR="006047C2" w:rsidRPr="006047C2" w:rsidRDefault="006047C2" w:rsidP="006047C2">
      <w:pPr>
        <w:spacing w:after="160" w:line="259" w:lineRule="auto"/>
        <w:jc w:val="both"/>
        <w:rPr>
          <w:rFonts w:ascii="Calibri" w:eastAsia="Calibri" w:hAnsi="Calibri" w:cs="Times New Roman"/>
          <w:lang w:eastAsia="en-US"/>
        </w:rPr>
      </w:pPr>
      <w:r w:rsidRPr="006047C2">
        <w:rPr>
          <w:rFonts w:ascii="Calibri" w:eastAsia="Calibri" w:hAnsi="Calibri" w:cs="Times New Roman"/>
          <w:lang w:eastAsia="en-US"/>
        </w:rPr>
        <w:t>α) μια επιχείρηση κατέχει την πλειοψηφία των δικαιωμάτων ψήφου των μετόχων ή των εταίρων άλλης επιχείρησης·</w:t>
      </w:r>
    </w:p>
    <w:p w14:paraId="49AD2667" w14:textId="77777777" w:rsidR="006047C2" w:rsidRPr="006047C2" w:rsidRDefault="006047C2" w:rsidP="006047C2">
      <w:pPr>
        <w:spacing w:after="160" w:line="259" w:lineRule="auto"/>
        <w:jc w:val="both"/>
        <w:rPr>
          <w:rFonts w:ascii="Calibri" w:eastAsia="Calibri" w:hAnsi="Calibri" w:cs="Times New Roman"/>
          <w:lang w:eastAsia="en-US"/>
        </w:rPr>
      </w:pPr>
      <w:r w:rsidRPr="006047C2">
        <w:rPr>
          <w:rFonts w:ascii="Calibri" w:eastAsia="Calibri" w:hAnsi="Calibri" w:cs="Times New Roman"/>
          <w:lang w:eastAsia="en-US"/>
        </w:rPr>
        <w:t>β) μια επιχείρηση έχει το δικαίωμα να διορίζει ή να παύει την πλειοψηφία των μελών του διοικητικού, διαχειριστικού ή εποπτικού οργάνου άλλης επιχείρησης·</w:t>
      </w:r>
    </w:p>
    <w:p w14:paraId="12A725CC" w14:textId="77777777" w:rsidR="006047C2" w:rsidRPr="006047C2" w:rsidRDefault="006047C2" w:rsidP="006047C2">
      <w:pPr>
        <w:spacing w:after="160" w:line="259" w:lineRule="auto"/>
        <w:jc w:val="both"/>
        <w:rPr>
          <w:rFonts w:ascii="Calibri" w:eastAsia="Calibri" w:hAnsi="Calibri" w:cs="Times New Roman"/>
          <w:lang w:eastAsia="en-US"/>
        </w:rPr>
      </w:pPr>
      <w:r w:rsidRPr="006047C2">
        <w:rPr>
          <w:rFonts w:ascii="Calibri" w:eastAsia="Calibri" w:hAnsi="Calibri" w:cs="Times New Roman"/>
          <w:lang w:eastAsia="en-US"/>
        </w:rPr>
        <w:t>γ) μια επιχείρηση έχει το δικαίωμα να ασκεί δεσπόζουσα επιρροή σε άλλη επιχείρηση βάσει σύμβασης που έχει συνάψει με αυτήν ή δυνάμει ρήτρας του καταστατικού αυτής της τελευταίας·</w:t>
      </w:r>
    </w:p>
    <w:p w14:paraId="3161B78F" w14:textId="77777777" w:rsidR="006047C2" w:rsidRPr="006047C2" w:rsidRDefault="006047C2" w:rsidP="006047C2">
      <w:pPr>
        <w:spacing w:after="160" w:line="259" w:lineRule="auto"/>
        <w:jc w:val="both"/>
        <w:rPr>
          <w:rFonts w:ascii="Calibri" w:eastAsia="Calibri" w:hAnsi="Calibri" w:cs="Times New Roman"/>
          <w:lang w:eastAsia="en-US"/>
        </w:rPr>
      </w:pPr>
      <w:r w:rsidRPr="006047C2">
        <w:rPr>
          <w:rFonts w:ascii="Calibri" w:eastAsia="Calibri" w:hAnsi="Calibri" w:cs="Times New Roman"/>
          <w:lang w:eastAsia="en-US"/>
        </w:rPr>
        <w:t>δ) μια επιχείρηση που είναι μέτοχος ή εταίρος άλλης επιχείρησης ελέγχει μόνη της, βάσει συμφωνίας που έχει συνάψει με άλλους μετόχους ή εταίρους της εν λόγω επιχείρησης, την πλειοψηφία των δικαιωμάτων ψήφου των μετόχων ή των εταίρων αυτής της επιχείρησης.</w:t>
      </w:r>
    </w:p>
    <w:p w14:paraId="0CCBC87C" w14:textId="77777777" w:rsidR="006047C2" w:rsidRPr="006047C2" w:rsidRDefault="006047C2" w:rsidP="006047C2">
      <w:pPr>
        <w:spacing w:after="160" w:line="259" w:lineRule="auto"/>
        <w:jc w:val="both"/>
        <w:rPr>
          <w:rFonts w:ascii="Calibri" w:eastAsia="Calibri" w:hAnsi="Calibri" w:cs="Times New Roman"/>
          <w:lang w:eastAsia="en-US"/>
        </w:rPr>
      </w:pPr>
      <w:r w:rsidRPr="006047C2">
        <w:rPr>
          <w:rFonts w:ascii="Calibri" w:eastAsia="Calibri" w:hAnsi="Calibri" w:cs="Times New Roman"/>
          <w:lang w:eastAsia="en-US"/>
        </w:rPr>
        <w:t xml:space="preserve">Οι επιχειρήσεις που έχουν οποιαδήποτε από τις σχέσεις που αναφέρονται στα στοιχεία α) έως δ) του πρώτου εδαφίου με μία ή περισσότερες άλλες επιχειρήσεις θεωρούνται, επίσης ενιαία επιχείρηση. </w:t>
      </w:r>
    </w:p>
    <w:p w14:paraId="00D7073B" w14:textId="77777777" w:rsidR="006047C2" w:rsidRPr="006047C2" w:rsidRDefault="006047C2" w:rsidP="006047C2">
      <w:pPr>
        <w:spacing w:after="160" w:line="259" w:lineRule="auto"/>
        <w:jc w:val="both"/>
        <w:rPr>
          <w:rFonts w:ascii="Calibri" w:eastAsia="Calibri" w:hAnsi="Calibri" w:cs="Times New Roman"/>
          <w:lang w:eastAsia="en-US"/>
        </w:rPr>
      </w:pPr>
      <w:r w:rsidRPr="006047C2">
        <w:rPr>
          <w:rFonts w:ascii="Calibri" w:eastAsia="Calibri" w:hAnsi="Calibri" w:cs="Times New Roman"/>
          <w:lang w:eastAsia="en-US"/>
        </w:rPr>
        <w:t>8) Απαγορεύεται η σώρευση ενισχύσεων ήσσονος σημασίας με άλλες κρατικές ενισχύσεις για τις ίδιες επιλέξιμες δαπάνες ή με κρατικές ενισχύσεις για το ίδιο μέτρο χρηματοδότησης υψηλού κινδύνου, αν η σώρευση αυτή οδηγεί σε υπέρβαση της υψηλότερης σχετικής έντασης ενίσχυσης ή του ποσού ενίσχυσης που έχει καθοριστεί με βάση τα συγκεκριμένα δεδομένα κάθε περίπτωσης σε κανονισμό απαλλαγής κατά κατηγορία ή απόφαση που έχει εκδώσει η Επιτροπή.</w:t>
      </w:r>
    </w:p>
    <w:p w14:paraId="543D0F2A" w14:textId="77777777" w:rsidR="006047C2" w:rsidRPr="006047C2" w:rsidRDefault="006047C2" w:rsidP="006047C2">
      <w:pPr>
        <w:spacing w:after="160" w:line="259" w:lineRule="auto"/>
        <w:jc w:val="both"/>
        <w:rPr>
          <w:rFonts w:ascii="Calibri" w:eastAsia="Calibri" w:hAnsi="Calibri" w:cs="Times New Roman"/>
          <w:lang w:eastAsia="en-US"/>
        </w:rPr>
      </w:pPr>
      <w:r w:rsidRPr="006047C2">
        <w:rPr>
          <w:rFonts w:ascii="Calibri" w:eastAsia="Calibri" w:hAnsi="Calibri" w:cs="Times New Roman"/>
          <w:lang w:eastAsia="en-US"/>
        </w:rPr>
        <w:lastRenderedPageBreak/>
        <w:t>9) Πριν από τη χορήγηση της ενίσχυσης, το οικείο κράτος μέλος φροντίζει επίσης να λάβει από την αποδέκτρια επιχείρηση δήλωση, σε έγγραφη ή ηλεκτρονική μορφή, για οποιαδήποτε άλλη ενίσχυση ήσσονος σημασίας την οποία έλαβε η οικεία επιχείρηση βάσει του παρόντος κανονισμού ή άλλων κανονισμών για ενισχύσεις ήσσονος σημασίας κατά τα δύο προηγούμενα οικονομικά έτη και κατά το τρέχον οικονομικό έτος.</w:t>
      </w:r>
    </w:p>
    <w:p w14:paraId="457BA8F5" w14:textId="77777777" w:rsidR="006047C2" w:rsidRPr="006047C2" w:rsidRDefault="006047C2" w:rsidP="006047C2">
      <w:pPr>
        <w:spacing w:after="160" w:line="259" w:lineRule="auto"/>
        <w:jc w:val="both"/>
        <w:rPr>
          <w:rFonts w:ascii="Calibri" w:eastAsia="Calibri" w:hAnsi="Calibri" w:cs="Times New Roman"/>
          <w:lang w:eastAsia="en-US"/>
        </w:rPr>
      </w:pPr>
      <w:r w:rsidRPr="006047C2">
        <w:rPr>
          <w:rFonts w:ascii="Calibri" w:eastAsia="Calibri" w:hAnsi="Calibri" w:cs="Times New Roman"/>
          <w:lang w:eastAsia="en-US"/>
        </w:rPr>
        <w:t>10) Τα κράτη μέλη χορηγούν νέα ενίσχυση ήσσονος σημασίας σύμφωνα με τον Καν. ΕΕ 1407/2013, μόνο αφού εξακριβώσουν ότι η ενίσχυση αυτή δεν αυξάνει το συνολικό ποσό των ενισχύσεων ήσσονος σημασίας που έχουν χορηγηθεί στην οικεία επιχείρηση σε επίπεδο που υπερβαίνει το σχετικό ανώτατο όριο που καθορίζεται στο άρθρο 3 παράγραφος 2 και ότι τηρούνται όλοι οι όροι που καθορίζονται στον κανονισμό αυτό.</w:t>
      </w:r>
    </w:p>
    <w:p w14:paraId="340D971F" w14:textId="77777777" w:rsidR="006047C2" w:rsidRPr="006047C2" w:rsidRDefault="006047C2" w:rsidP="006047C2">
      <w:pPr>
        <w:spacing w:after="0"/>
        <w:rPr>
          <w:rFonts w:ascii="Calibri" w:eastAsia="Calibri" w:hAnsi="Calibri" w:cs="Times New Roman"/>
          <w:strike/>
        </w:rPr>
      </w:pPr>
    </w:p>
    <w:p w14:paraId="086B4B1E" w14:textId="77777777" w:rsidR="006047C2" w:rsidRPr="006047C2" w:rsidRDefault="006047C2" w:rsidP="006047C2">
      <w:pPr>
        <w:spacing w:after="0"/>
        <w:rPr>
          <w:rFonts w:ascii="Calibri" w:eastAsia="Calibri" w:hAnsi="Calibri" w:cs="Times New Roman"/>
          <w:strike/>
        </w:rPr>
      </w:pPr>
    </w:p>
    <w:p w14:paraId="172D82FC" w14:textId="77777777" w:rsidR="006047C2" w:rsidRPr="006047C2" w:rsidRDefault="006047C2" w:rsidP="006047C2">
      <w:pPr>
        <w:spacing w:after="0"/>
        <w:rPr>
          <w:rFonts w:ascii="Calibri" w:eastAsia="Calibri" w:hAnsi="Calibri" w:cs="Times New Roman"/>
          <w:strike/>
        </w:rPr>
      </w:pPr>
    </w:p>
    <w:p w14:paraId="4806C328" w14:textId="77777777" w:rsidR="006047C2" w:rsidRPr="006047C2" w:rsidRDefault="006047C2" w:rsidP="006047C2">
      <w:pPr>
        <w:spacing w:after="0"/>
        <w:rPr>
          <w:rFonts w:ascii="Calibri" w:eastAsia="Calibri" w:hAnsi="Calibri" w:cs="Times New Roman"/>
          <w:strike/>
        </w:rPr>
      </w:pPr>
    </w:p>
    <w:p w14:paraId="4679A58E" w14:textId="77777777" w:rsidR="006047C2" w:rsidRPr="006047C2" w:rsidRDefault="006047C2" w:rsidP="006047C2">
      <w:pPr>
        <w:spacing w:after="0"/>
        <w:rPr>
          <w:rFonts w:ascii="Calibri" w:eastAsia="Calibri" w:hAnsi="Calibri" w:cs="Times New Roman"/>
          <w:strike/>
        </w:rPr>
      </w:pPr>
    </w:p>
    <w:p w14:paraId="43D11220" w14:textId="77777777" w:rsidR="006047C2" w:rsidRPr="006047C2" w:rsidRDefault="006047C2" w:rsidP="006047C2">
      <w:pPr>
        <w:spacing w:after="0"/>
        <w:rPr>
          <w:rFonts w:ascii="Calibri" w:eastAsia="Calibri" w:hAnsi="Calibri" w:cs="Times New Roman"/>
          <w:strike/>
        </w:rPr>
      </w:pPr>
    </w:p>
    <w:p w14:paraId="46B131C9" w14:textId="77777777" w:rsidR="006047C2" w:rsidRPr="006047C2" w:rsidRDefault="006047C2" w:rsidP="006047C2">
      <w:pPr>
        <w:spacing w:after="0"/>
        <w:rPr>
          <w:rFonts w:ascii="Calibri" w:eastAsia="Calibri" w:hAnsi="Calibri" w:cs="Times New Roman"/>
          <w:strike/>
        </w:rPr>
      </w:pPr>
    </w:p>
    <w:p w14:paraId="16CFD5E5" w14:textId="77777777" w:rsidR="006047C2" w:rsidRPr="006047C2" w:rsidRDefault="006047C2" w:rsidP="006047C2">
      <w:pPr>
        <w:spacing w:after="0"/>
        <w:rPr>
          <w:rFonts w:ascii="Calibri" w:eastAsia="Calibri" w:hAnsi="Calibri" w:cs="Times New Roman"/>
          <w:strike/>
        </w:rPr>
      </w:pPr>
    </w:p>
    <w:p w14:paraId="3E4D7EEB" w14:textId="77777777" w:rsidR="006047C2" w:rsidRPr="006047C2" w:rsidRDefault="006047C2" w:rsidP="006047C2">
      <w:pPr>
        <w:spacing w:after="0"/>
        <w:rPr>
          <w:rFonts w:ascii="Calibri" w:eastAsia="Calibri" w:hAnsi="Calibri" w:cs="Times New Roman"/>
          <w:strike/>
        </w:rPr>
      </w:pPr>
    </w:p>
    <w:p w14:paraId="3E0AD736" w14:textId="77777777" w:rsidR="006047C2" w:rsidRPr="006047C2" w:rsidRDefault="006047C2" w:rsidP="006047C2">
      <w:pPr>
        <w:spacing w:after="0"/>
        <w:rPr>
          <w:rFonts w:ascii="Calibri" w:eastAsia="Calibri" w:hAnsi="Calibri" w:cs="Times New Roman"/>
          <w:strike/>
        </w:rPr>
      </w:pPr>
    </w:p>
    <w:p w14:paraId="40EF044A" w14:textId="77777777" w:rsidR="006047C2" w:rsidRPr="006047C2" w:rsidRDefault="006047C2" w:rsidP="006047C2">
      <w:pPr>
        <w:spacing w:after="0"/>
        <w:rPr>
          <w:rFonts w:ascii="Calibri" w:eastAsia="Calibri" w:hAnsi="Calibri" w:cs="Times New Roman"/>
          <w:strike/>
        </w:rPr>
      </w:pPr>
    </w:p>
    <w:p w14:paraId="2C846446" w14:textId="77777777" w:rsidR="006047C2" w:rsidRPr="006047C2" w:rsidRDefault="006047C2" w:rsidP="006047C2">
      <w:pPr>
        <w:spacing w:after="0"/>
        <w:rPr>
          <w:rFonts w:ascii="Calibri" w:eastAsia="Calibri" w:hAnsi="Calibri" w:cs="Times New Roman"/>
          <w:strike/>
        </w:rPr>
      </w:pPr>
    </w:p>
    <w:p w14:paraId="6E079FA7" w14:textId="77777777" w:rsidR="006047C2" w:rsidRPr="006047C2" w:rsidRDefault="006047C2" w:rsidP="006047C2">
      <w:pPr>
        <w:spacing w:after="0"/>
        <w:rPr>
          <w:rFonts w:ascii="Calibri" w:eastAsia="Calibri" w:hAnsi="Calibri" w:cs="Times New Roman"/>
          <w:strike/>
        </w:rPr>
      </w:pPr>
    </w:p>
    <w:p w14:paraId="7599C307" w14:textId="77777777" w:rsidR="000F15B6" w:rsidRPr="00006B49" w:rsidRDefault="000F15B6" w:rsidP="00006B49"/>
    <w:sectPr w:rsidR="000F15B6" w:rsidRPr="00006B49" w:rsidSect="00036D92">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857E62"/>
    <w:multiLevelType w:val="hybridMultilevel"/>
    <w:tmpl w:val="80CEBBC2"/>
    <w:lvl w:ilvl="0" w:tplc="04080009">
      <w:start w:val="1"/>
      <w:numFmt w:val="bullet"/>
      <w:lvlText w:val=""/>
      <w:lvlJc w:val="left"/>
      <w:pPr>
        <w:ind w:left="1429" w:hanging="360"/>
      </w:pPr>
      <w:rPr>
        <w:rFonts w:ascii="Wingdings" w:hAnsi="Wingdings"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num w:numId="1" w16cid:durableId="999590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5D9"/>
    <w:rsid w:val="00006B49"/>
    <w:rsid w:val="000F15B6"/>
    <w:rsid w:val="001355D9"/>
    <w:rsid w:val="00196503"/>
    <w:rsid w:val="00267020"/>
    <w:rsid w:val="006047C2"/>
    <w:rsid w:val="00655217"/>
    <w:rsid w:val="007A2085"/>
    <w:rsid w:val="0080630C"/>
    <w:rsid w:val="00B221E9"/>
    <w:rsid w:val="00FF282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FC7EE"/>
  <w15:docId w15:val="{3AA19222-32C9-4AD0-864F-2ADFCAF1C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630C"/>
    <w:rPr>
      <w:rFonts w:eastAsiaTheme="minorEastAsia"/>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0630C"/>
    <w:pPr>
      <w:spacing w:after="0" w:line="240" w:lineRule="auto"/>
    </w:pPr>
    <w:rPr>
      <w:rFonts w:eastAsiaTheme="minorEastAsia"/>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uiPriority w:val="99"/>
    <w:rsid w:val="0080630C"/>
    <w:rPr>
      <w:color w:val="0000FF"/>
      <w:u w:val="single"/>
    </w:rPr>
  </w:style>
  <w:style w:type="character" w:styleId="-0">
    <w:name w:val="FollowedHyperlink"/>
    <w:basedOn w:val="a0"/>
    <w:uiPriority w:val="99"/>
    <w:semiHidden/>
    <w:unhideWhenUsed/>
    <w:rsid w:val="00B221E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1103</Words>
  <Characters>5958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Theoni Sofianopoulou</dc:creator>
  <cp:lastModifiedBy>ΚΩΝΣΤΑΝΤΙΝΟΣ ΑΠΕΡΓΗΣ</cp:lastModifiedBy>
  <cp:revision>2</cp:revision>
  <dcterms:created xsi:type="dcterms:W3CDTF">2022-06-09T11:17:00Z</dcterms:created>
  <dcterms:modified xsi:type="dcterms:W3CDTF">2022-06-09T11:17:00Z</dcterms:modified>
</cp:coreProperties>
</file>