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59" w:rsidRDefault="00344C59" w:rsidP="00841CD5">
      <w:pPr>
        <w:pStyle w:val="NormalWeb"/>
        <w:shd w:val="clear" w:color="auto" w:fill="FFFFFF"/>
        <w:tabs>
          <w:tab w:val="left" w:pos="3375"/>
          <w:tab w:val="left" w:pos="3885"/>
          <w:tab w:val="right" w:pos="5686"/>
        </w:tabs>
        <w:spacing w:before="0" w:beforeAutospacing="0" w:after="225" w:afterAutospacing="0"/>
        <w:jc w:val="both"/>
        <w:rPr>
          <w:rFonts w:asciiTheme="minorHAnsi" w:hAnsiTheme="minorHAnsi" w:cstheme="minorHAnsi"/>
          <w:b/>
          <w:bCs/>
          <w:color w:val="002B56"/>
          <w:sz w:val="44"/>
          <w:szCs w:val="40"/>
        </w:rPr>
      </w:pPr>
    </w:p>
    <w:p w:rsidR="00344C59" w:rsidRDefault="00344C59" w:rsidP="00841CD5">
      <w:pPr>
        <w:pStyle w:val="NormalWeb"/>
        <w:shd w:val="clear" w:color="auto" w:fill="FFFFFF"/>
        <w:tabs>
          <w:tab w:val="left" w:pos="3375"/>
          <w:tab w:val="left" w:pos="3885"/>
          <w:tab w:val="right" w:pos="5686"/>
        </w:tabs>
        <w:spacing w:before="0" w:beforeAutospacing="0" w:after="225" w:afterAutospacing="0"/>
        <w:jc w:val="both"/>
        <w:rPr>
          <w:rFonts w:asciiTheme="minorHAnsi" w:hAnsiTheme="minorHAnsi" w:cstheme="minorHAnsi"/>
          <w:b/>
          <w:bCs/>
          <w:color w:val="002B56"/>
          <w:sz w:val="44"/>
          <w:szCs w:val="40"/>
        </w:rPr>
      </w:pPr>
    </w:p>
    <w:p w:rsidR="0064068E" w:rsidRPr="00693C8C" w:rsidRDefault="0064068E" w:rsidP="00841CD5">
      <w:pPr>
        <w:pStyle w:val="NormalWeb"/>
        <w:shd w:val="clear" w:color="auto" w:fill="FFFFFF"/>
        <w:tabs>
          <w:tab w:val="left" w:pos="3375"/>
          <w:tab w:val="left" w:pos="3885"/>
          <w:tab w:val="right" w:pos="5686"/>
        </w:tabs>
        <w:spacing w:before="0" w:beforeAutospacing="0" w:after="225" w:afterAutospacing="0"/>
        <w:jc w:val="center"/>
        <w:rPr>
          <w:rFonts w:asciiTheme="minorHAnsi" w:hAnsiTheme="minorHAnsi" w:cstheme="minorHAnsi"/>
          <w:color w:val="002B56"/>
          <w:sz w:val="44"/>
          <w:szCs w:val="40"/>
        </w:rPr>
      </w:pPr>
      <w:r w:rsidRPr="00693C8C">
        <w:rPr>
          <w:rFonts w:asciiTheme="minorHAnsi" w:hAnsiTheme="minorHAnsi" w:cstheme="minorHAnsi"/>
          <w:b/>
          <w:bCs/>
          <w:color w:val="002B56"/>
          <w:sz w:val="44"/>
          <w:szCs w:val="40"/>
        </w:rPr>
        <w:t>ΔΕΛΤΙΟ ΤΥΠΟΥ</w:t>
      </w:r>
    </w:p>
    <w:p w:rsidR="0064068E" w:rsidRDefault="000052C2" w:rsidP="00841CD5">
      <w:pPr>
        <w:pStyle w:val="NormalWeb"/>
        <w:shd w:val="clear" w:color="auto" w:fill="FFFFFF"/>
        <w:spacing w:before="0" w:beforeAutospacing="0" w:after="225" w:afterAutospacing="0"/>
        <w:jc w:val="right"/>
        <w:rPr>
          <w:rFonts w:asciiTheme="minorHAnsi" w:hAnsiTheme="minorHAnsi" w:cstheme="minorHAnsi"/>
          <w:color w:val="000000"/>
        </w:rPr>
      </w:pPr>
      <w:r w:rsidRPr="000052C2">
        <w:rPr>
          <w:rFonts w:asciiTheme="minorHAnsi" w:hAnsiTheme="minorHAnsi" w:cstheme="minorHAnsi"/>
          <w:color w:val="000000"/>
        </w:rPr>
        <w:t>Ηράκλειο</w:t>
      </w:r>
      <w:r>
        <w:rPr>
          <w:rFonts w:asciiTheme="minorHAnsi" w:hAnsiTheme="minorHAnsi" w:cstheme="minorHAnsi"/>
          <w:color w:val="000000"/>
        </w:rPr>
        <w:t>,</w:t>
      </w:r>
      <w:r w:rsidRPr="000052C2">
        <w:rPr>
          <w:rFonts w:asciiTheme="minorHAnsi" w:hAnsiTheme="minorHAnsi" w:cstheme="minorHAnsi"/>
          <w:color w:val="000000"/>
        </w:rPr>
        <w:t xml:space="preserve"> 5 Σεπτεμβρίου </w:t>
      </w:r>
      <w:r w:rsidR="0064068E" w:rsidRPr="000052C2">
        <w:rPr>
          <w:rFonts w:asciiTheme="minorHAnsi" w:hAnsiTheme="minorHAnsi" w:cstheme="minorHAnsi"/>
          <w:color w:val="000000"/>
        </w:rPr>
        <w:t>2022</w:t>
      </w:r>
    </w:p>
    <w:p w:rsidR="00AF7DFF" w:rsidRPr="000052C2" w:rsidRDefault="00AF7DFF" w:rsidP="00841CD5">
      <w:pPr>
        <w:pStyle w:val="NormalWeb"/>
        <w:shd w:val="clear" w:color="auto" w:fill="FFFFFF"/>
        <w:spacing w:before="0" w:beforeAutospacing="0" w:after="225" w:afterAutospacing="0"/>
        <w:jc w:val="both"/>
        <w:rPr>
          <w:rFonts w:asciiTheme="minorHAnsi" w:hAnsiTheme="minorHAnsi" w:cstheme="minorHAnsi"/>
        </w:rPr>
      </w:pPr>
    </w:p>
    <w:p w:rsidR="0064068E" w:rsidRPr="004B0DFC" w:rsidRDefault="00B050C0" w:rsidP="00841CD5">
      <w:pPr>
        <w:jc w:val="both"/>
        <w:rPr>
          <w:rFonts w:eastAsia="Times New Roman" w:cstheme="minorHAnsi"/>
          <w:b/>
          <w:bCs/>
          <w:color w:val="000000"/>
          <w:sz w:val="28"/>
          <w:lang w:eastAsia="en-GB"/>
        </w:rPr>
      </w:pPr>
      <w:r w:rsidRPr="004B0DFC">
        <w:rPr>
          <w:rFonts w:eastAsia="Times New Roman" w:cstheme="minorHAnsi"/>
          <w:b/>
          <w:bCs/>
          <w:color w:val="000000"/>
          <w:sz w:val="28"/>
          <w:lang w:eastAsia="en-GB"/>
        </w:rPr>
        <w:t>Συνεργασία</w:t>
      </w:r>
      <w:r w:rsidR="0064068E" w:rsidRPr="004B0DFC">
        <w:rPr>
          <w:rFonts w:eastAsia="Times New Roman" w:cstheme="minorHAnsi"/>
          <w:b/>
          <w:bCs/>
          <w:color w:val="000000"/>
          <w:sz w:val="28"/>
          <w:lang w:eastAsia="en-GB"/>
        </w:rPr>
        <w:t xml:space="preserve"> </w:t>
      </w:r>
      <w:r w:rsidRPr="004B0DFC">
        <w:rPr>
          <w:rFonts w:eastAsia="Times New Roman" w:cstheme="minorHAnsi"/>
          <w:b/>
          <w:bCs/>
          <w:color w:val="000000"/>
          <w:sz w:val="28"/>
          <w:lang w:eastAsia="en-GB"/>
        </w:rPr>
        <w:t>Υπουργείου Ναυτιλίας και Νησιωτικής Πολιτικής</w:t>
      </w:r>
      <w:r w:rsidR="0064068E" w:rsidRPr="004B0DFC">
        <w:rPr>
          <w:rFonts w:eastAsia="Times New Roman" w:cstheme="minorHAnsi"/>
          <w:b/>
          <w:bCs/>
          <w:color w:val="000000"/>
          <w:sz w:val="28"/>
          <w:lang w:eastAsia="en-GB"/>
        </w:rPr>
        <w:t xml:space="preserve"> </w:t>
      </w:r>
      <w:r w:rsidRPr="004B0DFC">
        <w:rPr>
          <w:rFonts w:eastAsia="Times New Roman" w:cstheme="minorHAnsi"/>
          <w:b/>
          <w:bCs/>
          <w:color w:val="000000"/>
          <w:sz w:val="28"/>
          <w:lang w:eastAsia="en-GB"/>
        </w:rPr>
        <w:t>με το</w:t>
      </w:r>
      <w:r w:rsidR="0064068E" w:rsidRPr="004B0DFC">
        <w:rPr>
          <w:rFonts w:eastAsia="Times New Roman" w:cstheme="minorHAnsi"/>
          <w:b/>
          <w:bCs/>
          <w:color w:val="000000"/>
          <w:sz w:val="28"/>
          <w:lang w:eastAsia="en-GB"/>
        </w:rPr>
        <w:t xml:space="preserve"> </w:t>
      </w:r>
      <w:r w:rsidRPr="004B0DFC">
        <w:rPr>
          <w:rFonts w:eastAsia="Times New Roman" w:cstheme="minorHAnsi"/>
          <w:b/>
          <w:bCs/>
          <w:color w:val="000000"/>
          <w:sz w:val="28"/>
          <w:lang w:eastAsia="en-GB"/>
        </w:rPr>
        <w:br/>
        <w:t>Ίδρυμα</w:t>
      </w:r>
      <w:r w:rsidR="009C3F47" w:rsidRPr="004B0DFC">
        <w:rPr>
          <w:rFonts w:eastAsia="Times New Roman" w:cstheme="minorHAnsi"/>
          <w:b/>
          <w:bCs/>
          <w:color w:val="000000"/>
          <w:sz w:val="28"/>
          <w:lang w:eastAsia="en-GB"/>
        </w:rPr>
        <w:t xml:space="preserve"> Τεχνολογίας </w:t>
      </w:r>
      <w:r w:rsidR="00792D89" w:rsidRPr="004B0DFC">
        <w:rPr>
          <w:rFonts w:eastAsia="Times New Roman" w:cstheme="minorHAnsi"/>
          <w:b/>
          <w:bCs/>
          <w:color w:val="000000"/>
          <w:sz w:val="28"/>
          <w:lang w:eastAsia="en-GB"/>
        </w:rPr>
        <w:t>και</w:t>
      </w:r>
      <w:r w:rsidR="009C3F47" w:rsidRPr="004B0DFC">
        <w:rPr>
          <w:rFonts w:eastAsia="Times New Roman" w:cstheme="minorHAnsi"/>
          <w:b/>
          <w:bCs/>
          <w:color w:val="000000"/>
          <w:sz w:val="28"/>
          <w:lang w:eastAsia="en-GB"/>
        </w:rPr>
        <w:t xml:space="preserve"> Έρευνας </w:t>
      </w:r>
      <w:r w:rsidR="004B0DFC" w:rsidRPr="004B0DFC">
        <w:rPr>
          <w:rFonts w:eastAsia="Times New Roman" w:cstheme="minorHAnsi"/>
          <w:b/>
          <w:bCs/>
          <w:color w:val="000000"/>
          <w:sz w:val="28"/>
          <w:lang w:eastAsia="en-GB"/>
        </w:rPr>
        <w:t>για την ασφάλεια της ναυσιπλοΐας και την υποστήριξη της επιχειρηματικότητας στα νησιά και τη ναυτιλία</w:t>
      </w:r>
    </w:p>
    <w:p w:rsidR="0064068E" w:rsidRPr="004B0DFC" w:rsidRDefault="0064068E" w:rsidP="00841CD5">
      <w:pPr>
        <w:jc w:val="both"/>
        <w:rPr>
          <w:rFonts w:eastAsia="Times New Roman" w:cstheme="minorHAnsi"/>
          <w:color w:val="000000"/>
          <w:szCs w:val="22"/>
          <w:lang w:eastAsia="en-GB"/>
        </w:rPr>
      </w:pPr>
    </w:p>
    <w:p w:rsidR="00EF066C" w:rsidRDefault="004B0DFC" w:rsidP="00841CD5">
      <w:pPr>
        <w:jc w:val="both"/>
        <w:rPr>
          <w:rFonts w:eastAsia="Times New Roman" w:cstheme="minorHAnsi"/>
          <w:color w:val="000000"/>
          <w:lang w:eastAsia="en-GB"/>
        </w:rPr>
      </w:pPr>
      <w:r>
        <w:t>Σε δύο πολύ σημαντικές στρατηγικές συνεργασίες προχώρησε το Υπουργείο Ναυτιλίας και Νησιωτικής Πολιτικής με το Ίδρυμα Τεχνολογίας και Έρευνας, με την υπογραφή προγραμματικής συμφωνίας και ειδικού μνημονίου συνεργασίας, τη Δευτέρα 5 Σεπτεμβρίου, στην έδρα του Ιδρύματος, στο Ηράκλειο Κρήτης.  </w:t>
      </w:r>
    </w:p>
    <w:p w:rsidR="00EF066C" w:rsidRPr="00DB2050" w:rsidRDefault="00EF066C" w:rsidP="00841CD5">
      <w:pPr>
        <w:jc w:val="both"/>
        <w:rPr>
          <w:rFonts w:eastAsia="Times New Roman" w:cstheme="minorHAnsi"/>
          <w:color w:val="000000"/>
          <w:lang w:eastAsia="en-GB"/>
        </w:rPr>
      </w:pPr>
    </w:p>
    <w:p w:rsidR="00AF7DFF" w:rsidRDefault="004B0DFC" w:rsidP="00841CD5">
      <w:pPr>
        <w:jc w:val="both"/>
        <w:rPr>
          <w:rFonts w:ascii="Calibri" w:hAnsi="Calibri"/>
          <w:color w:val="000000"/>
          <w:szCs w:val="22"/>
        </w:rPr>
      </w:pPr>
      <w:r>
        <w:t xml:space="preserve">Πιο συγκεκριμένα, στο πλαίσιο Προγραμματικής Σύμβασης που υπέγραψαν ο Υπουργός Ναυτιλίας και Νησιωτικής Πολιτικής κ. </w:t>
      </w:r>
      <w:r w:rsidR="00386335">
        <w:t>Γιάννης</w:t>
      </w:r>
      <w:r>
        <w:t xml:space="preserve"> </w:t>
      </w:r>
      <w:proofErr w:type="spellStart"/>
      <w:r>
        <w:t>Πλακιωτάκης</w:t>
      </w:r>
      <w:proofErr w:type="spellEnd"/>
      <w:r>
        <w:t xml:space="preserve"> και ο Πρόεδρος του ΙΤΕ </w:t>
      </w:r>
      <w:proofErr w:type="spellStart"/>
      <w:r>
        <w:t>καθ</w:t>
      </w:r>
      <w:proofErr w:type="spellEnd"/>
      <w:r>
        <w:t xml:space="preserve">. Νεκτάριος </w:t>
      </w:r>
      <w:proofErr w:type="spellStart"/>
      <w:r>
        <w:t>Ταβερναράκης</w:t>
      </w:r>
      <w:proofErr w:type="spellEnd"/>
      <w:r>
        <w:t>, το ΙΤΕ αναλαμβάνει σε συνεργασία με το Αρχηγείο του Λιμενικού Σώματος - Ελληνική Ακτοφυλακή, την υλοποίηση του έργου «ΤΑΛΩΣ– Παρακολούθηση και Πρόγνωση Ακραίου Καιρού για την Ασφάλεια της Ναυσιπλοΐας». Η ασφάλεια στις θαλάσσιες μεταφορές και η βιώσιμη ανάπτυξη του τομέα της ναυτιλίας είναι άρρηκτα συνδεδεμένες με τις καιρικές συνθήκες και τον ολοένα και πιο ακραίο καιρό στη θάλασσα, που είναι αποτέλεσμα της κλιματικής αλλαγής. Η υλοποίηση του Συστήματος ΤΑΛΩΣ επιτρέπει την παρακολούθηση και πρόγνωση ακραίου καιρού και θαλάσσιου κυματισμού, με στόχο τη βελτίωση του επιπέδου της ασφάλειας της ναυσιπλοΐας, την ενίσχυση της αποτελεσματικότητας της έρευνας και διάσωσης στη θάλασσα και τη βελτίωση της ασφάλειας λιμενικών εγκαταστάσεων, καθώς και πληρέστερη επίγνωση καιρικών</w:t>
      </w:r>
      <w:r w:rsidR="00535BFB">
        <w:t xml:space="preserve"> δεδομένων στο θαλάσσιο πεδίο.</w:t>
      </w:r>
    </w:p>
    <w:p w:rsidR="00AF7DFF" w:rsidRPr="005F6190" w:rsidRDefault="00AF7DFF" w:rsidP="00841CD5">
      <w:pPr>
        <w:jc w:val="both"/>
        <w:rPr>
          <w:rFonts w:eastAsia="Times New Roman" w:cstheme="minorHAnsi"/>
          <w:color w:val="000000"/>
          <w:lang w:eastAsia="en-GB"/>
        </w:rPr>
      </w:pPr>
    </w:p>
    <w:p w:rsidR="004B0DFC" w:rsidRDefault="004B0DFC" w:rsidP="00841CD5">
      <w:pPr>
        <w:jc w:val="both"/>
      </w:pPr>
      <w:r>
        <w:t xml:space="preserve">Το Σύστημα ΤΑΛΩΣ αποτελεί ένα καινοτόμο σύστημα παρακολούθησης του καιρού με προηγμένες τεχνικές και περιλαμβάνει  υποσύστημα πρόγνωσης που αποτελείται από πληροφοριακό </w:t>
      </w:r>
      <w:proofErr w:type="spellStart"/>
      <w:r>
        <w:t>υπερ</w:t>
      </w:r>
      <w:proofErr w:type="spellEnd"/>
      <w:r>
        <w:t xml:space="preserve">-υπολογιστικό σύστημα (High </w:t>
      </w:r>
      <w:proofErr w:type="spellStart"/>
      <w:r>
        <w:t>Performance</w:t>
      </w:r>
      <w:proofErr w:type="spellEnd"/>
      <w:r>
        <w:t xml:space="preserve"> Computer - HPC) βραχυπρόθεσμης και μεσοπρόθεσμης πρόγνωσης καιρού. Το ΙΤΕ αναλαμβάνει την προμήθεια, εγκατάσταση και λειτουργία του Συστήματος, καθώς και του εξοπλισμού διασύνδεσής του με τις υπηρεσίες του ΥΝΑΝΠ. </w:t>
      </w:r>
    </w:p>
    <w:p w:rsidR="004B0DFC" w:rsidRDefault="004B0DFC" w:rsidP="00841CD5">
      <w:pPr>
        <w:jc w:val="both"/>
      </w:pPr>
    </w:p>
    <w:p w:rsidR="005F6190" w:rsidRDefault="004B0DFC" w:rsidP="00841CD5">
      <w:pPr>
        <w:jc w:val="both"/>
        <w:rPr>
          <w:rFonts w:eastAsia="Times New Roman" w:cstheme="minorHAnsi"/>
          <w:color w:val="000000"/>
          <w:lang w:eastAsia="en-GB"/>
        </w:rPr>
      </w:pPr>
      <w:r>
        <w:t xml:space="preserve">Παράλληλα, ο Γενικός Γραμματέας Αιγαίου και Νησιωτικής Πολιτικής κ. </w:t>
      </w:r>
      <w:r w:rsidR="00386335">
        <w:t>Μανώλης</w:t>
      </w:r>
      <w:r>
        <w:t xml:space="preserve"> </w:t>
      </w:r>
      <w:proofErr w:type="spellStart"/>
      <w:r>
        <w:t>Κουτουλάκης</w:t>
      </w:r>
      <w:proofErr w:type="spellEnd"/>
      <w:r>
        <w:t xml:space="preserve"> και ο Δ/</w:t>
      </w:r>
      <w:proofErr w:type="spellStart"/>
      <w:r>
        <w:t>ντης</w:t>
      </w:r>
      <w:proofErr w:type="spellEnd"/>
      <w:r>
        <w:t xml:space="preserve"> του Δικτύου ΠΡΑΞΗ και Προϊστάμενος Οικονομικών και Διοικητικών Υπηρεσιών του ΙΤΕ, κ. Παναγιώτης Καρνιούρας, υπέγραψαν Μνημόνιο Συνεργασίας, το οποίο αφορά σε θέματα σχεδιασμού χρηματοδοτικών εργαλείων και προγραμμάτων σε εθνικό και περιφερειακό επίπεδο - στο πλαίσιο της Εθνικής </w:t>
      </w:r>
      <w:r w:rsidRPr="004B0DFC">
        <w:t>Στρατηγικής για την Ολοκληρωμένη Θαλάσσια Πολιτική στο Νησιωτικό Χώρο που εισήχθη με το ν. 4832/2021. Προβλέπεται η ανάπτυξη πρωτοβουλιών σχετικών με την έρευνα και την καινοτομία και την υποστήριξη</w:t>
      </w:r>
      <w:r>
        <w:t xml:space="preserve"> της επιχειρηματικότητας έντασης γνώσης στο χώρο της Γαλάζιας Οικονομίας, της </w:t>
      </w:r>
      <w:proofErr w:type="spellStart"/>
      <w:r>
        <w:t>Νησιωτικότητας</w:t>
      </w:r>
      <w:proofErr w:type="spellEnd"/>
      <w:r>
        <w:t xml:space="preserve"> και της Ναυτιλίας. Η συμφωνία προβλέπει, μεταξύ άλλων, τη χαρτογράφηση των αναγκών του οικοσυστήματος των φορέων της Θαλάσσιας Οικονομίας σχετικά με νέα προϊόντα, νέες τεχνολογίες και υπηρεσίες καθώς και δράσεις ενημέρωσης και εκπαίδευσης του ανθρώπινου δυναμικού.</w:t>
      </w:r>
    </w:p>
    <w:p w:rsidR="005F6190" w:rsidRDefault="005F6190" w:rsidP="00841CD5">
      <w:pPr>
        <w:jc w:val="both"/>
        <w:rPr>
          <w:rFonts w:eastAsia="Times New Roman" w:cstheme="minorHAnsi"/>
          <w:color w:val="000000"/>
          <w:lang w:eastAsia="en-GB"/>
        </w:rPr>
      </w:pPr>
    </w:p>
    <w:p w:rsidR="002D1A3F" w:rsidRDefault="004B0DFC" w:rsidP="00841CD5">
      <w:pPr>
        <w:jc w:val="both"/>
      </w:pPr>
      <w:r>
        <w:t xml:space="preserve">Σχετικά με την υπογραφή των συμφωνητικών συνεργασίας με το ΙΤΕ, ο Υπουργός κ. </w:t>
      </w:r>
      <w:r w:rsidR="00386335">
        <w:t>Γιάννης</w:t>
      </w:r>
      <w:r>
        <w:t xml:space="preserve"> </w:t>
      </w:r>
      <w:proofErr w:type="spellStart"/>
      <w:r>
        <w:t>Πλακιωτάκης</w:t>
      </w:r>
      <w:proofErr w:type="spellEnd"/>
      <w:r>
        <w:t xml:space="preserve"> δήλωσε:   </w:t>
      </w:r>
    </w:p>
    <w:p w:rsidR="003530CC" w:rsidRDefault="004B0DFC" w:rsidP="00841CD5">
      <w:pPr>
        <w:jc w:val="both"/>
        <w:rPr>
          <w:rFonts w:eastAsia="Times New Roman" w:cstheme="minorHAnsi"/>
          <w:color w:val="000000"/>
          <w:lang w:eastAsia="en-GB"/>
        </w:rPr>
      </w:pPr>
      <w:r>
        <w:t xml:space="preserve">«Με την υπογραφή δύο σημαντικών συμφωνιών με το ΙΤΕ, </w:t>
      </w:r>
      <w:r w:rsidR="00386335">
        <w:t xml:space="preserve">ένα κορυφαίο σήμερα Ίδρυμα, </w:t>
      </w:r>
      <w:r>
        <w:t xml:space="preserve">κάνουμε σήμερα ένα ακόμα αποφασιστικό βήμα για την ασφάλεια της ναυσιπλοΐας και την </w:t>
      </w:r>
      <w:r w:rsidR="00386335">
        <w:t>ενίσχυση</w:t>
      </w:r>
      <w:r>
        <w:t xml:space="preserve"> της επιχειρηματικότητας. Το σύστημα ΤΑΛΩΣ, έρχεται να καλύψει τις αυξημένες, λόγω και της κλιματικής αλλαγής, ανάγκες ασφάλειας στις θάλασσες, ενώ το Μνημόνιο προσφέρει </w:t>
      </w:r>
      <w:r w:rsidR="00386335">
        <w:t xml:space="preserve">σημαντικά </w:t>
      </w:r>
      <w:r>
        <w:t>εργαλεία</w:t>
      </w:r>
      <w:r w:rsidR="00386335">
        <w:t>,</w:t>
      </w:r>
      <w:r>
        <w:t xml:space="preserve"> ικανά να ενισχύσουν την  επιχειρηματικότητα στο νησιωτικό χώρο και τη ναυτιλία.  Πρόκειται για δύο τομείς ιδιαίτερης σημασίας, </w:t>
      </w:r>
      <w:r w:rsidR="00386335">
        <w:t>στους οποίους το Υπουργείο Ναυτιλίας και Νησιωτικής Πολιτικής δίνει πρώτη προτεραιότητα.»</w:t>
      </w:r>
    </w:p>
    <w:p w:rsidR="002D1A3F" w:rsidRDefault="002D1A3F" w:rsidP="00841CD5">
      <w:pPr>
        <w:jc w:val="both"/>
        <w:rPr>
          <w:rFonts w:eastAsia="Times New Roman" w:cstheme="minorHAnsi"/>
          <w:color w:val="000000"/>
          <w:lang w:eastAsia="en-GB"/>
        </w:rPr>
      </w:pPr>
    </w:p>
    <w:p w:rsidR="00A211AE" w:rsidRPr="00343A50" w:rsidRDefault="004414DF" w:rsidP="00841CD5">
      <w:pPr>
        <w:jc w:val="both"/>
        <w:rPr>
          <w:rFonts w:eastAsia="Times New Roman" w:cstheme="minorHAnsi"/>
          <w:color w:val="000000"/>
          <w:lang w:eastAsia="en-GB"/>
        </w:rPr>
      </w:pPr>
      <w:r>
        <w:rPr>
          <w:rFonts w:eastAsia="Times New Roman" w:cstheme="minorHAnsi"/>
          <w:color w:val="000000"/>
          <w:lang w:eastAsia="en-GB"/>
        </w:rPr>
        <w:t xml:space="preserve">Ο </w:t>
      </w:r>
      <w:r w:rsidR="00A211AE" w:rsidRPr="00693C8C">
        <w:rPr>
          <w:rFonts w:eastAsia="Times New Roman" w:cstheme="minorHAnsi"/>
          <w:color w:val="000000"/>
          <w:lang w:eastAsia="en-GB"/>
        </w:rPr>
        <w:t xml:space="preserve">Πρόεδρος του ΙΤΕ, </w:t>
      </w:r>
      <w:proofErr w:type="spellStart"/>
      <w:r w:rsidR="00A211AE" w:rsidRPr="00693C8C">
        <w:rPr>
          <w:rFonts w:eastAsia="Times New Roman" w:cstheme="minorHAnsi"/>
          <w:color w:val="000000"/>
          <w:lang w:eastAsia="en-GB"/>
        </w:rPr>
        <w:t>καθ</w:t>
      </w:r>
      <w:proofErr w:type="spellEnd"/>
      <w:r w:rsidR="00A211AE" w:rsidRPr="00693C8C">
        <w:rPr>
          <w:rFonts w:eastAsia="Times New Roman" w:cstheme="minorHAnsi"/>
          <w:color w:val="000000"/>
          <w:lang w:eastAsia="en-GB"/>
        </w:rPr>
        <w:t xml:space="preserve">. Νεκτάριος </w:t>
      </w:r>
      <w:proofErr w:type="spellStart"/>
      <w:r w:rsidR="00A211AE" w:rsidRPr="00693C8C">
        <w:rPr>
          <w:rFonts w:eastAsia="Times New Roman" w:cstheme="minorHAnsi"/>
          <w:color w:val="000000"/>
          <w:lang w:eastAsia="en-GB"/>
        </w:rPr>
        <w:t>Ταβερναράκης</w:t>
      </w:r>
      <w:proofErr w:type="spellEnd"/>
      <w:r w:rsidR="00A211AE" w:rsidRPr="00693C8C">
        <w:rPr>
          <w:rFonts w:eastAsia="Times New Roman" w:cstheme="minorHAnsi"/>
          <w:color w:val="000000"/>
          <w:lang w:eastAsia="en-GB"/>
        </w:rPr>
        <w:t>, δήλωσε σχετικά</w:t>
      </w:r>
      <w:r w:rsidRPr="004414DF">
        <w:rPr>
          <w:rFonts w:eastAsia="Times New Roman" w:cstheme="minorHAnsi"/>
          <w:color w:val="000000"/>
          <w:lang w:eastAsia="en-GB"/>
        </w:rPr>
        <w:t>:</w:t>
      </w:r>
    </w:p>
    <w:p w:rsidR="002D5E64" w:rsidRPr="002D1A3F" w:rsidRDefault="002D5E64" w:rsidP="00841CD5">
      <w:pPr>
        <w:jc w:val="both"/>
        <w:rPr>
          <w:rFonts w:eastAsia="Times New Roman"/>
          <w:szCs w:val="20"/>
        </w:rPr>
      </w:pPr>
      <w:r w:rsidRPr="002D5E64">
        <w:rPr>
          <w:rFonts w:eastAsia="Times New Roman"/>
          <w:szCs w:val="20"/>
        </w:rPr>
        <w:t>«</w:t>
      </w:r>
      <w:r w:rsidR="002D1A3F" w:rsidRPr="002D1A3F">
        <w:rPr>
          <w:rFonts w:eastAsia="Times New Roman"/>
          <w:szCs w:val="20"/>
        </w:rPr>
        <w:t>Το ΙΤΕ αποτελεί αξιόπιστο αρωγό της Πολιτείας σε θέματα μετασχηματισμού της έρευνας και της νέας γνώσης που παράγει, σε λύσεις που θεραπεύουν πάγιες και δυναμικές ανάγκες. Το σύστημα ΤΑΛΩΣ θα αξιοποιήσει την πολύτιμη τεχνογνωσία που διαθέτει το ΙΤΕ και θα ενισχύσει τις διεπιστημονικές συνεργασίες, καθώς επικεντρώνεται σε δραστηριότητες που σχετίζονται με τις ερευνητικές κατευθύνσεις διαφορετικών Ινστιτούτων του Ιδρύματος. Οι καινοτόμες αυτές συνέργειες θα συνεισφέρουν σημαντικά στη δημιουργία υψηλής προστιθέμενης αξίας, ενώ η εκτεταμένη εμπειρία που διαθέτουν</w:t>
      </w:r>
      <w:r w:rsidR="002D1A3F" w:rsidRPr="002D1A3F">
        <w:rPr>
          <w:rFonts w:eastAsia="Times New Roman"/>
          <w:szCs w:val="20"/>
          <w:lang w:val="en-US"/>
        </w:rPr>
        <w:t> </w:t>
      </w:r>
      <w:r w:rsidR="002D1A3F" w:rsidRPr="002D1A3F">
        <w:rPr>
          <w:rFonts w:eastAsia="Times New Roman"/>
          <w:szCs w:val="20"/>
        </w:rPr>
        <w:t xml:space="preserve"> οι διοικητικές δομές της Κεντρικής Διεύθυνσης του Ιδρύματος παρέχουν τα εχέγγυα για την αποτελεσματική υλοποίηση της </w:t>
      </w:r>
      <w:r w:rsidR="002D1A3F">
        <w:rPr>
          <w:rFonts w:eastAsia="Times New Roman"/>
          <w:szCs w:val="20"/>
        </w:rPr>
        <w:t>πρωτοποριακής αυτής συνεργασίας</w:t>
      </w:r>
      <w:r w:rsidR="00B53D8A">
        <w:rPr>
          <w:rFonts w:eastAsia="Times New Roman"/>
          <w:szCs w:val="20"/>
        </w:rPr>
        <w:t>.</w:t>
      </w:r>
      <w:r w:rsidRPr="002D5E64">
        <w:rPr>
          <w:rFonts w:eastAsia="Times New Roman"/>
          <w:szCs w:val="20"/>
        </w:rPr>
        <w:t>»</w:t>
      </w:r>
    </w:p>
    <w:p w:rsidR="00784834" w:rsidRPr="00784834" w:rsidRDefault="00784834" w:rsidP="00841CD5">
      <w:pPr>
        <w:jc w:val="both"/>
        <w:rPr>
          <w:rFonts w:eastAsia="Times New Roman" w:cstheme="minorHAnsi"/>
          <w:color w:val="000000"/>
          <w:lang w:eastAsia="en-GB"/>
        </w:rPr>
      </w:pPr>
    </w:p>
    <w:p w:rsidR="002D1A3F" w:rsidRDefault="002D1A3F" w:rsidP="00841CD5">
      <w:pPr>
        <w:jc w:val="both"/>
      </w:pPr>
      <w:r>
        <w:t xml:space="preserve">Επίσης, ο Γενικός Γραμματέας Αιγαίου και Νησιωτικής Πολιτικής κ. </w:t>
      </w:r>
      <w:r w:rsidR="00386335">
        <w:t>Μανώλης</w:t>
      </w:r>
      <w:r>
        <w:t xml:space="preserve"> </w:t>
      </w:r>
      <w:proofErr w:type="spellStart"/>
      <w:r>
        <w:t>Κουτουλάκης</w:t>
      </w:r>
      <w:proofErr w:type="spellEnd"/>
      <w:r>
        <w:t xml:space="preserve"> ανέφερε: </w:t>
      </w:r>
    </w:p>
    <w:p w:rsidR="00EF066C" w:rsidRDefault="002D1A3F" w:rsidP="00841CD5">
      <w:pPr>
        <w:jc w:val="both"/>
        <w:rPr>
          <w:rFonts w:eastAsia="Times New Roman" w:cstheme="minorHAnsi"/>
          <w:color w:val="000000"/>
          <w:lang w:eastAsia="en-GB"/>
        </w:rPr>
      </w:pPr>
      <w:r>
        <w:t>«Ως Γενική Γραμματεία έχουμε αναλάβει μια πολύ κρίσιμη αποστολή, να εξειδικεύσουμε και να αναδείξουμε με κάθε τρόπο, τη δυναμική αλλά και τη σημασία της Θαλάσσιας Οικονομίας στο νησιωτικό χώρο και όχι μόνο. Η συνεργασία μας με το Δίκτυο ΠΡΑΞΗ και το ΙΤΕ, αποτελεί ένδειξη εμπιστοσύνης σε φορείς με εμπειρία και διεθνή αναγνώριση, ώστε να αξιοποιήσουμε την τεράστια εμπειρία, τεχνο</w:t>
      </w:r>
      <w:r w:rsidR="00535BFB">
        <w:t>γνωσία και γνώση τους, συνδέοντά</w:t>
      </w:r>
      <w:r>
        <w:t>ς τα με την εθνική μας προσπάθεια να ενοποιήσουμε το ελληνικό οικοσύστημα της καινοτομίας στον τομέα της ναυτιλίας, της νησιωτικής καινοτόμου επιχειρηματικότητας</w:t>
      </w:r>
      <w:r w:rsidR="00B53D8A">
        <w:t xml:space="preserve"> και των γαλάζιων επαγγελμάτων.»</w:t>
      </w:r>
      <w:r>
        <w:t xml:space="preserve">  </w:t>
      </w:r>
    </w:p>
    <w:p w:rsidR="002D1A3F" w:rsidRDefault="002D1A3F" w:rsidP="00841CD5">
      <w:pPr>
        <w:jc w:val="both"/>
        <w:rPr>
          <w:rFonts w:eastAsia="Times New Roman" w:cstheme="minorHAnsi"/>
          <w:color w:val="000000"/>
          <w:lang w:eastAsia="en-GB"/>
        </w:rPr>
      </w:pPr>
    </w:p>
    <w:p w:rsidR="00EF066C" w:rsidRDefault="00EF066C" w:rsidP="00841CD5">
      <w:pPr>
        <w:jc w:val="both"/>
        <w:rPr>
          <w:rFonts w:eastAsia="Times New Roman" w:cstheme="minorHAnsi"/>
          <w:color w:val="000000"/>
          <w:lang w:eastAsia="en-GB"/>
        </w:rPr>
      </w:pPr>
      <w:r>
        <w:rPr>
          <w:rFonts w:eastAsia="Times New Roman" w:cstheme="minorHAnsi"/>
          <w:color w:val="000000"/>
          <w:lang w:eastAsia="en-GB"/>
        </w:rPr>
        <w:t>Ο</w:t>
      </w:r>
      <w:r w:rsidRPr="00EF066C">
        <w:rPr>
          <w:rFonts w:eastAsia="Times New Roman" w:cstheme="minorHAnsi"/>
          <w:color w:val="000000"/>
          <w:lang w:eastAsia="en-GB"/>
        </w:rPr>
        <w:t xml:space="preserve"> κ. Παναγιώτης Καρνιούρας</w:t>
      </w:r>
      <w:r>
        <w:rPr>
          <w:rFonts w:eastAsia="Times New Roman" w:cstheme="minorHAnsi"/>
          <w:color w:val="000000"/>
          <w:lang w:eastAsia="en-GB"/>
        </w:rPr>
        <w:t>,</w:t>
      </w:r>
      <w:r w:rsidRPr="00EF066C">
        <w:rPr>
          <w:rFonts w:eastAsia="Times New Roman" w:cstheme="minorHAnsi"/>
          <w:color w:val="000000"/>
          <w:lang w:eastAsia="en-GB"/>
        </w:rPr>
        <w:t xml:space="preserve"> </w:t>
      </w:r>
      <w:r w:rsidR="00784834">
        <w:rPr>
          <w:rFonts w:eastAsia="Times New Roman" w:cstheme="minorHAnsi"/>
          <w:color w:val="000000"/>
          <w:lang w:eastAsia="en-GB"/>
        </w:rPr>
        <w:t xml:space="preserve">Διευθυντής του Δικτύου ΠΡΑΞΗ και </w:t>
      </w:r>
      <w:r w:rsidRPr="00EF066C">
        <w:rPr>
          <w:rFonts w:eastAsia="Times New Roman" w:cstheme="minorHAnsi"/>
          <w:color w:val="000000"/>
          <w:lang w:eastAsia="en-GB"/>
        </w:rPr>
        <w:t xml:space="preserve">Προϊστάμενος Οικονομικών και Διοικητικών Υπηρεσιών του ΙΤΕ, </w:t>
      </w:r>
      <w:r w:rsidR="00AA12D3">
        <w:rPr>
          <w:rFonts w:eastAsia="Times New Roman" w:cstheme="minorHAnsi"/>
          <w:color w:val="000000"/>
          <w:lang w:eastAsia="en-GB"/>
        </w:rPr>
        <w:t>ανέφερε σχετικά:</w:t>
      </w:r>
    </w:p>
    <w:p w:rsidR="00E114D8" w:rsidRPr="00E114D8" w:rsidRDefault="00E114D8" w:rsidP="00841CD5">
      <w:pPr>
        <w:jc w:val="both"/>
        <w:rPr>
          <w:sz w:val="22"/>
          <w:szCs w:val="22"/>
        </w:rPr>
      </w:pPr>
      <w:r w:rsidRPr="00E114D8">
        <w:t xml:space="preserve">«Με το Μνημόνιο Συνεργασίας τίθενται οι βάσεις για τη </w:t>
      </w:r>
      <w:proofErr w:type="spellStart"/>
      <w:r w:rsidRPr="00E114D8">
        <w:t>στοχευμένη</w:t>
      </w:r>
      <w:proofErr w:type="spellEnd"/>
      <w:r w:rsidRPr="00E114D8">
        <w:t xml:space="preserve">, συστηματική και συντονισμένη υποστήριξη των αναγκών της ναυτιλιακής/ναυπηγοεπισκευαστικής κοινότητας/ </w:t>
      </w:r>
      <w:r w:rsidRPr="00E114D8">
        <w:lastRenderedPageBreak/>
        <w:t>κοινότητας κατασκευαστών ναυτιλιακού υλικού σχετικά με νέα προϊόντα, νέες τεχνολογίες και υπηρεσίες που βασίζονται και αξιοποιούν τη νέα γνώση. Το ΙΤΕ θα λειτουργήσει ως καταλύτης στη διαδικασία της κινητοποίησης της κοινότητας αυτής και θα υποστηρίξει με την τεχνογνωσία και τα δίκτυά του την ανάπτυξη ικανοτήτων και την ενίσχυση της ανταγωνιστικότητας, όλων των φορέων που δραστηριοποιούνται στο χώρο της Γαλάζιας Οικονομίας</w:t>
      </w:r>
      <w:r w:rsidR="00B53D8A">
        <w:t>.</w:t>
      </w:r>
      <w:r w:rsidRPr="00E114D8">
        <w:t>»</w:t>
      </w:r>
    </w:p>
    <w:p w:rsidR="00500379" w:rsidRDefault="00500379" w:rsidP="00841CD5">
      <w:pPr>
        <w:spacing w:after="160" w:line="259" w:lineRule="auto"/>
        <w:jc w:val="both"/>
        <w:rPr>
          <w:color w:val="1F497D"/>
        </w:rPr>
      </w:pPr>
    </w:p>
    <w:p w:rsidR="00500379" w:rsidRPr="00B53D8A" w:rsidRDefault="00500379" w:rsidP="00841CD5">
      <w:pPr>
        <w:spacing w:after="160" w:line="259" w:lineRule="auto"/>
        <w:jc w:val="both"/>
        <w:rPr>
          <w:color w:val="1F497D"/>
        </w:rPr>
      </w:pPr>
    </w:p>
    <w:p w:rsidR="00500379" w:rsidRDefault="00500379" w:rsidP="00841CD5">
      <w:pPr>
        <w:spacing w:after="160" w:line="259" w:lineRule="auto"/>
        <w:jc w:val="both"/>
        <w:rPr>
          <w:color w:val="1F497D"/>
        </w:rPr>
      </w:pPr>
    </w:p>
    <w:p w:rsidR="0064068E" w:rsidRPr="005C3845" w:rsidRDefault="0064068E" w:rsidP="00841CD5">
      <w:pPr>
        <w:rPr>
          <w:rFonts w:eastAsia="Times New Roman" w:cstheme="minorHAnsi"/>
          <w:i/>
          <w:iCs/>
          <w:color w:val="000000"/>
          <w:sz w:val="20"/>
          <w:szCs w:val="18"/>
          <w:lang w:eastAsia="en-GB"/>
        </w:rPr>
      </w:pPr>
      <w:r w:rsidRPr="00693C8C">
        <w:rPr>
          <w:rFonts w:eastAsia="Times New Roman" w:cstheme="minorHAnsi"/>
          <w:i/>
          <w:iCs/>
          <w:color w:val="000000"/>
          <w:sz w:val="20"/>
          <w:szCs w:val="18"/>
          <w:u w:val="single"/>
          <w:lang w:eastAsia="en-GB"/>
        </w:rPr>
        <w:t xml:space="preserve">Λίγα λόγια για το ΙΤΕ </w:t>
      </w:r>
      <w:r w:rsidR="005C3845">
        <w:rPr>
          <w:rFonts w:eastAsia="Times New Roman" w:cstheme="minorHAnsi"/>
          <w:i/>
          <w:iCs/>
          <w:color w:val="000000"/>
          <w:sz w:val="20"/>
          <w:szCs w:val="18"/>
          <w:u w:val="single"/>
          <w:lang w:eastAsia="en-GB"/>
        </w:rPr>
        <w:br/>
      </w:r>
      <w:r w:rsidRPr="00693C8C">
        <w:rPr>
          <w:rFonts w:cstheme="minorHAnsi"/>
          <w:sz w:val="20"/>
          <w:szCs w:val="20"/>
        </w:rPr>
        <w:t xml:space="preserve">Το Ίδρυμα Τεχνολογίας και Έρευνας (ΙΤΕ) ιδρύθηκε το 1983 και είναι ένα από τα μεγαλύτερα και πιο άρτια οργανωμένα ερευνητικά κέντρα της χώρας, με διεθνή αναγνώριση και προσωπικό υψηλών δεξιοτήτων. Το Ίδρυμα αποτελείται από </w:t>
      </w:r>
      <w:r w:rsidR="003B1A1E" w:rsidRPr="003B1A1E">
        <w:rPr>
          <w:rFonts w:cstheme="minorHAnsi"/>
          <w:sz w:val="20"/>
          <w:szCs w:val="20"/>
        </w:rPr>
        <w:t>10</w:t>
      </w:r>
      <w:bookmarkStart w:id="0" w:name="_GoBack"/>
      <w:bookmarkEnd w:id="0"/>
      <w:r w:rsidRPr="00693C8C">
        <w:rPr>
          <w:rFonts w:cstheme="minorHAnsi"/>
          <w:sz w:val="20"/>
          <w:szCs w:val="20"/>
        </w:rPr>
        <w:t xml:space="preserve"> ερευνητικά Ινστιτούτα, απασχολεί 1550 εργαζόμενους και επικεντρώνεται σε νέες </w:t>
      </w:r>
      <w:proofErr w:type="spellStart"/>
      <w:r w:rsidRPr="00693C8C">
        <w:rPr>
          <w:rFonts w:cstheme="minorHAnsi"/>
          <w:sz w:val="20"/>
          <w:szCs w:val="20"/>
        </w:rPr>
        <w:t>διατμηματικές</w:t>
      </w:r>
      <w:proofErr w:type="spellEnd"/>
      <w:r w:rsidRPr="00693C8C">
        <w:rPr>
          <w:rFonts w:cstheme="minorHAnsi"/>
          <w:sz w:val="20"/>
          <w:szCs w:val="20"/>
        </w:rPr>
        <w:t xml:space="preserve"> ερευνητικές κατευθύνσεις μεγάλου επιστημονικού, κοινωνικού και οικονομικού ενδιαφέροντος </w:t>
      </w:r>
      <w:r w:rsidRPr="00693C8C">
        <w:rPr>
          <w:rStyle w:val="fontstyle01"/>
          <w:rFonts w:asciiTheme="minorHAnsi" w:hAnsiTheme="minorHAnsi" w:cstheme="minorHAnsi"/>
          <w:color w:val="auto"/>
          <w:sz w:val="20"/>
          <w:szCs w:val="20"/>
        </w:rPr>
        <w:t>και υψηλής προστιθέμενης αξίας, όπως:</w:t>
      </w:r>
      <w:r w:rsidRPr="00693C8C">
        <w:rPr>
          <w:rFonts w:cstheme="minorHAnsi"/>
          <w:sz w:val="20"/>
          <w:szCs w:val="20"/>
        </w:rPr>
        <w:t xml:space="preserve"> Επιστήμη Λέιζερ και </w:t>
      </w:r>
      <w:proofErr w:type="spellStart"/>
      <w:r w:rsidRPr="00693C8C">
        <w:rPr>
          <w:rFonts w:cstheme="minorHAnsi"/>
          <w:sz w:val="20"/>
          <w:szCs w:val="20"/>
        </w:rPr>
        <w:t>Φωτονικής</w:t>
      </w:r>
      <w:proofErr w:type="spellEnd"/>
      <w:r w:rsidRPr="00693C8C">
        <w:rPr>
          <w:rFonts w:cstheme="minorHAnsi"/>
          <w:sz w:val="20"/>
          <w:szCs w:val="20"/>
        </w:rPr>
        <w:t xml:space="preserve">, </w:t>
      </w:r>
      <w:proofErr w:type="spellStart"/>
      <w:r w:rsidRPr="00693C8C">
        <w:rPr>
          <w:rStyle w:val="fontstyle01"/>
          <w:rFonts w:asciiTheme="minorHAnsi" w:hAnsiTheme="minorHAnsi" w:cstheme="minorHAnsi"/>
          <w:color w:val="auto"/>
          <w:sz w:val="20"/>
          <w:szCs w:val="20"/>
        </w:rPr>
        <w:t>Μικρο</w:t>
      </w:r>
      <w:proofErr w:type="spellEnd"/>
      <w:r w:rsidRPr="00693C8C">
        <w:rPr>
          <w:rStyle w:val="fontstyle01"/>
          <w:rFonts w:asciiTheme="minorHAnsi" w:hAnsiTheme="minorHAnsi" w:cstheme="minorHAnsi"/>
          <w:color w:val="auto"/>
          <w:sz w:val="20"/>
          <w:szCs w:val="20"/>
        </w:rPr>
        <w:t>/</w:t>
      </w:r>
      <w:proofErr w:type="spellStart"/>
      <w:r w:rsidRPr="00693C8C">
        <w:rPr>
          <w:rStyle w:val="fontstyle01"/>
          <w:rFonts w:asciiTheme="minorHAnsi" w:hAnsiTheme="minorHAnsi" w:cstheme="minorHAnsi"/>
          <w:color w:val="auto"/>
          <w:sz w:val="20"/>
          <w:szCs w:val="20"/>
        </w:rPr>
        <w:t>Νανο</w:t>
      </w:r>
      <w:proofErr w:type="spellEnd"/>
      <w:r w:rsidRPr="00693C8C">
        <w:rPr>
          <w:rStyle w:val="fontstyle01"/>
          <w:rFonts w:asciiTheme="minorHAnsi" w:hAnsiTheme="minorHAnsi" w:cstheme="minorHAnsi"/>
          <w:color w:val="auto"/>
          <w:sz w:val="20"/>
          <w:szCs w:val="20"/>
        </w:rPr>
        <w:t>-ηλεκτρονική, Προηγμένα Υλικά, Μοριακή Βιολογία και Γενετική,</w:t>
      </w:r>
      <w:r w:rsidRPr="00693C8C">
        <w:rPr>
          <w:rFonts w:cstheme="minorHAnsi"/>
          <w:sz w:val="20"/>
          <w:szCs w:val="20"/>
        </w:rPr>
        <w:t xml:space="preserve"> </w:t>
      </w:r>
      <w:proofErr w:type="spellStart"/>
      <w:r w:rsidRPr="00693C8C">
        <w:rPr>
          <w:rFonts w:cstheme="minorHAnsi"/>
          <w:sz w:val="20"/>
          <w:szCs w:val="20"/>
        </w:rPr>
        <w:t>Βιοϊατρική</w:t>
      </w:r>
      <w:proofErr w:type="spellEnd"/>
      <w:r w:rsidRPr="00693C8C">
        <w:rPr>
          <w:rFonts w:cstheme="minorHAnsi"/>
          <w:sz w:val="20"/>
          <w:szCs w:val="20"/>
        </w:rPr>
        <w:t xml:space="preserve">, </w:t>
      </w:r>
      <w:r w:rsidRPr="00693C8C">
        <w:rPr>
          <w:rStyle w:val="fontstyle01"/>
          <w:rFonts w:asciiTheme="minorHAnsi" w:hAnsiTheme="minorHAnsi" w:cstheme="minorHAnsi"/>
          <w:color w:val="auto"/>
          <w:sz w:val="20"/>
          <w:szCs w:val="20"/>
        </w:rPr>
        <w:t xml:space="preserve">Βιοτεχνολογία, Ιατρική Ακριβείας, Βιολογία Συστημάτων, Πληροφορική, </w:t>
      </w:r>
      <w:proofErr w:type="spellStart"/>
      <w:r w:rsidRPr="00693C8C">
        <w:rPr>
          <w:rStyle w:val="fontstyle01"/>
          <w:rFonts w:asciiTheme="minorHAnsi" w:hAnsiTheme="minorHAnsi" w:cstheme="minorHAnsi"/>
          <w:color w:val="auto"/>
          <w:sz w:val="20"/>
          <w:szCs w:val="20"/>
        </w:rPr>
        <w:t>Βιοπληροφορική</w:t>
      </w:r>
      <w:proofErr w:type="spellEnd"/>
      <w:r w:rsidRPr="00693C8C">
        <w:rPr>
          <w:rStyle w:val="fontstyle01"/>
          <w:rFonts w:asciiTheme="minorHAnsi" w:hAnsiTheme="minorHAnsi" w:cstheme="minorHAnsi"/>
          <w:color w:val="auto"/>
          <w:sz w:val="20"/>
          <w:szCs w:val="20"/>
        </w:rPr>
        <w:t>, Ρομποτική, Τηλεπικοινωνίες,</w:t>
      </w:r>
      <w:r w:rsidRPr="00693C8C">
        <w:rPr>
          <w:rFonts w:cstheme="minorHAnsi"/>
          <w:sz w:val="20"/>
          <w:szCs w:val="20"/>
        </w:rPr>
        <w:t xml:space="preserve"> </w:t>
      </w:r>
      <w:r w:rsidRPr="00693C8C">
        <w:rPr>
          <w:rStyle w:val="fontstyle01"/>
          <w:rFonts w:asciiTheme="minorHAnsi" w:hAnsiTheme="minorHAnsi" w:cstheme="minorHAnsi"/>
          <w:color w:val="auto"/>
          <w:sz w:val="20"/>
          <w:szCs w:val="20"/>
        </w:rPr>
        <w:t>Εφαρμοσμένα και Υπολογιστικά Μαθηματικά, Χημική Μηχανική, Ενέργεια, Περιβάλλον, Κοινωνικές</w:t>
      </w:r>
      <w:r w:rsidRPr="00693C8C">
        <w:rPr>
          <w:rFonts w:cstheme="minorHAnsi"/>
          <w:sz w:val="20"/>
          <w:szCs w:val="20"/>
        </w:rPr>
        <w:t xml:space="preserve"> </w:t>
      </w:r>
      <w:r w:rsidRPr="00693C8C">
        <w:rPr>
          <w:rStyle w:val="fontstyle01"/>
          <w:rFonts w:asciiTheme="minorHAnsi" w:hAnsiTheme="minorHAnsi" w:cstheme="minorHAnsi"/>
          <w:color w:val="auto"/>
          <w:sz w:val="20"/>
          <w:szCs w:val="20"/>
        </w:rPr>
        <w:t xml:space="preserve">Επιστήμες, Αστροφυσική και Αστρονομία. </w:t>
      </w:r>
      <w:r w:rsidRPr="00693C8C">
        <w:rPr>
          <w:rFonts w:cstheme="minorHAnsi"/>
          <w:sz w:val="20"/>
          <w:szCs w:val="20"/>
        </w:rPr>
        <w:t xml:space="preserve">Κατατάσσεται </w:t>
      </w:r>
      <w:r w:rsidRPr="00693C8C">
        <w:rPr>
          <w:rFonts w:cstheme="minorHAnsi"/>
          <w:bCs/>
          <w:sz w:val="20"/>
          <w:szCs w:val="20"/>
        </w:rPr>
        <w:t>1</w:t>
      </w:r>
      <w:r w:rsidRPr="00693C8C">
        <w:rPr>
          <w:rFonts w:cstheme="minorHAnsi"/>
          <w:bCs/>
          <w:sz w:val="20"/>
          <w:szCs w:val="20"/>
          <w:vertAlign w:val="superscript"/>
        </w:rPr>
        <w:t>ο</w:t>
      </w:r>
      <w:r w:rsidRPr="00693C8C">
        <w:rPr>
          <w:rFonts w:cstheme="minorHAnsi"/>
          <w:sz w:val="20"/>
          <w:szCs w:val="20"/>
        </w:rPr>
        <w:t xml:space="preserve"> μεταξύ των Ερευνητικών Κέντρων της Ελλάδας, </w:t>
      </w:r>
      <w:r w:rsidR="000D1A58" w:rsidRPr="00693C8C">
        <w:rPr>
          <w:rFonts w:cstheme="minorHAnsi"/>
          <w:sz w:val="20"/>
          <w:szCs w:val="20"/>
        </w:rPr>
        <w:t>σε εθνικές και διεθνείς αξιολογήσεις (</w:t>
      </w:r>
      <w:r w:rsidRPr="00693C8C">
        <w:rPr>
          <w:rFonts w:cstheme="minorHAnsi"/>
          <w:sz w:val="20"/>
          <w:szCs w:val="20"/>
        </w:rPr>
        <w:t>Ευρωπαϊκή Επιτροπή</w:t>
      </w:r>
      <w:r w:rsidR="000D1A58" w:rsidRPr="00693C8C">
        <w:rPr>
          <w:rFonts w:cstheme="minorHAnsi"/>
          <w:sz w:val="20"/>
          <w:szCs w:val="20"/>
        </w:rPr>
        <w:t xml:space="preserve">, </w:t>
      </w:r>
      <w:r w:rsidRPr="00693C8C">
        <w:rPr>
          <w:rFonts w:cstheme="minorHAnsi"/>
          <w:sz w:val="20"/>
          <w:szCs w:val="20"/>
          <w:lang w:val="en-US"/>
        </w:rPr>
        <w:t>Nature</w:t>
      </w:r>
      <w:r w:rsidRPr="00693C8C">
        <w:rPr>
          <w:rFonts w:cstheme="minorHAnsi"/>
          <w:sz w:val="20"/>
          <w:szCs w:val="20"/>
        </w:rPr>
        <w:t xml:space="preserve"> </w:t>
      </w:r>
      <w:r w:rsidRPr="00693C8C">
        <w:rPr>
          <w:rFonts w:cstheme="minorHAnsi"/>
          <w:sz w:val="20"/>
          <w:szCs w:val="20"/>
          <w:lang w:val="en-US"/>
        </w:rPr>
        <w:t>INDEX</w:t>
      </w:r>
      <w:r w:rsidRPr="00693C8C">
        <w:rPr>
          <w:rFonts w:cstheme="minorHAnsi"/>
          <w:sz w:val="20"/>
          <w:szCs w:val="20"/>
        </w:rPr>
        <w:t xml:space="preserve">, </w:t>
      </w:r>
      <w:r w:rsidRPr="00693C8C">
        <w:rPr>
          <w:rFonts w:cstheme="minorHAnsi"/>
          <w:sz w:val="20"/>
          <w:szCs w:val="20"/>
          <w:lang w:val="en-US"/>
        </w:rPr>
        <w:t>Ranking</w:t>
      </w:r>
      <w:r w:rsidRPr="00693C8C">
        <w:rPr>
          <w:rFonts w:cstheme="minorHAnsi"/>
          <w:sz w:val="20"/>
          <w:szCs w:val="20"/>
        </w:rPr>
        <w:t xml:space="preserve"> </w:t>
      </w:r>
      <w:r w:rsidRPr="00693C8C">
        <w:rPr>
          <w:rFonts w:cstheme="minorHAnsi"/>
          <w:sz w:val="20"/>
          <w:szCs w:val="20"/>
          <w:lang w:val="en-US"/>
        </w:rPr>
        <w:t>Web</w:t>
      </w:r>
      <w:r w:rsidRPr="00693C8C">
        <w:rPr>
          <w:rFonts w:cstheme="minorHAnsi"/>
          <w:sz w:val="20"/>
          <w:szCs w:val="20"/>
        </w:rPr>
        <w:t xml:space="preserve"> </w:t>
      </w:r>
      <w:r w:rsidRPr="00693C8C">
        <w:rPr>
          <w:rFonts w:cstheme="minorHAnsi"/>
          <w:sz w:val="20"/>
          <w:szCs w:val="20"/>
          <w:lang w:val="en-US"/>
        </w:rPr>
        <w:t>of</w:t>
      </w:r>
      <w:r w:rsidRPr="00693C8C">
        <w:rPr>
          <w:rFonts w:cstheme="minorHAnsi"/>
          <w:sz w:val="20"/>
          <w:szCs w:val="20"/>
        </w:rPr>
        <w:t xml:space="preserve"> </w:t>
      </w:r>
      <w:r w:rsidRPr="00693C8C">
        <w:rPr>
          <w:rFonts w:cstheme="minorHAnsi"/>
          <w:sz w:val="20"/>
          <w:szCs w:val="20"/>
          <w:lang w:val="en-US"/>
        </w:rPr>
        <w:t>Research</w:t>
      </w:r>
      <w:r w:rsidRPr="00693C8C">
        <w:rPr>
          <w:rFonts w:cstheme="minorHAnsi"/>
          <w:sz w:val="20"/>
          <w:szCs w:val="20"/>
        </w:rPr>
        <w:t xml:space="preserve"> </w:t>
      </w:r>
      <w:r w:rsidRPr="00693C8C">
        <w:rPr>
          <w:rFonts w:cstheme="minorHAnsi"/>
          <w:sz w:val="20"/>
          <w:szCs w:val="20"/>
          <w:lang w:val="en-US"/>
        </w:rPr>
        <w:t>Centers</w:t>
      </w:r>
      <w:r w:rsidRPr="00693C8C">
        <w:rPr>
          <w:rFonts w:cstheme="minorHAnsi"/>
          <w:sz w:val="20"/>
          <w:szCs w:val="20"/>
        </w:rPr>
        <w:t>).</w:t>
      </w:r>
      <w:r w:rsidR="00E577BB" w:rsidRPr="00693C8C">
        <w:rPr>
          <w:rFonts w:cstheme="minorHAnsi"/>
          <w:sz w:val="20"/>
          <w:szCs w:val="20"/>
        </w:rPr>
        <w:t xml:space="preserve"> </w:t>
      </w:r>
      <w:r w:rsidRPr="00693C8C">
        <w:rPr>
          <w:rFonts w:cstheme="minorHAnsi"/>
          <w:sz w:val="20"/>
          <w:szCs w:val="20"/>
        </w:rPr>
        <w:t>Οι ερευνητές του ΙΤΕ έχουν εξασφαλίσει εξαιρετικά ανταγωνιστικές χρηματοδοτήσεις:</w:t>
      </w:r>
      <w:r w:rsidR="000D1A58" w:rsidRPr="00693C8C">
        <w:rPr>
          <w:rFonts w:cstheme="minorHAnsi"/>
          <w:sz w:val="20"/>
          <w:szCs w:val="20"/>
        </w:rPr>
        <w:t xml:space="preserve"> </w:t>
      </w:r>
      <w:r w:rsidRPr="00693C8C">
        <w:rPr>
          <w:rFonts w:cstheme="minorHAnsi"/>
          <w:bCs/>
          <w:sz w:val="20"/>
          <w:szCs w:val="20"/>
        </w:rPr>
        <w:t>3</w:t>
      </w:r>
      <w:r w:rsidR="000D1A58" w:rsidRPr="00693C8C">
        <w:rPr>
          <w:rFonts w:cstheme="minorHAnsi"/>
          <w:bCs/>
          <w:sz w:val="20"/>
          <w:szCs w:val="20"/>
        </w:rPr>
        <w:t>5</w:t>
      </w:r>
      <w:r w:rsidRPr="00693C8C">
        <w:rPr>
          <w:rFonts w:cstheme="minorHAnsi"/>
          <w:sz w:val="20"/>
          <w:szCs w:val="20"/>
        </w:rPr>
        <w:t xml:space="preserve"> Προγράμματα </w:t>
      </w:r>
      <w:r w:rsidRPr="00693C8C">
        <w:rPr>
          <w:rFonts w:cstheme="minorHAnsi"/>
          <w:i/>
          <w:iCs/>
          <w:sz w:val="20"/>
          <w:szCs w:val="20"/>
          <w:lang w:val="en-US"/>
        </w:rPr>
        <w:t>ERC</w:t>
      </w:r>
      <w:r w:rsidRPr="00693C8C">
        <w:rPr>
          <w:rFonts w:cstheme="minorHAnsi"/>
          <w:sz w:val="20"/>
          <w:szCs w:val="20"/>
        </w:rPr>
        <w:t xml:space="preserve">, </w:t>
      </w:r>
      <w:r w:rsidRPr="00693C8C">
        <w:rPr>
          <w:rFonts w:cstheme="minorHAnsi"/>
          <w:bCs/>
          <w:sz w:val="20"/>
          <w:szCs w:val="20"/>
        </w:rPr>
        <w:t>170</w:t>
      </w:r>
      <w:r w:rsidRPr="00693C8C">
        <w:rPr>
          <w:rFonts w:cstheme="minorHAnsi"/>
          <w:sz w:val="20"/>
          <w:szCs w:val="20"/>
        </w:rPr>
        <w:t xml:space="preserve"> Έργα </w:t>
      </w:r>
      <w:r w:rsidRPr="00693C8C">
        <w:rPr>
          <w:rFonts w:cstheme="minorHAnsi"/>
          <w:i/>
          <w:iCs/>
          <w:sz w:val="20"/>
          <w:szCs w:val="20"/>
          <w:lang w:val="en-US"/>
        </w:rPr>
        <w:t>Marie</w:t>
      </w:r>
      <w:r w:rsidRPr="00693C8C">
        <w:rPr>
          <w:rFonts w:cstheme="minorHAnsi"/>
          <w:i/>
          <w:iCs/>
          <w:sz w:val="20"/>
          <w:szCs w:val="20"/>
        </w:rPr>
        <w:t>-</w:t>
      </w:r>
      <w:r w:rsidRPr="00693C8C">
        <w:rPr>
          <w:rFonts w:cstheme="minorHAnsi"/>
          <w:i/>
          <w:iCs/>
          <w:sz w:val="20"/>
          <w:szCs w:val="20"/>
          <w:lang w:val="en-US"/>
        </w:rPr>
        <w:t>Curie</w:t>
      </w:r>
      <w:r w:rsidRPr="00693C8C">
        <w:rPr>
          <w:rFonts w:cstheme="minorHAnsi"/>
          <w:sz w:val="20"/>
          <w:szCs w:val="20"/>
        </w:rPr>
        <w:t xml:space="preserve"> και πολλές άλλες διεθνείς διακρίσεις.</w:t>
      </w:r>
    </w:p>
    <w:p w:rsidR="00E577BB" w:rsidRPr="00693C8C" w:rsidRDefault="00E577BB" w:rsidP="00841CD5">
      <w:pPr>
        <w:jc w:val="both"/>
        <w:rPr>
          <w:rFonts w:eastAsia="Times New Roman" w:cstheme="minorHAnsi"/>
          <w:color w:val="000000"/>
          <w:szCs w:val="22"/>
          <w:lang w:eastAsia="en-GB"/>
        </w:rPr>
      </w:pPr>
    </w:p>
    <w:sectPr w:rsidR="00E577BB" w:rsidRPr="00693C8C" w:rsidSect="00DB2050">
      <w:headerReference w:type="first" r:id="rId7"/>
      <w:footerReference w:type="first" r:id="rId8"/>
      <w:pgSz w:w="12240" w:h="15840"/>
      <w:pgMar w:top="1276" w:right="1440" w:bottom="360" w:left="1440" w:header="720" w:footer="23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227" w:rsidRDefault="006C0227" w:rsidP="000052C2">
      <w:r>
        <w:separator/>
      </w:r>
    </w:p>
  </w:endnote>
  <w:endnote w:type="continuationSeparator" w:id="0">
    <w:p w:rsidR="006C0227" w:rsidRDefault="006C0227" w:rsidP="0000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FCatalogLight-Regular">
    <w:altName w:val="MV Bol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C2" w:rsidRDefault="000052C2" w:rsidP="000052C2">
    <w:pPr>
      <w:pStyle w:val="Footer"/>
      <w:jc w:val="right"/>
    </w:pPr>
    <w:r>
      <w:rPr>
        <w:noProof/>
        <w:lang w:val="en-US"/>
      </w:rPr>
      <w:drawing>
        <wp:anchor distT="0" distB="0" distL="114300" distR="114300" simplePos="0" relativeHeight="251659264" behindDoc="1" locked="0" layoutInCell="1" allowOverlap="1" wp14:anchorId="62668090" wp14:editId="115EF08D">
          <wp:simplePos x="0" y="0"/>
          <wp:positionH relativeFrom="column">
            <wp:posOffset>3705225</wp:posOffset>
          </wp:positionH>
          <wp:positionV relativeFrom="bottomMargin">
            <wp:posOffset>317500</wp:posOffset>
          </wp:positionV>
          <wp:extent cx="2247900" cy="822325"/>
          <wp:effectExtent l="0" t="0" r="0" b="0"/>
          <wp:wrapTight wrapText="bothSides">
            <wp:wrapPolygon edited="0">
              <wp:start x="0" y="0"/>
              <wp:lineTo x="0" y="21016"/>
              <wp:lineTo x="21417" y="21016"/>
              <wp:lineTo x="21417"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footer_gr.jpg"/>
                  <pic:cNvPicPr/>
                </pic:nvPicPr>
                <pic:blipFill rotWithShape="1">
                  <a:blip r:embed="rId1" cstate="print">
                    <a:extLst>
                      <a:ext uri="{28A0092B-C50C-407E-A947-70E740481C1C}">
                        <a14:useLocalDpi xmlns:a14="http://schemas.microsoft.com/office/drawing/2010/main" val="0"/>
                      </a:ext>
                    </a:extLst>
                  </a:blip>
                  <a:srcRect l="60294" t="5646" r="8979" b="34768"/>
                  <a:stretch/>
                </pic:blipFill>
                <pic:spPr bwMode="auto">
                  <a:xfrm>
                    <a:off x="0" y="0"/>
                    <a:ext cx="2247900" cy="82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227" w:rsidRDefault="006C0227" w:rsidP="000052C2">
      <w:r>
        <w:separator/>
      </w:r>
    </w:p>
  </w:footnote>
  <w:footnote w:type="continuationSeparator" w:id="0">
    <w:p w:rsidR="006C0227" w:rsidRDefault="006C0227" w:rsidP="000052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50" w:rsidRPr="00DB2050" w:rsidRDefault="00344C59">
    <w:pPr>
      <w:pStyle w:val="Header"/>
      <w:rPr>
        <w:lang w:val="en-US"/>
      </w:rPr>
    </w:pPr>
    <w:r>
      <w:rPr>
        <w:noProof/>
        <w:lang w:val="en-US"/>
      </w:rPr>
      <w:drawing>
        <wp:anchor distT="0" distB="0" distL="114300" distR="114300" simplePos="0" relativeHeight="251660288" behindDoc="0" locked="0" layoutInCell="1" allowOverlap="1" wp14:anchorId="55198893" wp14:editId="4F99554E">
          <wp:simplePos x="0" y="0"/>
          <wp:positionH relativeFrom="column">
            <wp:posOffset>-428625</wp:posOffset>
          </wp:positionH>
          <wp:positionV relativeFrom="paragraph">
            <wp:posOffset>-76835</wp:posOffset>
          </wp:positionV>
          <wp:extent cx="2586355" cy="63817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ark.3f4aec9cfd6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355" cy="63817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3CA5CB32" wp14:editId="3F71064B">
          <wp:simplePos x="0" y="0"/>
          <wp:positionH relativeFrom="column">
            <wp:posOffset>3914775</wp:posOffset>
          </wp:positionH>
          <wp:positionV relativeFrom="paragraph">
            <wp:posOffset>-161925</wp:posOffset>
          </wp:positionV>
          <wp:extent cx="2361565" cy="777875"/>
          <wp:effectExtent l="0" t="0" r="63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E-logo-DISC OU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1565" cy="777875"/>
                  </a:xfrm>
                  <a:prstGeom prst="rect">
                    <a:avLst/>
                  </a:prstGeom>
                </pic:spPr>
              </pic:pic>
            </a:graphicData>
          </a:graphic>
          <wp14:sizeRelH relativeFrom="page">
            <wp14:pctWidth>0</wp14:pctWidth>
          </wp14:sizeRelH>
          <wp14:sizeRelV relativeFrom="page">
            <wp14:pctHeight>0</wp14:pctHeight>
          </wp14:sizeRelV>
        </wp:anchor>
      </w:drawing>
    </w:r>
  </w:p>
  <w:p w:rsidR="00DB2050" w:rsidRPr="00DB2050" w:rsidRDefault="00DB2050">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464"/>
    <w:multiLevelType w:val="hybridMultilevel"/>
    <w:tmpl w:val="790405E8"/>
    <w:lvl w:ilvl="0" w:tplc="0409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25F43AFF"/>
    <w:multiLevelType w:val="hybridMultilevel"/>
    <w:tmpl w:val="2BA4BBF6"/>
    <w:lvl w:ilvl="0" w:tplc="4A9EF5CE">
      <w:start w:val="1"/>
      <w:numFmt w:val="bullet"/>
      <w:lvlText w:val=""/>
      <w:lvlJc w:val="left"/>
      <w:pPr>
        <w:tabs>
          <w:tab w:val="num" w:pos="720"/>
        </w:tabs>
        <w:ind w:left="720" w:hanging="360"/>
      </w:pPr>
      <w:rPr>
        <w:rFonts w:ascii="Wingdings" w:hAnsi="Wingdings" w:hint="default"/>
      </w:rPr>
    </w:lvl>
    <w:lvl w:ilvl="1" w:tplc="7C4E3DB2" w:tentative="1">
      <w:start w:val="1"/>
      <w:numFmt w:val="bullet"/>
      <w:lvlText w:val=""/>
      <w:lvlJc w:val="left"/>
      <w:pPr>
        <w:tabs>
          <w:tab w:val="num" w:pos="1440"/>
        </w:tabs>
        <w:ind w:left="1440" w:hanging="360"/>
      </w:pPr>
      <w:rPr>
        <w:rFonts w:ascii="Wingdings" w:hAnsi="Wingdings" w:hint="default"/>
      </w:rPr>
    </w:lvl>
    <w:lvl w:ilvl="2" w:tplc="24FE8338" w:tentative="1">
      <w:start w:val="1"/>
      <w:numFmt w:val="bullet"/>
      <w:lvlText w:val=""/>
      <w:lvlJc w:val="left"/>
      <w:pPr>
        <w:tabs>
          <w:tab w:val="num" w:pos="2160"/>
        </w:tabs>
        <w:ind w:left="2160" w:hanging="360"/>
      </w:pPr>
      <w:rPr>
        <w:rFonts w:ascii="Wingdings" w:hAnsi="Wingdings" w:hint="default"/>
      </w:rPr>
    </w:lvl>
    <w:lvl w:ilvl="3" w:tplc="844E26CC" w:tentative="1">
      <w:start w:val="1"/>
      <w:numFmt w:val="bullet"/>
      <w:lvlText w:val=""/>
      <w:lvlJc w:val="left"/>
      <w:pPr>
        <w:tabs>
          <w:tab w:val="num" w:pos="2880"/>
        </w:tabs>
        <w:ind w:left="2880" w:hanging="360"/>
      </w:pPr>
      <w:rPr>
        <w:rFonts w:ascii="Wingdings" w:hAnsi="Wingdings" w:hint="default"/>
      </w:rPr>
    </w:lvl>
    <w:lvl w:ilvl="4" w:tplc="B21C8D8C" w:tentative="1">
      <w:start w:val="1"/>
      <w:numFmt w:val="bullet"/>
      <w:lvlText w:val=""/>
      <w:lvlJc w:val="left"/>
      <w:pPr>
        <w:tabs>
          <w:tab w:val="num" w:pos="3600"/>
        </w:tabs>
        <w:ind w:left="3600" w:hanging="360"/>
      </w:pPr>
      <w:rPr>
        <w:rFonts w:ascii="Wingdings" w:hAnsi="Wingdings" w:hint="default"/>
      </w:rPr>
    </w:lvl>
    <w:lvl w:ilvl="5" w:tplc="D814F2D6" w:tentative="1">
      <w:start w:val="1"/>
      <w:numFmt w:val="bullet"/>
      <w:lvlText w:val=""/>
      <w:lvlJc w:val="left"/>
      <w:pPr>
        <w:tabs>
          <w:tab w:val="num" w:pos="4320"/>
        </w:tabs>
        <w:ind w:left="4320" w:hanging="360"/>
      </w:pPr>
      <w:rPr>
        <w:rFonts w:ascii="Wingdings" w:hAnsi="Wingdings" w:hint="default"/>
      </w:rPr>
    </w:lvl>
    <w:lvl w:ilvl="6" w:tplc="802CB1DE" w:tentative="1">
      <w:start w:val="1"/>
      <w:numFmt w:val="bullet"/>
      <w:lvlText w:val=""/>
      <w:lvlJc w:val="left"/>
      <w:pPr>
        <w:tabs>
          <w:tab w:val="num" w:pos="5040"/>
        </w:tabs>
        <w:ind w:left="5040" w:hanging="360"/>
      </w:pPr>
      <w:rPr>
        <w:rFonts w:ascii="Wingdings" w:hAnsi="Wingdings" w:hint="default"/>
      </w:rPr>
    </w:lvl>
    <w:lvl w:ilvl="7" w:tplc="177E9214" w:tentative="1">
      <w:start w:val="1"/>
      <w:numFmt w:val="bullet"/>
      <w:lvlText w:val=""/>
      <w:lvlJc w:val="left"/>
      <w:pPr>
        <w:tabs>
          <w:tab w:val="num" w:pos="5760"/>
        </w:tabs>
        <w:ind w:left="5760" w:hanging="360"/>
      </w:pPr>
      <w:rPr>
        <w:rFonts w:ascii="Wingdings" w:hAnsi="Wingdings" w:hint="default"/>
      </w:rPr>
    </w:lvl>
    <w:lvl w:ilvl="8" w:tplc="A33843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642108"/>
    <w:multiLevelType w:val="hybridMultilevel"/>
    <w:tmpl w:val="D57805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BAA3288"/>
    <w:multiLevelType w:val="hybridMultilevel"/>
    <w:tmpl w:val="B24C926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8E"/>
    <w:rsid w:val="00001B75"/>
    <w:rsid w:val="000052C2"/>
    <w:rsid w:val="000702AC"/>
    <w:rsid w:val="0008090B"/>
    <w:rsid w:val="000C3F99"/>
    <w:rsid w:val="000D1A58"/>
    <w:rsid w:val="000E488B"/>
    <w:rsid w:val="001943B4"/>
    <w:rsid w:val="001D7C9E"/>
    <w:rsid w:val="00202B8A"/>
    <w:rsid w:val="002D1A3F"/>
    <w:rsid w:val="002D5E64"/>
    <w:rsid w:val="0032034A"/>
    <w:rsid w:val="00322A8B"/>
    <w:rsid w:val="003233CB"/>
    <w:rsid w:val="00343A50"/>
    <w:rsid w:val="00344C59"/>
    <w:rsid w:val="00351728"/>
    <w:rsid w:val="003530CC"/>
    <w:rsid w:val="00364B27"/>
    <w:rsid w:val="00384DAD"/>
    <w:rsid w:val="00386335"/>
    <w:rsid w:val="003B1A1E"/>
    <w:rsid w:val="0040721F"/>
    <w:rsid w:val="004414DF"/>
    <w:rsid w:val="00444322"/>
    <w:rsid w:val="004713BB"/>
    <w:rsid w:val="004A07CE"/>
    <w:rsid w:val="004B0DFC"/>
    <w:rsid w:val="004B7ECA"/>
    <w:rsid w:val="004F7714"/>
    <w:rsid w:val="00500379"/>
    <w:rsid w:val="00514598"/>
    <w:rsid w:val="00535BFB"/>
    <w:rsid w:val="005B4C54"/>
    <w:rsid w:val="005C3845"/>
    <w:rsid w:val="005D62EB"/>
    <w:rsid w:val="005F6190"/>
    <w:rsid w:val="0060081E"/>
    <w:rsid w:val="006065B8"/>
    <w:rsid w:val="0064068E"/>
    <w:rsid w:val="00693C8C"/>
    <w:rsid w:val="006C0227"/>
    <w:rsid w:val="006C2CA9"/>
    <w:rsid w:val="00784834"/>
    <w:rsid w:val="00792D89"/>
    <w:rsid w:val="007A65F3"/>
    <w:rsid w:val="007D5FED"/>
    <w:rsid w:val="00800465"/>
    <w:rsid w:val="00841CD5"/>
    <w:rsid w:val="008C2D33"/>
    <w:rsid w:val="008D4F7F"/>
    <w:rsid w:val="008F70F8"/>
    <w:rsid w:val="00973A99"/>
    <w:rsid w:val="009B5FAB"/>
    <w:rsid w:val="009B6295"/>
    <w:rsid w:val="009C3F47"/>
    <w:rsid w:val="009E62A3"/>
    <w:rsid w:val="00A10EF9"/>
    <w:rsid w:val="00A120E0"/>
    <w:rsid w:val="00A211AE"/>
    <w:rsid w:val="00A216D0"/>
    <w:rsid w:val="00A50EE8"/>
    <w:rsid w:val="00AA12D3"/>
    <w:rsid w:val="00AB19AC"/>
    <w:rsid w:val="00AE19DA"/>
    <w:rsid w:val="00AF014B"/>
    <w:rsid w:val="00AF7DFF"/>
    <w:rsid w:val="00B050C0"/>
    <w:rsid w:val="00B3301D"/>
    <w:rsid w:val="00B53D8A"/>
    <w:rsid w:val="00B56458"/>
    <w:rsid w:val="00B57EC0"/>
    <w:rsid w:val="00BA65E0"/>
    <w:rsid w:val="00BC5CEA"/>
    <w:rsid w:val="00BD352A"/>
    <w:rsid w:val="00C06ACE"/>
    <w:rsid w:val="00C7608E"/>
    <w:rsid w:val="00CB3F02"/>
    <w:rsid w:val="00CC1799"/>
    <w:rsid w:val="00CD1DE8"/>
    <w:rsid w:val="00D927D7"/>
    <w:rsid w:val="00DA565E"/>
    <w:rsid w:val="00DB2050"/>
    <w:rsid w:val="00DC51CD"/>
    <w:rsid w:val="00E114D8"/>
    <w:rsid w:val="00E52707"/>
    <w:rsid w:val="00E577BB"/>
    <w:rsid w:val="00E76850"/>
    <w:rsid w:val="00E84D41"/>
    <w:rsid w:val="00EA3295"/>
    <w:rsid w:val="00EA45C6"/>
    <w:rsid w:val="00EF066C"/>
    <w:rsid w:val="00F7654E"/>
    <w:rsid w:val="00F9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23FDD"/>
  <w15:chartTrackingRefBased/>
  <w15:docId w15:val="{A17CF48C-0C6C-440B-A5DB-FAF0D65B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68E"/>
    <w:pPr>
      <w:spacing w:after="0" w:line="240" w:lineRule="auto"/>
    </w:pPr>
    <w:rPr>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68E"/>
    <w:pPr>
      <w:spacing w:before="100" w:beforeAutospacing="1" w:after="100" w:afterAutospacing="1"/>
    </w:pPr>
    <w:rPr>
      <w:rFonts w:ascii="Times New Roman" w:eastAsia="Times New Roman" w:hAnsi="Times New Roman" w:cs="Times New Roman"/>
      <w:lang w:eastAsia="en-GB"/>
    </w:rPr>
  </w:style>
  <w:style w:type="character" w:styleId="Hyperlink">
    <w:name w:val="Hyperlink"/>
    <w:unhideWhenUsed/>
    <w:rsid w:val="0064068E"/>
    <w:rPr>
      <w:color w:val="0000FF"/>
      <w:u w:val="single"/>
    </w:rPr>
  </w:style>
  <w:style w:type="paragraph" w:customStyle="1" w:styleId="paragraph">
    <w:name w:val="paragraph"/>
    <w:basedOn w:val="Normal"/>
    <w:rsid w:val="0064068E"/>
    <w:pPr>
      <w:spacing w:before="100" w:beforeAutospacing="1" w:after="100" w:afterAutospacing="1"/>
    </w:pPr>
    <w:rPr>
      <w:rFonts w:ascii="Times New Roman" w:eastAsia="Times New Roman" w:hAnsi="Times New Roman" w:cs="Times New Roman"/>
      <w:lang w:eastAsia="el-GR"/>
    </w:rPr>
  </w:style>
  <w:style w:type="character" w:customStyle="1" w:styleId="fontstyle01">
    <w:name w:val="fontstyle01"/>
    <w:basedOn w:val="DefaultParagraphFont"/>
    <w:rsid w:val="0064068E"/>
    <w:rPr>
      <w:rFonts w:ascii="PFCatalogLight-Regular" w:hAnsi="PFCatalogLight-Regular" w:hint="default"/>
      <w:b w:val="0"/>
      <w:bCs w:val="0"/>
      <w:i w:val="0"/>
      <w:iCs w:val="0"/>
      <w:color w:val="FFFFFF"/>
      <w:sz w:val="56"/>
      <w:szCs w:val="56"/>
    </w:rPr>
  </w:style>
  <w:style w:type="paragraph" w:styleId="BalloonText">
    <w:name w:val="Balloon Text"/>
    <w:basedOn w:val="Normal"/>
    <w:link w:val="BalloonTextChar"/>
    <w:uiPriority w:val="99"/>
    <w:semiHidden/>
    <w:unhideWhenUsed/>
    <w:rsid w:val="00320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4A"/>
    <w:rPr>
      <w:rFonts w:ascii="Segoe UI" w:hAnsi="Segoe UI" w:cs="Segoe UI"/>
      <w:sz w:val="18"/>
      <w:szCs w:val="18"/>
      <w:lang w:val="el-GR"/>
    </w:rPr>
  </w:style>
  <w:style w:type="paragraph" w:styleId="Header">
    <w:name w:val="header"/>
    <w:basedOn w:val="Normal"/>
    <w:link w:val="HeaderChar"/>
    <w:uiPriority w:val="99"/>
    <w:unhideWhenUsed/>
    <w:rsid w:val="000052C2"/>
    <w:pPr>
      <w:tabs>
        <w:tab w:val="center" w:pos="4680"/>
        <w:tab w:val="right" w:pos="9360"/>
      </w:tabs>
    </w:pPr>
  </w:style>
  <w:style w:type="character" w:customStyle="1" w:styleId="HeaderChar">
    <w:name w:val="Header Char"/>
    <w:basedOn w:val="DefaultParagraphFont"/>
    <w:link w:val="Header"/>
    <w:uiPriority w:val="99"/>
    <w:rsid w:val="000052C2"/>
    <w:rPr>
      <w:sz w:val="24"/>
      <w:szCs w:val="24"/>
      <w:lang w:val="el-GR"/>
    </w:rPr>
  </w:style>
  <w:style w:type="paragraph" w:styleId="Footer">
    <w:name w:val="footer"/>
    <w:basedOn w:val="Normal"/>
    <w:link w:val="FooterChar"/>
    <w:uiPriority w:val="99"/>
    <w:unhideWhenUsed/>
    <w:rsid w:val="000052C2"/>
    <w:pPr>
      <w:tabs>
        <w:tab w:val="center" w:pos="4680"/>
        <w:tab w:val="right" w:pos="9360"/>
      </w:tabs>
    </w:pPr>
  </w:style>
  <w:style w:type="character" w:customStyle="1" w:styleId="FooterChar">
    <w:name w:val="Footer Char"/>
    <w:basedOn w:val="DefaultParagraphFont"/>
    <w:link w:val="Footer"/>
    <w:uiPriority w:val="99"/>
    <w:rsid w:val="000052C2"/>
    <w:rPr>
      <w:sz w:val="24"/>
      <w:szCs w:val="24"/>
      <w:lang w:val="el-GR"/>
    </w:rPr>
  </w:style>
  <w:style w:type="paragraph" w:styleId="ListParagraph">
    <w:name w:val="List Paragraph"/>
    <w:basedOn w:val="Normal"/>
    <w:uiPriority w:val="34"/>
    <w:qFormat/>
    <w:rsid w:val="00AF7DFF"/>
    <w:pPr>
      <w:ind w:left="720"/>
    </w:pPr>
    <w:rPr>
      <w:rFonts w:ascii="Calibri" w:hAnsi="Calibri" w:cs="Calibri"/>
      <w:sz w:val="22"/>
      <w:szCs w:val="22"/>
      <w:lang w:val="en-US"/>
    </w:rPr>
  </w:style>
  <w:style w:type="table" w:styleId="TableGrid">
    <w:name w:val="Table Grid"/>
    <w:basedOn w:val="TableNormal"/>
    <w:uiPriority w:val="39"/>
    <w:rsid w:val="00DB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770">
      <w:bodyDiv w:val="1"/>
      <w:marLeft w:val="0"/>
      <w:marRight w:val="0"/>
      <w:marTop w:val="0"/>
      <w:marBottom w:val="0"/>
      <w:divBdr>
        <w:top w:val="none" w:sz="0" w:space="0" w:color="auto"/>
        <w:left w:val="none" w:sz="0" w:space="0" w:color="auto"/>
        <w:bottom w:val="none" w:sz="0" w:space="0" w:color="auto"/>
        <w:right w:val="none" w:sz="0" w:space="0" w:color="auto"/>
      </w:divBdr>
    </w:div>
    <w:div w:id="852572272">
      <w:bodyDiv w:val="1"/>
      <w:marLeft w:val="0"/>
      <w:marRight w:val="0"/>
      <w:marTop w:val="0"/>
      <w:marBottom w:val="0"/>
      <w:divBdr>
        <w:top w:val="none" w:sz="0" w:space="0" w:color="auto"/>
        <w:left w:val="none" w:sz="0" w:space="0" w:color="auto"/>
        <w:bottom w:val="none" w:sz="0" w:space="0" w:color="auto"/>
        <w:right w:val="none" w:sz="0" w:space="0" w:color="auto"/>
      </w:divBdr>
    </w:div>
    <w:div w:id="1007827045">
      <w:bodyDiv w:val="1"/>
      <w:marLeft w:val="0"/>
      <w:marRight w:val="0"/>
      <w:marTop w:val="0"/>
      <w:marBottom w:val="0"/>
      <w:divBdr>
        <w:top w:val="none" w:sz="0" w:space="0" w:color="auto"/>
        <w:left w:val="none" w:sz="0" w:space="0" w:color="auto"/>
        <w:bottom w:val="none" w:sz="0" w:space="0" w:color="auto"/>
        <w:right w:val="none" w:sz="0" w:space="0" w:color="auto"/>
      </w:divBdr>
    </w:div>
    <w:div w:id="1145662030">
      <w:bodyDiv w:val="1"/>
      <w:marLeft w:val="0"/>
      <w:marRight w:val="0"/>
      <w:marTop w:val="0"/>
      <w:marBottom w:val="0"/>
      <w:divBdr>
        <w:top w:val="none" w:sz="0" w:space="0" w:color="auto"/>
        <w:left w:val="none" w:sz="0" w:space="0" w:color="auto"/>
        <w:bottom w:val="none" w:sz="0" w:space="0" w:color="auto"/>
        <w:right w:val="none" w:sz="0" w:space="0" w:color="auto"/>
      </w:divBdr>
    </w:div>
    <w:div w:id="15681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1040</Words>
  <Characters>5931</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KARNIOURAS_FORTH</dc:creator>
  <cp:keywords/>
  <dc:description/>
  <cp:lastModifiedBy>Ch.Divini</cp:lastModifiedBy>
  <cp:revision>6</cp:revision>
  <cp:lastPrinted>2022-06-17T09:46:00Z</cp:lastPrinted>
  <dcterms:created xsi:type="dcterms:W3CDTF">2022-09-05T07:47:00Z</dcterms:created>
  <dcterms:modified xsi:type="dcterms:W3CDTF">2022-09-05T08:40:00Z</dcterms:modified>
</cp:coreProperties>
</file>