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42B3" w14:textId="0DB76288" w:rsidR="005A2C60" w:rsidRDefault="0A36D324" w:rsidP="576DAA00">
      <w:pPr>
        <w:spacing w:line="240" w:lineRule="exact"/>
        <w:jc w:val="center"/>
      </w:pPr>
      <w:r w:rsidRPr="576DAA00">
        <w:rPr>
          <w:rFonts w:ascii="Calibri" w:eastAsia="Calibri" w:hAnsi="Calibri" w:cs="Calibri"/>
          <w:b/>
          <w:bCs/>
          <w:color w:val="365F91"/>
        </w:rPr>
        <w:t>Eureka 2023 Investment Readiness Programme - Corporate Activities</w:t>
      </w:r>
    </w:p>
    <w:p w14:paraId="30BDF113" w14:textId="38E70476" w:rsidR="005A2C60" w:rsidRDefault="0A36D324" w:rsidP="576DAA00">
      <w:pPr>
        <w:spacing w:line="240" w:lineRule="exact"/>
        <w:jc w:val="center"/>
      </w:pPr>
      <w:r w:rsidRPr="576DAA00">
        <w:rPr>
          <w:rFonts w:ascii="Calibri" w:eastAsia="Calibri" w:hAnsi="Calibri" w:cs="Calibri"/>
          <w:color w:val="365F91"/>
        </w:rPr>
        <w:t xml:space="preserve">   </w:t>
      </w:r>
    </w:p>
    <w:p w14:paraId="333869C3" w14:textId="1BA7EC85" w:rsidR="005A2C60" w:rsidRDefault="0A36D324" w:rsidP="576DAA00">
      <w:pPr>
        <w:spacing w:line="240" w:lineRule="exact"/>
        <w:jc w:val="center"/>
      </w:pPr>
      <w:r w:rsidRPr="576DAA00">
        <w:rPr>
          <w:rFonts w:ascii="Calibri" w:eastAsia="Calibri" w:hAnsi="Calibri" w:cs="Calibri"/>
          <w:b/>
          <w:bCs/>
          <w:color w:val="365F91"/>
        </w:rPr>
        <w:t xml:space="preserve">Subject: </w:t>
      </w:r>
      <w:r w:rsidRPr="576DAA00">
        <w:rPr>
          <w:rFonts w:ascii="Calibri" w:eastAsia="Calibri" w:hAnsi="Calibri" w:cs="Calibri"/>
          <w:b/>
          <w:bCs/>
          <w:color w:val="000000" w:themeColor="text1"/>
        </w:rPr>
        <w:t>Invitation for startups to</w:t>
      </w:r>
      <w:r w:rsidRPr="576DAA00">
        <w:rPr>
          <w:rFonts w:ascii="Calibri" w:eastAsia="Calibri" w:hAnsi="Calibri" w:cs="Calibri"/>
          <w:b/>
          <w:bCs/>
          <w:color w:val="365F91"/>
        </w:rPr>
        <w:t xml:space="preserve"> </w:t>
      </w:r>
      <w:r w:rsidRPr="576DAA00">
        <w:rPr>
          <w:rFonts w:ascii="Calibri" w:eastAsia="Calibri" w:hAnsi="Calibri" w:cs="Calibri"/>
          <w:b/>
          <w:bCs/>
          <w:color w:val="000000" w:themeColor="text1"/>
        </w:rPr>
        <w:t>participate in our first 2023 online session with Solvay</w:t>
      </w:r>
    </w:p>
    <w:p w14:paraId="70E66337" w14:textId="10F27736" w:rsidR="005A2C60" w:rsidRDefault="0A36D324" w:rsidP="576DAA00">
      <w:pPr>
        <w:spacing w:line="240" w:lineRule="exact"/>
        <w:jc w:val="both"/>
      </w:pPr>
      <w:r w:rsidRPr="576DAA00">
        <w:rPr>
          <w:rFonts w:ascii="Calibri" w:eastAsia="Calibri" w:hAnsi="Calibri" w:cs="Calibri"/>
          <w:color w:val="000000" w:themeColor="text1"/>
        </w:rPr>
        <w:t xml:space="preserve">         </w:t>
      </w:r>
      <w:r w:rsidRPr="576DAA00">
        <w:rPr>
          <w:rFonts w:ascii="Calibri" w:eastAsia="Calibri" w:hAnsi="Calibri" w:cs="Calibri"/>
          <w:b/>
          <w:bCs/>
          <w:color w:val="365F91"/>
        </w:rPr>
        <w:t xml:space="preserve">Are you a startup interested in exploring collaborations with Solvay? </w:t>
      </w:r>
    </w:p>
    <w:p w14:paraId="197EC5BD" w14:textId="7C17ADE1" w:rsidR="005A2C60" w:rsidRDefault="0A36D324" w:rsidP="576DAA00">
      <w:pPr>
        <w:spacing w:line="240" w:lineRule="exact"/>
        <w:jc w:val="both"/>
      </w:pPr>
      <w:r w:rsidRPr="576DAA00">
        <w:rPr>
          <w:rFonts w:ascii="Calibri" w:eastAsia="Calibri" w:hAnsi="Calibri" w:cs="Calibri"/>
          <w:b/>
          <w:bCs/>
          <w:color w:val="365F91"/>
        </w:rPr>
        <w:t xml:space="preserve"> </w:t>
      </w:r>
    </w:p>
    <w:p w14:paraId="16067B81" w14:textId="647E66BB" w:rsidR="005A2C60" w:rsidRDefault="0A36D324" w:rsidP="576DAA00">
      <w:pPr>
        <w:spacing w:line="240" w:lineRule="exact"/>
        <w:jc w:val="both"/>
      </w:pPr>
      <w:r w:rsidRPr="576DAA00">
        <w:rPr>
          <w:rFonts w:ascii="Calibri" w:eastAsia="Calibri" w:hAnsi="Calibri" w:cs="Calibri"/>
          <w:color w:val="000000" w:themeColor="text1"/>
        </w:rPr>
        <w:t>As a global leader in</w:t>
      </w:r>
      <w:hyperlink r:id="rId8">
        <w:r w:rsidRPr="576DAA00">
          <w:rPr>
            <w:rStyle w:val="-"/>
            <w:rFonts w:ascii="Calibri" w:eastAsia="Calibri" w:hAnsi="Calibri" w:cs="Calibri"/>
          </w:rPr>
          <w:t xml:space="preserve"> </w:t>
        </w:r>
        <w:r w:rsidRPr="576DAA00">
          <w:rPr>
            <w:rStyle w:val="-"/>
            <w:rFonts w:ascii="Calibri" w:eastAsia="Calibri" w:hAnsi="Calibri" w:cs="Calibri"/>
            <w:color w:val="0000FF"/>
            <w:u w:val="none"/>
          </w:rPr>
          <w:t>Materials</w:t>
        </w:r>
      </w:hyperlink>
      <w:r w:rsidRPr="576DAA00">
        <w:rPr>
          <w:rFonts w:ascii="Calibri" w:eastAsia="Calibri" w:hAnsi="Calibri" w:cs="Calibri"/>
          <w:color w:val="000000" w:themeColor="text1"/>
        </w:rPr>
        <w:t>,</w:t>
      </w:r>
      <w:hyperlink r:id="rId9">
        <w:r w:rsidRPr="576DAA00">
          <w:rPr>
            <w:rStyle w:val="-"/>
            <w:rFonts w:ascii="Calibri" w:eastAsia="Calibri" w:hAnsi="Calibri" w:cs="Calibri"/>
          </w:rPr>
          <w:t xml:space="preserve"> </w:t>
        </w:r>
        <w:r w:rsidRPr="576DAA00">
          <w:rPr>
            <w:rStyle w:val="-"/>
            <w:rFonts w:ascii="Calibri" w:eastAsia="Calibri" w:hAnsi="Calibri" w:cs="Calibri"/>
            <w:color w:val="0000FF"/>
            <w:u w:val="none"/>
          </w:rPr>
          <w:t>Chemicals</w:t>
        </w:r>
      </w:hyperlink>
      <w:r w:rsidRPr="576DAA00">
        <w:rPr>
          <w:rFonts w:ascii="Calibri" w:eastAsia="Calibri" w:hAnsi="Calibri" w:cs="Calibri"/>
          <w:color w:val="0000FF"/>
          <w:u w:val="single"/>
        </w:rPr>
        <w:t xml:space="preserve"> </w:t>
      </w:r>
      <w:r w:rsidRPr="576DAA00">
        <w:rPr>
          <w:rFonts w:ascii="Calibri" w:eastAsia="Calibri" w:hAnsi="Calibri" w:cs="Calibri"/>
          <w:color w:val="000000" w:themeColor="text1"/>
        </w:rPr>
        <w:t>and</w:t>
      </w:r>
      <w:hyperlink r:id="rId10">
        <w:r w:rsidRPr="576DAA00">
          <w:rPr>
            <w:rStyle w:val="-"/>
            <w:rFonts w:ascii="Calibri" w:eastAsia="Calibri" w:hAnsi="Calibri" w:cs="Calibri"/>
          </w:rPr>
          <w:t xml:space="preserve"> </w:t>
        </w:r>
        <w:r w:rsidRPr="576DAA00">
          <w:rPr>
            <w:rStyle w:val="-"/>
            <w:rFonts w:ascii="Calibri" w:eastAsia="Calibri" w:hAnsi="Calibri" w:cs="Calibri"/>
            <w:color w:val="0000FF"/>
            <w:u w:val="none"/>
          </w:rPr>
          <w:t>Solutions</w:t>
        </w:r>
      </w:hyperlink>
      <w:r w:rsidRPr="576DAA00">
        <w:rPr>
          <w:rFonts w:ascii="Calibri" w:eastAsia="Calibri" w:hAnsi="Calibri" w:cs="Calibri"/>
          <w:color w:val="000000" w:themeColor="text1"/>
        </w:rPr>
        <w:t xml:space="preserve">, Solvay brings advancements in planes, cars, batteries, smart and medical devices, water and air treatment, to solve critical industrial, social and environmental challenges. Our Group seeks to create sustainable shared value for all, notably through our </w:t>
      </w:r>
      <w:hyperlink r:id="rId11">
        <w:r w:rsidRPr="576DAA00">
          <w:rPr>
            <w:rStyle w:val="-"/>
            <w:rFonts w:ascii="Calibri" w:eastAsia="Calibri" w:hAnsi="Calibri" w:cs="Calibri"/>
            <w:color w:val="1155CC"/>
            <w:u w:val="none"/>
          </w:rPr>
          <w:t>Solvay One Planet</w:t>
        </w:r>
      </w:hyperlink>
      <w:r w:rsidRPr="576DAA00">
        <w:rPr>
          <w:rFonts w:ascii="Calibri" w:eastAsia="Calibri" w:hAnsi="Calibri" w:cs="Calibri"/>
          <w:color w:val="000000" w:themeColor="text1"/>
        </w:rPr>
        <w:t xml:space="preserve"> plan crafted around three pillars: protecting the climate, preserving natural resources and fostering better life.</w:t>
      </w:r>
    </w:p>
    <w:p w14:paraId="034302BD" w14:textId="4B32205D" w:rsidR="005A2C60" w:rsidRDefault="0A36D324" w:rsidP="576DAA00">
      <w:pPr>
        <w:spacing w:line="240" w:lineRule="exact"/>
        <w:jc w:val="both"/>
      </w:pPr>
      <w:r w:rsidRPr="576DAA00">
        <w:rPr>
          <w:rFonts w:ascii="Calibri" w:eastAsia="Calibri" w:hAnsi="Calibri" w:cs="Calibri"/>
          <w:color w:val="000000" w:themeColor="text1"/>
        </w:rPr>
        <w:t xml:space="preserve">Solvay Ventures, the venture capital arm of Solvay, is constantly scouting for business partnerships and investment opportunities.  </w:t>
      </w:r>
    </w:p>
    <w:p w14:paraId="153765FF" w14:textId="21C414F7" w:rsidR="005A2C60" w:rsidRDefault="0A36D324" w:rsidP="576DAA00">
      <w:pPr>
        <w:spacing w:line="240" w:lineRule="exact"/>
        <w:jc w:val="both"/>
      </w:pPr>
      <w:r w:rsidRPr="576DAA00">
        <w:rPr>
          <w:rFonts w:ascii="Calibri" w:eastAsia="Calibri" w:hAnsi="Calibri" w:cs="Calibri"/>
          <w:color w:val="000000" w:themeColor="text1"/>
        </w:rPr>
        <w:t xml:space="preserve">In 2022, Solvay launched a </w:t>
      </w:r>
      <w:hyperlink r:id="rId12">
        <w:r w:rsidRPr="576DAA00">
          <w:rPr>
            <w:rStyle w:val="-"/>
            <w:rFonts w:ascii="Calibri" w:eastAsia="Calibri" w:hAnsi="Calibri" w:cs="Calibri"/>
            <w:b/>
            <w:bCs/>
            <w:color w:val="1155CC"/>
            <w:u w:val="none"/>
          </w:rPr>
          <w:t>Renewable Materials and Biotechnology growth platform</w:t>
        </w:r>
      </w:hyperlink>
      <w:r w:rsidRPr="576DAA00">
        <w:rPr>
          <w:rFonts w:ascii="Calibri" w:eastAsia="Calibri" w:hAnsi="Calibri" w:cs="Calibri"/>
          <w:color w:val="000000" w:themeColor="text1"/>
        </w:rPr>
        <w:t xml:space="preserve">, dedicated to developing innovative and sustainable solutions for a range of markets, using renewable feedstocks and biotechnology. The company is already a market leader in some bio-based products, including guar, bio-sourced </w:t>
      </w:r>
      <w:proofErr w:type="gramStart"/>
      <w:r w:rsidRPr="576DAA00">
        <w:rPr>
          <w:rFonts w:ascii="Calibri" w:eastAsia="Calibri" w:hAnsi="Calibri" w:cs="Calibri"/>
          <w:color w:val="000000" w:themeColor="text1"/>
        </w:rPr>
        <w:t>solvents</w:t>
      </w:r>
      <w:proofErr w:type="gramEnd"/>
      <w:r w:rsidRPr="576DAA00">
        <w:rPr>
          <w:rFonts w:ascii="Calibri" w:eastAsia="Calibri" w:hAnsi="Calibri" w:cs="Calibri"/>
          <w:color w:val="000000" w:themeColor="text1"/>
        </w:rPr>
        <w:t xml:space="preserve"> and natural vanillin. The three aspects of the value chain are addressed: (a) sustainable sourcing of raw materials, (b) adoption of conversion technologies with lower environmental impact, and (c) responsible management of product end-of-life.</w:t>
      </w:r>
    </w:p>
    <w:p w14:paraId="61C4088E" w14:textId="76A3F2E5" w:rsidR="005A2C60" w:rsidRDefault="0A36D324" w:rsidP="576DAA00">
      <w:pPr>
        <w:spacing w:line="240" w:lineRule="exact"/>
        <w:jc w:val="both"/>
      </w:pPr>
      <w:r w:rsidRPr="576DAA00">
        <w:rPr>
          <w:rFonts w:ascii="Calibri" w:eastAsia="Calibri" w:hAnsi="Calibri" w:cs="Calibri"/>
          <w:color w:val="000000" w:themeColor="text1"/>
        </w:rPr>
        <w:t xml:space="preserve">Within Eureka investment readiness Programme, in 2023 Solvay is launching two challenges for SMEs/startups. Both are addressing the end-of-life aspect of the growth platform. Participating at this joint online session will allow SMEs/startups to discover how Solvay currently engages with startups and the new challenges. Companies will have the opportunity to raise questions around those challenges and will be invited to apply and present their solutions. Based on the applications received, a select number of startups will be invited to a one-to-one meeting with Solvay. </w:t>
      </w:r>
    </w:p>
    <w:p w14:paraId="304D60F4" w14:textId="7D7BD85A" w:rsidR="005A2C60" w:rsidRDefault="00000000" w:rsidP="576DAA00">
      <w:pPr>
        <w:spacing w:line="240" w:lineRule="exact"/>
      </w:pPr>
      <w:r>
        <w:br/>
      </w:r>
    </w:p>
    <w:p w14:paraId="7E953ADB" w14:textId="10354EAE" w:rsidR="005A2C60" w:rsidRDefault="0A36D324" w:rsidP="576DAA00">
      <w:pPr>
        <w:spacing w:line="240" w:lineRule="exact"/>
        <w:jc w:val="both"/>
      </w:pPr>
      <w:r w:rsidRPr="576DAA00">
        <w:rPr>
          <w:rFonts w:ascii="Calibri" w:eastAsia="Calibri" w:hAnsi="Calibri" w:cs="Calibri"/>
          <w:color w:val="000000" w:themeColor="text1"/>
        </w:rPr>
        <w:t xml:space="preserve">Participate in our first 2023 online session with Solvay on </w:t>
      </w:r>
      <w:r w:rsidRPr="576DAA00">
        <w:rPr>
          <w:rFonts w:ascii="Calibri" w:eastAsia="Calibri" w:hAnsi="Calibri" w:cs="Calibri"/>
          <w:b/>
          <w:bCs/>
          <w:color w:val="365F91"/>
        </w:rPr>
        <w:t>Tuesday, 19 September 2023, from 15:00-16:15 CEST.</w:t>
      </w:r>
      <w:r w:rsidRPr="576DAA00">
        <w:rPr>
          <w:rFonts w:ascii="Calibri" w:eastAsia="Calibri" w:hAnsi="Calibri" w:cs="Calibri"/>
          <w:color w:val="365F91"/>
        </w:rPr>
        <w:t xml:space="preserve">  </w:t>
      </w:r>
    </w:p>
    <w:p w14:paraId="3E3D594F" w14:textId="62CE58B9" w:rsidR="005A2C60" w:rsidRDefault="0A36D324" w:rsidP="576DAA00">
      <w:pPr>
        <w:spacing w:line="240" w:lineRule="exact"/>
        <w:jc w:val="both"/>
      </w:pPr>
      <w:r w:rsidRPr="576DAA00">
        <w:rPr>
          <w:rFonts w:ascii="Calibri" w:eastAsia="Calibri" w:hAnsi="Calibri" w:cs="Calibri"/>
          <w:color w:val="000000" w:themeColor="text1"/>
        </w:rPr>
        <w:t>Register here:</w:t>
      </w:r>
      <w:r w:rsidRPr="576DAA00">
        <w:rPr>
          <w:rFonts w:ascii="Calibri" w:eastAsia="Calibri" w:hAnsi="Calibri" w:cs="Calibri"/>
          <w:color w:val="365F91"/>
        </w:rPr>
        <w:t xml:space="preserve"> </w:t>
      </w:r>
      <w:hyperlink r:id="rId13">
        <w:r w:rsidRPr="576DAA00">
          <w:rPr>
            <w:rStyle w:val="-"/>
            <w:rFonts w:ascii="Calibri" w:eastAsia="Calibri" w:hAnsi="Calibri" w:cs="Calibri"/>
            <w:color w:val="0563C1"/>
            <w:u w:val="none"/>
          </w:rPr>
          <w:t>https://attendee.gotowebinar.com/register/5349512627589975647</w:t>
        </w:r>
      </w:hyperlink>
    </w:p>
    <w:p w14:paraId="274E9B72" w14:textId="54992A8C" w:rsidR="005A2C60" w:rsidRDefault="0A36D324" w:rsidP="576DAA00">
      <w:pPr>
        <w:spacing w:line="240" w:lineRule="exact"/>
        <w:jc w:val="both"/>
      </w:pPr>
      <w:r w:rsidRPr="576DAA00">
        <w:rPr>
          <w:rFonts w:ascii="Calibri" w:eastAsia="Calibri" w:hAnsi="Calibri" w:cs="Calibri"/>
          <w:color w:val="365F91"/>
        </w:rPr>
        <w:t xml:space="preserve"> </w:t>
      </w:r>
    </w:p>
    <w:p w14:paraId="34DF8FB2" w14:textId="31848BDE" w:rsidR="005A2C60" w:rsidRDefault="0A36D324" w:rsidP="576DAA00">
      <w:pPr>
        <w:spacing w:line="240" w:lineRule="exact"/>
      </w:pPr>
      <w:r w:rsidRPr="576DAA00">
        <w:rPr>
          <w:rFonts w:ascii="Calibri" w:eastAsia="Calibri" w:hAnsi="Calibri" w:cs="Calibri"/>
          <w:b/>
          <w:bCs/>
          <w:color w:val="365F91"/>
        </w:rPr>
        <w:t>Agenda</w:t>
      </w:r>
      <w:r w:rsidRPr="576DAA00">
        <w:rPr>
          <w:rFonts w:ascii="Calibri" w:eastAsia="Calibri" w:hAnsi="Calibri" w:cs="Calibri"/>
          <w:color w:val="365F91"/>
        </w:rPr>
        <w:t xml:space="preserve">  </w:t>
      </w:r>
    </w:p>
    <w:p w14:paraId="20CC33B9" w14:textId="7FA27AE5" w:rsidR="005A2C60" w:rsidRDefault="0A36D324" w:rsidP="576DAA00">
      <w:pPr>
        <w:spacing w:after="0" w:line="240" w:lineRule="exact"/>
      </w:pPr>
      <w:r w:rsidRPr="576DAA00">
        <w:rPr>
          <w:rFonts w:ascii="Calibri" w:eastAsia="Calibri" w:hAnsi="Calibri" w:cs="Calibri"/>
          <w:b/>
          <w:bCs/>
          <w:color w:val="161949"/>
        </w:rPr>
        <w:t>15:05 Introduction to Solvay and the Renewable Materials and Biotechnology Platform</w:t>
      </w:r>
      <w:r w:rsidRPr="576DAA00">
        <w:rPr>
          <w:rFonts w:ascii="Calibri" w:eastAsia="Calibri" w:hAnsi="Calibri" w:cs="Calibri"/>
          <w:color w:val="161949"/>
        </w:rPr>
        <w:t xml:space="preserve"> </w:t>
      </w:r>
    </w:p>
    <w:p w14:paraId="51020460" w14:textId="12C7E2CF" w:rsidR="005A2C60" w:rsidRDefault="0A36D324" w:rsidP="576DAA00">
      <w:pPr>
        <w:spacing w:after="0" w:line="240" w:lineRule="exact"/>
      </w:pPr>
      <w:r w:rsidRPr="576DAA00">
        <w:rPr>
          <w:rFonts w:ascii="Calibri" w:eastAsia="Calibri" w:hAnsi="Calibri" w:cs="Calibri"/>
          <w:color w:val="161949"/>
        </w:rPr>
        <w:t xml:space="preserve">         Peter </w:t>
      </w:r>
      <w:proofErr w:type="spellStart"/>
      <w:r w:rsidRPr="576DAA00">
        <w:rPr>
          <w:rFonts w:ascii="Calibri" w:eastAsia="Calibri" w:hAnsi="Calibri" w:cs="Calibri"/>
          <w:color w:val="161949"/>
        </w:rPr>
        <w:t>Vanlaeke</w:t>
      </w:r>
      <w:proofErr w:type="spellEnd"/>
      <w:r w:rsidRPr="576DAA00">
        <w:rPr>
          <w:rFonts w:ascii="Calibri" w:eastAsia="Calibri" w:hAnsi="Calibri" w:cs="Calibri"/>
          <w:color w:val="161949"/>
        </w:rPr>
        <w:t xml:space="preserve"> - Solvay Ventures</w:t>
      </w:r>
    </w:p>
    <w:p w14:paraId="77402C5C" w14:textId="1D9A3C26" w:rsidR="005A2C60" w:rsidRDefault="0A36D324" w:rsidP="576DAA00">
      <w:pPr>
        <w:spacing w:after="0" w:line="240" w:lineRule="exact"/>
      </w:pPr>
      <w:r w:rsidRPr="576DAA00">
        <w:rPr>
          <w:rFonts w:ascii="Calibri" w:eastAsia="Calibri" w:hAnsi="Calibri" w:cs="Calibri"/>
          <w:color w:val="161949"/>
        </w:rPr>
        <w:t xml:space="preserve">         Arnaud </w:t>
      </w:r>
      <w:proofErr w:type="spellStart"/>
      <w:r w:rsidRPr="576DAA00">
        <w:rPr>
          <w:rFonts w:ascii="Calibri" w:eastAsia="Calibri" w:hAnsi="Calibri" w:cs="Calibri"/>
          <w:color w:val="161949"/>
        </w:rPr>
        <w:t>Gabenisch</w:t>
      </w:r>
      <w:proofErr w:type="spellEnd"/>
      <w:r w:rsidRPr="576DAA00">
        <w:rPr>
          <w:rFonts w:ascii="Calibri" w:eastAsia="Calibri" w:hAnsi="Calibri" w:cs="Calibri"/>
          <w:color w:val="161949"/>
        </w:rPr>
        <w:t xml:space="preserve"> - Renewable Materials &amp; Biotechnology growth platform            </w:t>
      </w:r>
    </w:p>
    <w:p w14:paraId="40DE76DF" w14:textId="7E2C3E7B" w:rsidR="005A2C60" w:rsidRDefault="00000000" w:rsidP="576DAA00">
      <w:pPr>
        <w:spacing w:after="0" w:line="240" w:lineRule="exact"/>
      </w:pPr>
      <w:r>
        <w:br/>
      </w:r>
    </w:p>
    <w:p w14:paraId="10729CBF" w14:textId="5301BBE1" w:rsidR="005A2C60" w:rsidRDefault="0A36D324" w:rsidP="576DAA00">
      <w:pPr>
        <w:spacing w:after="0" w:line="240" w:lineRule="exact"/>
      </w:pPr>
      <w:proofErr w:type="gramStart"/>
      <w:r w:rsidRPr="576DAA00">
        <w:rPr>
          <w:rFonts w:ascii="Calibri" w:eastAsia="Calibri" w:hAnsi="Calibri" w:cs="Calibri"/>
          <w:b/>
          <w:bCs/>
          <w:color w:val="161949"/>
        </w:rPr>
        <w:t>15:35  Solvay's</w:t>
      </w:r>
      <w:proofErr w:type="gramEnd"/>
      <w:r w:rsidRPr="576DAA00">
        <w:rPr>
          <w:rFonts w:ascii="Calibri" w:eastAsia="Calibri" w:hAnsi="Calibri" w:cs="Calibri"/>
          <w:b/>
          <w:bCs/>
          <w:color w:val="161949"/>
        </w:rPr>
        <w:t xml:space="preserve"> Challenges</w:t>
      </w:r>
      <w:r w:rsidRPr="576DAA00">
        <w:rPr>
          <w:rFonts w:ascii="Calibri" w:eastAsia="Calibri" w:hAnsi="Calibri" w:cs="Calibri"/>
          <w:color w:val="161949"/>
        </w:rPr>
        <w:t xml:space="preserve">  </w:t>
      </w:r>
    </w:p>
    <w:p w14:paraId="5967E1DA" w14:textId="7049816D" w:rsidR="005A2C60" w:rsidRDefault="0A36D324" w:rsidP="576DAA00">
      <w:pPr>
        <w:spacing w:after="0" w:line="240" w:lineRule="exact"/>
      </w:pPr>
      <w:r w:rsidRPr="576DAA00">
        <w:rPr>
          <w:rFonts w:ascii="Calibri" w:eastAsia="Calibri" w:hAnsi="Calibri" w:cs="Calibri"/>
          <w:color w:val="161949"/>
        </w:rPr>
        <w:t xml:space="preserve">         Sergio Mastroianni: Upcycling of </w:t>
      </w:r>
      <w:proofErr w:type="gramStart"/>
      <w:r w:rsidRPr="576DAA00">
        <w:rPr>
          <w:rFonts w:ascii="Calibri" w:eastAsia="Calibri" w:hAnsi="Calibri" w:cs="Calibri"/>
          <w:color w:val="161949"/>
        </w:rPr>
        <w:t>end of life</w:t>
      </w:r>
      <w:proofErr w:type="gramEnd"/>
      <w:r w:rsidRPr="576DAA00">
        <w:rPr>
          <w:rFonts w:ascii="Calibri" w:eastAsia="Calibri" w:hAnsi="Calibri" w:cs="Calibri"/>
          <w:color w:val="161949"/>
        </w:rPr>
        <w:t xml:space="preserve"> complex polymer mixtures </w:t>
      </w:r>
    </w:p>
    <w:p w14:paraId="333BCBC6" w14:textId="07B48FA3" w:rsidR="005A2C60" w:rsidRDefault="0A36D324" w:rsidP="576DAA00">
      <w:pPr>
        <w:spacing w:after="0" w:line="240" w:lineRule="exact"/>
      </w:pPr>
      <w:r w:rsidRPr="576DAA00">
        <w:rPr>
          <w:rFonts w:ascii="Calibri" w:eastAsia="Calibri" w:hAnsi="Calibri" w:cs="Calibri"/>
          <w:color w:val="161949"/>
        </w:rPr>
        <w:t xml:space="preserve">         James Wilson: Breaking the Biodegradability / Stability trade-</w:t>
      </w:r>
      <w:proofErr w:type="spellStart"/>
      <w:r w:rsidRPr="576DAA00">
        <w:rPr>
          <w:rFonts w:ascii="Calibri" w:eastAsia="Calibri" w:hAnsi="Calibri" w:cs="Calibri"/>
          <w:color w:val="161949"/>
        </w:rPr>
        <w:t>of</w:t>
      </w:r>
      <w:proofErr w:type="spellEnd"/>
      <w:r w:rsidRPr="576DAA00">
        <w:rPr>
          <w:rFonts w:ascii="Calibri" w:eastAsia="Calibri" w:hAnsi="Calibri" w:cs="Calibri"/>
          <w:color w:val="161949"/>
        </w:rPr>
        <w:t xml:space="preserve"> for polymers in liquid </w:t>
      </w:r>
      <w:proofErr w:type="gramStart"/>
      <w:r w:rsidRPr="576DAA00">
        <w:rPr>
          <w:rFonts w:ascii="Calibri" w:eastAsia="Calibri" w:hAnsi="Calibri" w:cs="Calibri"/>
          <w:color w:val="161949"/>
        </w:rPr>
        <w:t>formulations</w:t>
      </w:r>
      <w:proofErr w:type="gramEnd"/>
      <w:r w:rsidRPr="576DAA00">
        <w:rPr>
          <w:rFonts w:ascii="Calibri" w:eastAsia="Calibri" w:hAnsi="Calibri" w:cs="Calibri"/>
          <w:color w:val="161949"/>
        </w:rPr>
        <w:t xml:space="preserve">  </w:t>
      </w:r>
    </w:p>
    <w:p w14:paraId="5D526D4D" w14:textId="600E36BA" w:rsidR="005A2C60" w:rsidRDefault="00000000" w:rsidP="576DAA00">
      <w:pPr>
        <w:spacing w:after="0" w:line="240" w:lineRule="exact"/>
      </w:pPr>
      <w:r>
        <w:br/>
      </w:r>
    </w:p>
    <w:p w14:paraId="3A52F1F5" w14:textId="15E8378D" w:rsidR="005A2C60" w:rsidRDefault="0A36D324" w:rsidP="576DAA00">
      <w:pPr>
        <w:spacing w:after="0" w:line="240" w:lineRule="exact"/>
      </w:pPr>
      <w:r w:rsidRPr="576DAA00">
        <w:rPr>
          <w:rFonts w:ascii="Calibri" w:eastAsia="Calibri" w:hAnsi="Calibri" w:cs="Calibri"/>
          <w:b/>
          <w:bCs/>
          <w:color w:val="161949"/>
        </w:rPr>
        <w:t>15:55</w:t>
      </w:r>
      <w:r w:rsidRPr="576DAA00">
        <w:rPr>
          <w:rFonts w:ascii="Calibri" w:eastAsia="Calibri" w:hAnsi="Calibri" w:cs="Calibri"/>
          <w:color w:val="161949"/>
        </w:rPr>
        <w:t xml:space="preserve"> </w:t>
      </w:r>
      <w:r w:rsidRPr="576DAA00">
        <w:rPr>
          <w:rFonts w:ascii="Calibri" w:eastAsia="Calibri" w:hAnsi="Calibri" w:cs="Calibri"/>
          <w:b/>
          <w:bCs/>
          <w:color w:val="000000" w:themeColor="text1"/>
        </w:rPr>
        <w:t>Next Steps</w:t>
      </w:r>
      <w:r w:rsidRPr="576DAA00">
        <w:rPr>
          <w:rFonts w:ascii="Calibri" w:eastAsia="Calibri" w:hAnsi="Calibri" w:cs="Calibri"/>
          <w:color w:val="161949"/>
        </w:rPr>
        <w:t xml:space="preserve">  </w:t>
      </w:r>
    </w:p>
    <w:p w14:paraId="418824A2" w14:textId="672E5E4E" w:rsidR="005A2C60" w:rsidRDefault="0A36D324" w:rsidP="576DAA00">
      <w:pPr>
        <w:spacing w:after="0" w:line="240" w:lineRule="exact"/>
      </w:pPr>
      <w:r w:rsidRPr="576DAA00">
        <w:rPr>
          <w:rFonts w:ascii="Calibri" w:eastAsia="Calibri" w:hAnsi="Calibri" w:cs="Calibri"/>
          <w:color w:val="161949"/>
        </w:rPr>
        <w:t xml:space="preserve">            Emma Fau, External expert on investment readiness at Eureka  </w:t>
      </w:r>
    </w:p>
    <w:p w14:paraId="49760582" w14:textId="3F86D56D" w:rsidR="005A2C60" w:rsidRDefault="00000000" w:rsidP="576DAA00">
      <w:pPr>
        <w:spacing w:after="0" w:line="240" w:lineRule="exact"/>
      </w:pPr>
      <w:r>
        <w:br/>
      </w:r>
    </w:p>
    <w:p w14:paraId="3A58482B" w14:textId="792416AD" w:rsidR="005A2C60" w:rsidRDefault="0A36D324" w:rsidP="576DAA00">
      <w:pPr>
        <w:spacing w:after="0" w:line="240" w:lineRule="exact"/>
      </w:pPr>
      <w:r w:rsidRPr="576DAA00">
        <w:rPr>
          <w:rFonts w:ascii="Calibri" w:eastAsia="Calibri" w:hAnsi="Calibri" w:cs="Calibri"/>
          <w:b/>
          <w:bCs/>
          <w:color w:val="161949"/>
        </w:rPr>
        <w:t xml:space="preserve">16:00   Q/A session </w:t>
      </w:r>
      <w:r w:rsidRPr="576DAA00">
        <w:rPr>
          <w:rFonts w:ascii="Calibri" w:eastAsia="Calibri" w:hAnsi="Calibri" w:cs="Calibri"/>
          <w:color w:val="161949"/>
        </w:rPr>
        <w:t xml:space="preserve">  </w:t>
      </w:r>
    </w:p>
    <w:p w14:paraId="4E41E57F" w14:textId="77CDBE94" w:rsidR="005A2C60" w:rsidRDefault="00000000" w:rsidP="576DAA00">
      <w:pPr>
        <w:spacing w:after="0" w:line="240" w:lineRule="exact"/>
      </w:pPr>
      <w:r>
        <w:lastRenderedPageBreak/>
        <w:br/>
      </w:r>
    </w:p>
    <w:p w14:paraId="67880585" w14:textId="79DC384D" w:rsidR="005A2C60" w:rsidRDefault="0A36D324" w:rsidP="576DAA00">
      <w:pPr>
        <w:spacing w:after="0" w:line="240" w:lineRule="exact"/>
      </w:pPr>
      <w:r w:rsidRPr="576DAA00">
        <w:rPr>
          <w:rFonts w:ascii="Calibri" w:eastAsia="Calibri" w:hAnsi="Calibri" w:cs="Calibri"/>
          <w:b/>
          <w:bCs/>
          <w:color w:val="161949"/>
        </w:rPr>
        <w:t>16:15</w:t>
      </w:r>
      <w:r w:rsidRPr="576DAA00">
        <w:rPr>
          <w:rFonts w:ascii="Calibri" w:eastAsia="Calibri" w:hAnsi="Calibri" w:cs="Calibri"/>
          <w:color w:val="161949"/>
        </w:rPr>
        <w:t xml:space="preserve">   </w:t>
      </w:r>
      <w:r w:rsidRPr="576DAA00">
        <w:rPr>
          <w:rFonts w:ascii="Calibri" w:eastAsia="Calibri" w:hAnsi="Calibri" w:cs="Calibri"/>
          <w:b/>
          <w:bCs/>
          <w:color w:val="000000" w:themeColor="text1"/>
        </w:rPr>
        <w:t>End of session</w:t>
      </w:r>
      <w:r w:rsidRPr="576DAA00">
        <w:rPr>
          <w:rFonts w:ascii="Calibri" w:eastAsia="Calibri" w:hAnsi="Calibri" w:cs="Calibri"/>
          <w:color w:val="000000" w:themeColor="text1"/>
        </w:rPr>
        <w:t xml:space="preserve"> </w:t>
      </w:r>
    </w:p>
    <w:p w14:paraId="6E1E12E0" w14:textId="466ABB28" w:rsidR="005A2C60" w:rsidRDefault="00000000" w:rsidP="576DAA00">
      <w:pPr>
        <w:spacing w:after="0" w:line="240" w:lineRule="exact"/>
      </w:pPr>
      <w:r>
        <w:br/>
      </w:r>
      <w:r>
        <w:br/>
      </w:r>
    </w:p>
    <w:p w14:paraId="631AD2B9" w14:textId="591CA6DA" w:rsidR="005A2C60" w:rsidRDefault="0A36D324" w:rsidP="576DAA00">
      <w:pPr>
        <w:spacing w:after="0" w:line="240" w:lineRule="exact"/>
      </w:pPr>
      <w:r w:rsidRPr="576DAA00">
        <w:rPr>
          <w:rFonts w:ascii="Calibri" w:eastAsia="Calibri" w:hAnsi="Calibri" w:cs="Calibri"/>
          <w:b/>
          <w:bCs/>
          <w:color w:val="365F91"/>
        </w:rPr>
        <w:t>Solvay’s 2023 Challenges</w:t>
      </w:r>
      <w:r w:rsidRPr="576DAA00">
        <w:rPr>
          <w:rFonts w:ascii="Calibri" w:eastAsia="Calibri" w:hAnsi="Calibri" w:cs="Calibri"/>
          <w:color w:val="365F91"/>
        </w:rPr>
        <w:t xml:space="preserve"> </w:t>
      </w:r>
    </w:p>
    <w:p w14:paraId="2D5E9C88" w14:textId="06D02D17" w:rsidR="005A2C60" w:rsidRDefault="00000000" w:rsidP="576DAA00">
      <w:pPr>
        <w:spacing w:after="0" w:line="240" w:lineRule="exact"/>
      </w:pPr>
      <w:r>
        <w:br/>
      </w:r>
    </w:p>
    <w:tbl>
      <w:tblPr>
        <w:tblW w:w="0" w:type="auto"/>
        <w:tblLayout w:type="fixed"/>
        <w:tblLook w:val="06A0" w:firstRow="1" w:lastRow="0" w:firstColumn="1" w:lastColumn="0" w:noHBand="1" w:noVBand="1"/>
      </w:tblPr>
      <w:tblGrid>
        <w:gridCol w:w="3005"/>
        <w:gridCol w:w="3005"/>
        <w:gridCol w:w="3005"/>
      </w:tblGrid>
      <w:tr w:rsidR="576DAA00" w14:paraId="28AF4A0F" w14:textId="77777777" w:rsidTr="576DAA00">
        <w:trPr>
          <w:trHeight w:val="360"/>
        </w:trPr>
        <w:tc>
          <w:tcPr>
            <w:tcW w:w="3005" w:type="dxa"/>
            <w:tcBorders>
              <w:top w:val="single" w:sz="4" w:space="0" w:color="9E9E9E"/>
              <w:left w:val="single" w:sz="4" w:space="0" w:color="9E9E9E"/>
              <w:bottom w:val="single" w:sz="4" w:space="0" w:color="9E9E9E"/>
              <w:right w:val="single" w:sz="4" w:space="0" w:color="9E9E9E"/>
            </w:tcBorders>
            <w:vAlign w:val="center"/>
          </w:tcPr>
          <w:p w14:paraId="60C2BBAC" w14:textId="4C48C32B" w:rsidR="576DAA00" w:rsidRDefault="576DAA00" w:rsidP="576DAA00">
            <w:pPr>
              <w:spacing w:after="0"/>
            </w:pPr>
            <w:r w:rsidRPr="576DAA00">
              <w:rPr>
                <w:rFonts w:ascii="Calibri" w:eastAsia="Calibri" w:hAnsi="Calibri" w:cs="Calibri"/>
                <w:b/>
                <w:bCs/>
                <w:color w:val="161949"/>
              </w:rPr>
              <w:t>Title</w:t>
            </w:r>
            <w:r w:rsidRPr="576DAA00">
              <w:rPr>
                <w:rFonts w:ascii="Calibri" w:eastAsia="Calibri" w:hAnsi="Calibri" w:cs="Calibri"/>
                <w:color w:val="161949"/>
              </w:rPr>
              <w:t xml:space="preserve"> </w:t>
            </w:r>
          </w:p>
        </w:tc>
        <w:tc>
          <w:tcPr>
            <w:tcW w:w="3005" w:type="dxa"/>
            <w:tcBorders>
              <w:top w:val="single" w:sz="4" w:space="0" w:color="9E9E9E"/>
              <w:left w:val="single" w:sz="4" w:space="0" w:color="9E9E9E"/>
              <w:bottom w:val="single" w:sz="4" w:space="0" w:color="9E9E9E"/>
              <w:right w:val="single" w:sz="4" w:space="0" w:color="9E9E9E"/>
            </w:tcBorders>
            <w:vAlign w:val="center"/>
          </w:tcPr>
          <w:p w14:paraId="0B498E60" w14:textId="1DA2C1F4" w:rsidR="576DAA00" w:rsidRDefault="576DAA00" w:rsidP="576DAA00">
            <w:pPr>
              <w:spacing w:after="0"/>
            </w:pPr>
            <w:r w:rsidRPr="576DAA00">
              <w:rPr>
                <w:rFonts w:ascii="Calibri" w:eastAsia="Calibri" w:hAnsi="Calibri" w:cs="Calibri"/>
                <w:b/>
                <w:bCs/>
                <w:color w:val="161949"/>
              </w:rPr>
              <w:t>Description</w:t>
            </w:r>
            <w:r w:rsidRPr="576DAA00">
              <w:rPr>
                <w:rFonts w:ascii="Calibri" w:eastAsia="Calibri" w:hAnsi="Calibri" w:cs="Calibri"/>
                <w:color w:val="161949"/>
              </w:rPr>
              <w:t xml:space="preserve"> </w:t>
            </w:r>
          </w:p>
        </w:tc>
        <w:tc>
          <w:tcPr>
            <w:tcW w:w="3005" w:type="dxa"/>
            <w:tcBorders>
              <w:top w:val="single" w:sz="4" w:space="0" w:color="9E9E9E"/>
              <w:left w:val="single" w:sz="4" w:space="0" w:color="9E9E9E"/>
              <w:bottom w:val="single" w:sz="4" w:space="0" w:color="9E9E9E"/>
              <w:right w:val="single" w:sz="4" w:space="0" w:color="9E9E9E"/>
            </w:tcBorders>
            <w:vAlign w:val="center"/>
          </w:tcPr>
          <w:p w14:paraId="54D0BDBE" w14:textId="5BEC2450" w:rsidR="576DAA00" w:rsidRDefault="576DAA00" w:rsidP="576DAA00">
            <w:pPr>
              <w:spacing w:after="0"/>
            </w:pPr>
            <w:r w:rsidRPr="576DAA00">
              <w:rPr>
                <w:rFonts w:ascii="Calibri" w:eastAsia="Calibri" w:hAnsi="Calibri" w:cs="Calibri"/>
                <w:b/>
                <w:bCs/>
                <w:color w:val="161949"/>
              </w:rPr>
              <w:t>What Solvay is looking for</w:t>
            </w:r>
            <w:r w:rsidRPr="576DAA00">
              <w:rPr>
                <w:rFonts w:ascii="Calibri" w:eastAsia="Calibri" w:hAnsi="Calibri" w:cs="Calibri"/>
                <w:color w:val="161949"/>
              </w:rPr>
              <w:t xml:space="preserve"> </w:t>
            </w:r>
          </w:p>
        </w:tc>
      </w:tr>
      <w:tr w:rsidR="576DAA00" w14:paraId="6D51A9BA" w14:textId="77777777" w:rsidTr="576DAA00">
        <w:trPr>
          <w:trHeight w:val="2010"/>
        </w:trPr>
        <w:tc>
          <w:tcPr>
            <w:tcW w:w="3005" w:type="dxa"/>
            <w:tcBorders>
              <w:top w:val="single" w:sz="4" w:space="0" w:color="9E9E9E"/>
              <w:left w:val="single" w:sz="4" w:space="0" w:color="9E9E9E"/>
              <w:bottom w:val="single" w:sz="4" w:space="0" w:color="9E9E9E"/>
              <w:right w:val="single" w:sz="4" w:space="0" w:color="9E9E9E"/>
            </w:tcBorders>
          </w:tcPr>
          <w:p w14:paraId="1F69E111" w14:textId="46FA13DD" w:rsidR="576DAA00" w:rsidRDefault="576DAA00" w:rsidP="576DAA00">
            <w:pPr>
              <w:spacing w:after="0"/>
            </w:pPr>
            <w:r w:rsidRPr="576DAA00">
              <w:rPr>
                <w:rFonts w:ascii="Calibri" w:eastAsia="Calibri" w:hAnsi="Calibri" w:cs="Calibri"/>
                <w:color w:val="161949"/>
                <w:sz w:val="20"/>
                <w:szCs w:val="20"/>
              </w:rPr>
              <w:t xml:space="preserve">Upcycling of </w:t>
            </w:r>
            <w:proofErr w:type="gramStart"/>
            <w:r w:rsidRPr="576DAA00">
              <w:rPr>
                <w:rFonts w:ascii="Calibri" w:eastAsia="Calibri" w:hAnsi="Calibri" w:cs="Calibri"/>
                <w:color w:val="161949"/>
                <w:sz w:val="20"/>
                <w:szCs w:val="20"/>
              </w:rPr>
              <w:t>end of life</w:t>
            </w:r>
            <w:proofErr w:type="gramEnd"/>
            <w:r w:rsidRPr="576DAA00">
              <w:rPr>
                <w:rFonts w:ascii="Calibri" w:eastAsia="Calibri" w:hAnsi="Calibri" w:cs="Calibri"/>
                <w:color w:val="161949"/>
                <w:sz w:val="20"/>
                <w:szCs w:val="20"/>
              </w:rPr>
              <w:t xml:space="preserve"> complex polymer mixtures </w:t>
            </w:r>
          </w:p>
        </w:tc>
        <w:tc>
          <w:tcPr>
            <w:tcW w:w="3005" w:type="dxa"/>
            <w:tcBorders>
              <w:top w:val="single" w:sz="4" w:space="0" w:color="9E9E9E"/>
              <w:left w:val="single" w:sz="4" w:space="0" w:color="9E9E9E"/>
              <w:bottom w:val="single" w:sz="4" w:space="0" w:color="9E9E9E"/>
              <w:right w:val="single" w:sz="4" w:space="0" w:color="9E9E9E"/>
            </w:tcBorders>
          </w:tcPr>
          <w:p w14:paraId="481028B0" w14:textId="072F8382" w:rsidR="576DAA00" w:rsidRDefault="576DAA00" w:rsidP="576DAA00">
            <w:pPr>
              <w:spacing w:after="0"/>
            </w:pPr>
            <w:r w:rsidRPr="576DAA00">
              <w:rPr>
                <w:rFonts w:ascii="Calibri" w:eastAsia="Calibri" w:hAnsi="Calibri" w:cs="Calibri"/>
                <w:color w:val="161949"/>
                <w:sz w:val="20"/>
                <w:szCs w:val="20"/>
              </w:rPr>
              <w:t xml:space="preserve">How to valorise end of life complex advanced materials (containing fillers, </w:t>
            </w:r>
            <w:proofErr w:type="spellStart"/>
            <w:proofErr w:type="gramStart"/>
            <w:r w:rsidRPr="576DAA00">
              <w:rPr>
                <w:rFonts w:ascii="Calibri" w:eastAsia="Calibri" w:hAnsi="Calibri" w:cs="Calibri"/>
                <w:color w:val="161949"/>
                <w:sz w:val="20"/>
                <w:szCs w:val="20"/>
              </w:rPr>
              <w:t>fibers</w:t>
            </w:r>
            <w:proofErr w:type="spellEnd"/>
            <w:r w:rsidRPr="576DAA00">
              <w:rPr>
                <w:rFonts w:ascii="Calibri" w:eastAsia="Calibri" w:hAnsi="Calibri" w:cs="Calibri"/>
                <w:color w:val="161949"/>
                <w:sz w:val="20"/>
                <w:szCs w:val="20"/>
              </w:rPr>
              <w:t>,…</w:t>
            </w:r>
            <w:proofErr w:type="gramEnd"/>
            <w:r w:rsidRPr="576DAA00">
              <w:rPr>
                <w:rFonts w:ascii="Calibri" w:eastAsia="Calibri" w:hAnsi="Calibri" w:cs="Calibri"/>
                <w:color w:val="161949"/>
                <w:sz w:val="20"/>
                <w:szCs w:val="20"/>
              </w:rPr>
              <w:t xml:space="preserve">) without or with minimum separation </w:t>
            </w:r>
          </w:p>
          <w:p w14:paraId="03D46EA8" w14:textId="2208E992" w:rsidR="576DAA00" w:rsidRDefault="576DAA00" w:rsidP="576DAA00">
            <w:pPr>
              <w:spacing w:after="0"/>
            </w:pPr>
            <w:r w:rsidRPr="576DAA00">
              <w:rPr>
                <w:rFonts w:ascii="Calibri" w:eastAsia="Calibri" w:hAnsi="Calibri" w:cs="Calibri"/>
                <w:color w:val="161949"/>
                <w:sz w:val="20"/>
                <w:szCs w:val="20"/>
              </w:rPr>
              <w:t xml:space="preserve"> </w:t>
            </w:r>
          </w:p>
        </w:tc>
        <w:tc>
          <w:tcPr>
            <w:tcW w:w="3005" w:type="dxa"/>
            <w:tcBorders>
              <w:top w:val="single" w:sz="4" w:space="0" w:color="9E9E9E"/>
              <w:left w:val="single" w:sz="4" w:space="0" w:color="9E9E9E"/>
              <w:bottom w:val="single" w:sz="4" w:space="0" w:color="9E9E9E"/>
              <w:right w:val="single" w:sz="4" w:space="0" w:color="9E9E9E"/>
            </w:tcBorders>
          </w:tcPr>
          <w:p w14:paraId="633CD6F5" w14:textId="7A4ECF38" w:rsidR="576DAA00" w:rsidRDefault="576DAA00" w:rsidP="576DAA00">
            <w:pPr>
              <w:spacing w:after="0"/>
            </w:pPr>
            <w:r w:rsidRPr="576DAA00">
              <w:rPr>
                <w:rFonts w:ascii="Calibri" w:eastAsia="Calibri" w:hAnsi="Calibri" w:cs="Calibri"/>
                <w:color w:val="161949"/>
                <w:sz w:val="20"/>
                <w:szCs w:val="20"/>
              </w:rPr>
              <w:t xml:space="preserve">We are looking for technologies that allow the upcycling of complex mixtures of polymers that are difficult to separate. </w:t>
            </w:r>
          </w:p>
          <w:p w14:paraId="37A92B1F" w14:textId="4DBB3CE6" w:rsidR="576DAA00" w:rsidRDefault="576DAA00" w:rsidP="576DAA00">
            <w:pPr>
              <w:spacing w:after="0"/>
            </w:pPr>
            <w:r w:rsidRPr="576DAA00">
              <w:rPr>
                <w:rFonts w:ascii="Calibri" w:eastAsia="Calibri" w:hAnsi="Calibri" w:cs="Calibri"/>
                <w:color w:val="161949"/>
                <w:sz w:val="20"/>
                <w:szCs w:val="20"/>
              </w:rPr>
              <w:t xml:space="preserve">The generated products could be used in the same initial application or in new ones, with or without further transformations. Sustainable and innovative technologies will be key! </w:t>
            </w:r>
          </w:p>
        </w:tc>
      </w:tr>
      <w:tr w:rsidR="576DAA00" w14:paraId="0CE46035" w14:textId="77777777" w:rsidTr="576DAA00">
        <w:trPr>
          <w:trHeight w:val="4860"/>
        </w:trPr>
        <w:tc>
          <w:tcPr>
            <w:tcW w:w="3005" w:type="dxa"/>
            <w:tcBorders>
              <w:top w:val="single" w:sz="4" w:space="0" w:color="9E9E9E"/>
              <w:left w:val="single" w:sz="4" w:space="0" w:color="9E9E9E"/>
              <w:bottom w:val="single" w:sz="4" w:space="0" w:color="9E9E9E"/>
              <w:right w:val="single" w:sz="4" w:space="0" w:color="9E9E9E"/>
            </w:tcBorders>
          </w:tcPr>
          <w:p w14:paraId="744CDF85" w14:textId="681AAA5A" w:rsidR="576DAA00" w:rsidRDefault="576DAA00" w:rsidP="576DAA00">
            <w:pPr>
              <w:spacing w:after="0"/>
            </w:pPr>
            <w:r w:rsidRPr="576DAA00">
              <w:rPr>
                <w:rFonts w:ascii="Calibri" w:eastAsia="Calibri" w:hAnsi="Calibri" w:cs="Calibri"/>
                <w:color w:val="161949"/>
                <w:sz w:val="20"/>
                <w:szCs w:val="20"/>
              </w:rPr>
              <w:t>Breaking the Biodegradability / Stability trade-</w:t>
            </w:r>
            <w:proofErr w:type="spellStart"/>
            <w:r w:rsidRPr="576DAA00">
              <w:rPr>
                <w:rFonts w:ascii="Calibri" w:eastAsia="Calibri" w:hAnsi="Calibri" w:cs="Calibri"/>
                <w:color w:val="161949"/>
                <w:sz w:val="20"/>
                <w:szCs w:val="20"/>
              </w:rPr>
              <w:t>of</w:t>
            </w:r>
            <w:proofErr w:type="spellEnd"/>
            <w:r w:rsidRPr="576DAA00">
              <w:rPr>
                <w:rFonts w:ascii="Calibri" w:eastAsia="Calibri" w:hAnsi="Calibri" w:cs="Calibri"/>
                <w:color w:val="161949"/>
                <w:sz w:val="20"/>
                <w:szCs w:val="20"/>
              </w:rPr>
              <w:t xml:space="preserve"> for polymers in liquid formulations </w:t>
            </w:r>
          </w:p>
        </w:tc>
        <w:tc>
          <w:tcPr>
            <w:tcW w:w="3005" w:type="dxa"/>
            <w:tcBorders>
              <w:top w:val="single" w:sz="4" w:space="0" w:color="9E9E9E"/>
              <w:left w:val="single" w:sz="4" w:space="0" w:color="9E9E9E"/>
              <w:bottom w:val="single" w:sz="4" w:space="0" w:color="9E9E9E"/>
              <w:right w:val="single" w:sz="4" w:space="0" w:color="9E9E9E"/>
            </w:tcBorders>
          </w:tcPr>
          <w:p w14:paraId="0836350E" w14:textId="199D4C28" w:rsidR="576DAA00" w:rsidRDefault="576DAA00" w:rsidP="576DAA00">
            <w:pPr>
              <w:spacing w:after="0"/>
            </w:pPr>
            <w:r w:rsidRPr="576DAA00">
              <w:rPr>
                <w:rFonts w:ascii="Calibri" w:eastAsia="Calibri" w:hAnsi="Calibri" w:cs="Calibri"/>
                <w:color w:val="161949"/>
                <w:sz w:val="20"/>
                <w:szCs w:val="20"/>
              </w:rPr>
              <w:t xml:space="preserve">With the increasing focus of regulatory authorities on ensuring a pollution free environment, polymers in liquid formulations that end up in different environmental compartments are under heavy scrutiny. It is necessary to develop biodegradable products that rapidly degrade in the environment through the action of microorganisms (biodegradation) without compromising on cost, </w:t>
            </w:r>
            <w:proofErr w:type="gramStart"/>
            <w:r w:rsidRPr="576DAA00">
              <w:rPr>
                <w:rFonts w:ascii="Calibri" w:eastAsia="Calibri" w:hAnsi="Calibri" w:cs="Calibri"/>
                <w:color w:val="161949"/>
                <w:sz w:val="20"/>
                <w:szCs w:val="20"/>
              </w:rPr>
              <w:t>performance</w:t>
            </w:r>
            <w:proofErr w:type="gramEnd"/>
            <w:r w:rsidRPr="576DAA00">
              <w:rPr>
                <w:rFonts w:ascii="Calibri" w:eastAsia="Calibri" w:hAnsi="Calibri" w:cs="Calibri"/>
                <w:color w:val="161949"/>
                <w:sz w:val="20"/>
                <w:szCs w:val="20"/>
              </w:rPr>
              <w:t xml:space="preserve"> and stability in final formulations. The latter is particularly challenging as ready biodegradability (a highly desired property) often comes with a loss of stability </w:t>
            </w:r>
          </w:p>
        </w:tc>
        <w:tc>
          <w:tcPr>
            <w:tcW w:w="3005" w:type="dxa"/>
            <w:tcBorders>
              <w:top w:val="single" w:sz="4" w:space="0" w:color="9E9E9E"/>
              <w:left w:val="single" w:sz="4" w:space="0" w:color="9E9E9E"/>
              <w:bottom w:val="single" w:sz="4" w:space="0" w:color="9E9E9E"/>
              <w:right w:val="single" w:sz="4" w:space="0" w:color="9E9E9E"/>
            </w:tcBorders>
          </w:tcPr>
          <w:p w14:paraId="576F2DCF" w14:textId="570B65B9" w:rsidR="576DAA00" w:rsidRDefault="576DAA00" w:rsidP="576DAA00">
            <w:pPr>
              <w:spacing w:after="0"/>
            </w:pPr>
            <w:r w:rsidRPr="576DAA00">
              <w:rPr>
                <w:rFonts w:ascii="Calibri" w:eastAsia="Calibri" w:hAnsi="Calibri" w:cs="Calibri"/>
                <w:color w:val="161949"/>
                <w:sz w:val="20"/>
                <w:szCs w:val="20"/>
              </w:rPr>
              <w:t xml:space="preserve">Water soluble or water dispersible functional polymer technologies that are able to match the cost and performance of widely used acrylate polymeric formulation </w:t>
            </w:r>
            <w:proofErr w:type="gramStart"/>
            <w:r w:rsidRPr="576DAA00">
              <w:rPr>
                <w:rFonts w:ascii="Calibri" w:eastAsia="Calibri" w:hAnsi="Calibri" w:cs="Calibri"/>
                <w:color w:val="161949"/>
                <w:sz w:val="20"/>
                <w:szCs w:val="20"/>
              </w:rPr>
              <w:t>ingredients</w:t>
            </w:r>
            <w:proofErr w:type="gramEnd"/>
            <w:r w:rsidRPr="576DAA00">
              <w:rPr>
                <w:rFonts w:ascii="Calibri" w:eastAsia="Calibri" w:hAnsi="Calibri" w:cs="Calibri"/>
                <w:color w:val="161949"/>
                <w:sz w:val="20"/>
                <w:szCs w:val="20"/>
              </w:rPr>
              <w:t xml:space="preserve"> but which are readily biodegradable (OECD301) and stable in aqueous based formulations over at least 2 years at room temperature across a wide pH window (from acidic to basic depending on the targeted final application type. </w:t>
            </w:r>
          </w:p>
        </w:tc>
      </w:tr>
    </w:tbl>
    <w:p w14:paraId="3178EF97" w14:textId="2174ED55" w:rsidR="005A2C60" w:rsidRDefault="0A36D324" w:rsidP="576DAA00">
      <w:pPr>
        <w:spacing w:after="0" w:line="240" w:lineRule="exact"/>
      </w:pPr>
      <w:r w:rsidRPr="576DAA00">
        <w:rPr>
          <w:rFonts w:ascii="Calibri" w:eastAsia="Calibri" w:hAnsi="Calibri" w:cs="Calibri"/>
          <w:color w:val="365F91"/>
        </w:rPr>
        <w:t xml:space="preserve"> </w:t>
      </w:r>
    </w:p>
    <w:p w14:paraId="08BC656E" w14:textId="011B5D64" w:rsidR="005A2C60" w:rsidRDefault="0A36D324" w:rsidP="576DAA00">
      <w:pPr>
        <w:spacing w:after="0" w:line="240" w:lineRule="exact"/>
      </w:pPr>
      <w:r w:rsidRPr="576DAA00">
        <w:rPr>
          <w:rFonts w:ascii="Calibri" w:eastAsia="Calibri" w:hAnsi="Calibri" w:cs="Calibri"/>
          <w:color w:val="000000" w:themeColor="text1"/>
        </w:rPr>
        <w:t xml:space="preserve">This online session exclusively offered to: </w:t>
      </w:r>
    </w:p>
    <w:p w14:paraId="48637D47" w14:textId="2AC3B398" w:rsidR="005A2C60" w:rsidRDefault="0A36D324" w:rsidP="576DAA00">
      <w:pPr>
        <w:spacing w:after="0" w:line="240" w:lineRule="exact"/>
      </w:pPr>
      <w:r w:rsidRPr="576DAA00">
        <w:rPr>
          <w:rFonts w:ascii="Calibri" w:eastAsia="Calibri" w:hAnsi="Calibri" w:cs="Calibri"/>
          <w:color w:val="000000" w:themeColor="text1"/>
        </w:rPr>
        <w:t xml:space="preserve">1) SMEs/Start-ups from the cleantech sector  </w:t>
      </w:r>
    </w:p>
    <w:p w14:paraId="1E6FA24B" w14:textId="588E5C83" w:rsidR="005A2C60" w:rsidRDefault="0A36D324" w:rsidP="576DAA00">
      <w:pPr>
        <w:spacing w:after="0" w:line="240" w:lineRule="exact"/>
      </w:pPr>
      <w:r w:rsidRPr="576DAA00">
        <w:rPr>
          <w:rFonts w:ascii="Calibri" w:eastAsia="Calibri" w:hAnsi="Calibri" w:cs="Calibri"/>
          <w:color w:val="000000" w:themeColor="text1"/>
        </w:rPr>
        <w:t xml:space="preserve">2) from any Eureka country: Albania, Austria, Belgium, Bosnia and Herzegovina, Bulgaria, Canada, Chile, Croatia, Cyprus, Czech Republic, Denmark, Estonia, Finland, France, Germany, Greece, Hungary, Iceland, Ireland, Israel, Italy, Latvia, Lithuania, Luxembourg, Malta, Monaco, Montenegro, North Macedonia, Norway, Poland, Portugal, Romania, San Marino, Serbia, Singapore, Slovakia, Slovenia, South Africa, South Korea, Spain, Sweden, Switzerland, The Netherlands, Türkiye, Ukraine, United Kingdom. Please note that only companies from these countries can apply!!  </w:t>
      </w:r>
    </w:p>
    <w:p w14:paraId="53E68F8D" w14:textId="3127B6DF" w:rsidR="005A2C60" w:rsidRDefault="0A36D324" w:rsidP="576DAA00">
      <w:pPr>
        <w:spacing w:after="0" w:line="240" w:lineRule="exact"/>
      </w:pPr>
      <w:r w:rsidRPr="576DAA00">
        <w:rPr>
          <w:rFonts w:ascii="Calibri" w:eastAsia="Calibri" w:hAnsi="Calibri" w:cs="Calibri"/>
          <w:color w:val="000000" w:themeColor="text1"/>
        </w:rPr>
        <w:t xml:space="preserve">3) at TRL &gt;3 (POC done) - with real applications - with some references </w:t>
      </w:r>
    </w:p>
    <w:p w14:paraId="5E5787A5" w14:textId="335ED2AE" w:rsidR="005A2C60" w:rsidRDefault="00000000" w:rsidP="5962D5A0">
      <w:pPr>
        <w:spacing w:line="240" w:lineRule="exact"/>
      </w:pPr>
      <w:r>
        <w:br/>
      </w:r>
    </w:p>
    <w:sectPr w:rsidR="005A2C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769FF"/>
    <w:multiLevelType w:val="hybridMultilevel"/>
    <w:tmpl w:val="6F08F37C"/>
    <w:lvl w:ilvl="0" w:tplc="7FB853E8">
      <w:start w:val="1"/>
      <w:numFmt w:val="bullet"/>
      <w:lvlText w:val="-"/>
      <w:lvlJc w:val="left"/>
      <w:pPr>
        <w:ind w:left="720" w:hanging="360"/>
      </w:pPr>
      <w:rPr>
        <w:rFonts w:ascii="Calibri" w:hAnsi="Calibri" w:hint="default"/>
      </w:rPr>
    </w:lvl>
    <w:lvl w:ilvl="1" w:tplc="864A6FD6">
      <w:start w:val="1"/>
      <w:numFmt w:val="bullet"/>
      <w:lvlText w:val="o"/>
      <w:lvlJc w:val="left"/>
      <w:pPr>
        <w:ind w:left="1440" w:hanging="360"/>
      </w:pPr>
      <w:rPr>
        <w:rFonts w:ascii="Courier New" w:hAnsi="Courier New" w:hint="default"/>
      </w:rPr>
    </w:lvl>
    <w:lvl w:ilvl="2" w:tplc="CCFC8A7A">
      <w:start w:val="1"/>
      <w:numFmt w:val="bullet"/>
      <w:lvlText w:val=""/>
      <w:lvlJc w:val="left"/>
      <w:pPr>
        <w:ind w:left="2160" w:hanging="360"/>
      </w:pPr>
      <w:rPr>
        <w:rFonts w:ascii="Wingdings" w:hAnsi="Wingdings" w:hint="default"/>
      </w:rPr>
    </w:lvl>
    <w:lvl w:ilvl="3" w:tplc="E7228542">
      <w:start w:val="1"/>
      <w:numFmt w:val="bullet"/>
      <w:lvlText w:val=""/>
      <w:lvlJc w:val="left"/>
      <w:pPr>
        <w:ind w:left="2880" w:hanging="360"/>
      </w:pPr>
      <w:rPr>
        <w:rFonts w:ascii="Symbol" w:hAnsi="Symbol" w:hint="default"/>
      </w:rPr>
    </w:lvl>
    <w:lvl w:ilvl="4" w:tplc="BB8A573A">
      <w:start w:val="1"/>
      <w:numFmt w:val="bullet"/>
      <w:lvlText w:val="o"/>
      <w:lvlJc w:val="left"/>
      <w:pPr>
        <w:ind w:left="3600" w:hanging="360"/>
      </w:pPr>
      <w:rPr>
        <w:rFonts w:ascii="Courier New" w:hAnsi="Courier New" w:hint="default"/>
      </w:rPr>
    </w:lvl>
    <w:lvl w:ilvl="5" w:tplc="9E64CB38">
      <w:start w:val="1"/>
      <w:numFmt w:val="bullet"/>
      <w:lvlText w:val=""/>
      <w:lvlJc w:val="left"/>
      <w:pPr>
        <w:ind w:left="4320" w:hanging="360"/>
      </w:pPr>
      <w:rPr>
        <w:rFonts w:ascii="Wingdings" w:hAnsi="Wingdings" w:hint="default"/>
      </w:rPr>
    </w:lvl>
    <w:lvl w:ilvl="6" w:tplc="D9F4F412">
      <w:start w:val="1"/>
      <w:numFmt w:val="bullet"/>
      <w:lvlText w:val=""/>
      <w:lvlJc w:val="left"/>
      <w:pPr>
        <w:ind w:left="5040" w:hanging="360"/>
      </w:pPr>
      <w:rPr>
        <w:rFonts w:ascii="Symbol" w:hAnsi="Symbol" w:hint="default"/>
      </w:rPr>
    </w:lvl>
    <w:lvl w:ilvl="7" w:tplc="D7BAB2C0">
      <w:start w:val="1"/>
      <w:numFmt w:val="bullet"/>
      <w:lvlText w:val="o"/>
      <w:lvlJc w:val="left"/>
      <w:pPr>
        <w:ind w:left="5760" w:hanging="360"/>
      </w:pPr>
      <w:rPr>
        <w:rFonts w:ascii="Courier New" w:hAnsi="Courier New" w:hint="default"/>
      </w:rPr>
    </w:lvl>
    <w:lvl w:ilvl="8" w:tplc="FDC29658">
      <w:start w:val="1"/>
      <w:numFmt w:val="bullet"/>
      <w:lvlText w:val=""/>
      <w:lvlJc w:val="left"/>
      <w:pPr>
        <w:ind w:left="6480" w:hanging="360"/>
      </w:pPr>
      <w:rPr>
        <w:rFonts w:ascii="Wingdings" w:hAnsi="Wingdings" w:hint="default"/>
      </w:rPr>
    </w:lvl>
  </w:abstractNum>
  <w:num w:numId="1" w16cid:durableId="665981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03DF81"/>
    <w:rsid w:val="00267C67"/>
    <w:rsid w:val="005A2C60"/>
    <w:rsid w:val="015CF0C5"/>
    <w:rsid w:val="0268DEFB"/>
    <w:rsid w:val="04382DEE"/>
    <w:rsid w:val="05448C7B"/>
    <w:rsid w:val="05D86D3B"/>
    <w:rsid w:val="0A36D324"/>
    <w:rsid w:val="0C55E475"/>
    <w:rsid w:val="0D996D64"/>
    <w:rsid w:val="102D589F"/>
    <w:rsid w:val="1031FEE3"/>
    <w:rsid w:val="103C6BE6"/>
    <w:rsid w:val="13D64B65"/>
    <w:rsid w:val="13DFA358"/>
    <w:rsid w:val="14BD5900"/>
    <w:rsid w:val="14F0994B"/>
    <w:rsid w:val="16C47B03"/>
    <w:rsid w:val="17D4B198"/>
    <w:rsid w:val="1CFB7564"/>
    <w:rsid w:val="1ECFAC59"/>
    <w:rsid w:val="1FE0E867"/>
    <w:rsid w:val="21BB47D5"/>
    <w:rsid w:val="2203DF81"/>
    <w:rsid w:val="22ACDE33"/>
    <w:rsid w:val="22C7B3B7"/>
    <w:rsid w:val="2377AEAB"/>
    <w:rsid w:val="243264CA"/>
    <w:rsid w:val="244C40A1"/>
    <w:rsid w:val="25A022C4"/>
    <w:rsid w:val="269C0D44"/>
    <w:rsid w:val="292F9590"/>
    <w:rsid w:val="2AC99F89"/>
    <w:rsid w:val="2B82C090"/>
    <w:rsid w:val="2BDB5FB4"/>
    <w:rsid w:val="2C685EE4"/>
    <w:rsid w:val="2E56F896"/>
    <w:rsid w:val="3148C91A"/>
    <w:rsid w:val="324C2551"/>
    <w:rsid w:val="32BD77F1"/>
    <w:rsid w:val="32FBAFF9"/>
    <w:rsid w:val="341627F2"/>
    <w:rsid w:val="345568EC"/>
    <w:rsid w:val="392EC6A4"/>
    <w:rsid w:val="3A56E6B3"/>
    <w:rsid w:val="3C95B3B4"/>
    <w:rsid w:val="3D447ED9"/>
    <w:rsid w:val="3E1B4ABE"/>
    <w:rsid w:val="3FF739DE"/>
    <w:rsid w:val="435F6E7E"/>
    <w:rsid w:val="45EE16C6"/>
    <w:rsid w:val="46BA26FE"/>
    <w:rsid w:val="47B63197"/>
    <w:rsid w:val="48C75458"/>
    <w:rsid w:val="4C89A2BA"/>
    <w:rsid w:val="4D923CD2"/>
    <w:rsid w:val="4E25731B"/>
    <w:rsid w:val="4EBF0839"/>
    <w:rsid w:val="4F4FBE39"/>
    <w:rsid w:val="4FC93102"/>
    <w:rsid w:val="510B71A9"/>
    <w:rsid w:val="52EC1C98"/>
    <w:rsid w:val="559B5489"/>
    <w:rsid w:val="57077D1F"/>
    <w:rsid w:val="5730A8AA"/>
    <w:rsid w:val="576DAA00"/>
    <w:rsid w:val="5962D5A0"/>
    <w:rsid w:val="5A52C2A2"/>
    <w:rsid w:val="5A9308C2"/>
    <w:rsid w:val="5F92DF85"/>
    <w:rsid w:val="5FDF54CC"/>
    <w:rsid w:val="636251A3"/>
    <w:rsid w:val="6829DD78"/>
    <w:rsid w:val="6ADAAB13"/>
    <w:rsid w:val="6BFCA209"/>
    <w:rsid w:val="6C1ED6CD"/>
    <w:rsid w:val="6F1EE02B"/>
    <w:rsid w:val="750D9DE4"/>
    <w:rsid w:val="78565DB6"/>
    <w:rsid w:val="78C1FCB4"/>
    <w:rsid w:val="7A2AE5CD"/>
    <w:rsid w:val="7A5DCD15"/>
    <w:rsid w:val="7B27A84F"/>
    <w:rsid w:val="7D1DA7F7"/>
    <w:rsid w:val="7D909966"/>
    <w:rsid w:val="7E01F9B6"/>
    <w:rsid w:val="7E121BE1"/>
    <w:rsid w:val="7F313E38"/>
    <w:rsid w:val="7F5A4D9B"/>
    <w:rsid w:val="7F647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DF81"/>
  <w15:chartTrackingRefBased/>
  <w15:docId w15:val="{93BF9088-3119-42DB-BA91-FAD3014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563C1" w:themeColor="hyperlink"/>
      <w:u w:val="single"/>
    </w:rPr>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vay.com/en/our-company/our-businesses/advanced-materials" TargetMode="External"/><Relationship Id="rId13" Type="http://schemas.openxmlformats.org/officeDocument/2006/relationships/hyperlink" Target="https://attendee.gotowebinar.com/register/534951262758997564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olvay.com/en/solutions-market/renewable-materials-biotechn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lvay.com/en/one-pla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olvay.com/en/our-company/our-businesses/solutions" TargetMode="External"/><Relationship Id="rId4" Type="http://schemas.openxmlformats.org/officeDocument/2006/relationships/numbering" Target="numbering.xml"/><Relationship Id="rId9" Type="http://schemas.openxmlformats.org/officeDocument/2006/relationships/hyperlink" Target="https://www.solvay.com/en/our-company/our-businesses/performance-chemic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9a8fd0-2b77-45ca-9295-9674ea97b158">
      <UserInfo>
        <DisplayName>Katie Shaw</DisplayName>
        <AccountId>18</AccountId>
        <AccountType/>
      </UserInfo>
      <UserInfo>
        <DisplayName>Sara Raveggi</DisplayName>
        <AccountId>289</AccountId>
        <AccountType/>
      </UserInfo>
      <UserInfo>
        <DisplayName>Jorge Liz</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BF45B16F94CC43906D2FF2164A9D7D" ma:contentTypeVersion="13" ma:contentTypeDescription="Create a new document." ma:contentTypeScope="" ma:versionID="e29bcc7198f857e982bf70a4e065bb77">
  <xsd:schema xmlns:xsd="http://www.w3.org/2001/XMLSchema" xmlns:xs="http://www.w3.org/2001/XMLSchema" xmlns:p="http://schemas.microsoft.com/office/2006/metadata/properties" xmlns:ns2="3fa309a0-dfe1-4ca3-9466-17021bda70e0" xmlns:ns3="ec9a8fd0-2b77-45ca-9295-9674ea97b158" targetNamespace="http://schemas.microsoft.com/office/2006/metadata/properties" ma:root="true" ma:fieldsID="2cc873f6e0589b601d0e195063219592" ns2:_="" ns3:_="">
    <xsd:import namespace="3fa309a0-dfe1-4ca3-9466-17021bda70e0"/>
    <xsd:import namespace="ec9a8fd0-2b77-45ca-9295-9674ea97b1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309a0-dfe1-4ca3-9466-17021bda7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a8fd0-2b77-45ca-9295-9674ea97b1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DEF6BB-A6FF-45CC-924D-5B812AF85EF3}">
  <ds:schemaRefs>
    <ds:schemaRef ds:uri="http://schemas.microsoft.com/office/2006/metadata/properties"/>
    <ds:schemaRef ds:uri="http://schemas.microsoft.com/office/infopath/2007/PartnerControls"/>
    <ds:schemaRef ds:uri="ec9a8fd0-2b77-45ca-9295-9674ea97b158"/>
  </ds:schemaRefs>
</ds:datastoreItem>
</file>

<file path=customXml/itemProps2.xml><?xml version="1.0" encoding="utf-8"?>
<ds:datastoreItem xmlns:ds="http://schemas.openxmlformats.org/officeDocument/2006/customXml" ds:itemID="{D9D34B6C-011E-4AC7-82BE-0F3FDA249E4D}">
  <ds:schemaRefs>
    <ds:schemaRef ds:uri="http://schemas.microsoft.com/sharepoint/v3/contenttype/forms"/>
  </ds:schemaRefs>
</ds:datastoreItem>
</file>

<file path=customXml/itemProps3.xml><?xml version="1.0" encoding="utf-8"?>
<ds:datastoreItem xmlns:ds="http://schemas.openxmlformats.org/officeDocument/2006/customXml" ds:itemID="{709E5410-5104-4C29-BA77-A4FAB233F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309a0-dfe1-4ca3-9466-17021bda70e0"/>
    <ds:schemaRef ds:uri="ec9a8fd0-2b77-45ca-9295-9674ea97b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872</Words>
  <Characters>4712</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Fau</dc:creator>
  <cp:keywords/>
  <dc:description/>
  <cp:lastModifiedBy>Αλίκη–Μαρία Αργύρη</cp:lastModifiedBy>
  <cp:revision>2</cp:revision>
  <dcterms:created xsi:type="dcterms:W3CDTF">2023-09-05T11:47:00Z</dcterms:created>
  <dcterms:modified xsi:type="dcterms:W3CDTF">2023-09-05T11:47:00Z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0x01010003BF45B16F94CC43906D2FF2164A9D7D</vt:lpwstr>
  </property>
</Properties>
</file>