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6951B" w14:textId="7DCE1F10" w:rsidR="006442B6" w:rsidRPr="001B4208" w:rsidRDefault="006442B6" w:rsidP="0017374C">
      <w:pPr>
        <w:spacing w:after="0" w:line="240" w:lineRule="auto"/>
        <w:jc w:val="center"/>
        <w:rPr>
          <w:rFonts w:cstheme="majorHAnsi"/>
          <w:b/>
          <w:color w:val="262626" w:themeColor="text1" w:themeTint="D9"/>
          <w:sz w:val="28"/>
          <w:lang w:val="el-GR"/>
        </w:rPr>
      </w:pPr>
      <w:r w:rsidRPr="007D183B">
        <w:rPr>
          <w:rFonts w:cstheme="majorHAnsi"/>
          <w:b/>
          <w:color w:val="262626" w:themeColor="text1" w:themeTint="D9"/>
          <w:sz w:val="28"/>
          <w:lang w:val="el-GR"/>
        </w:rPr>
        <w:t>Στο 1,4</w:t>
      </w:r>
      <w:r w:rsidR="000C0313" w:rsidRPr="009D42F8">
        <w:rPr>
          <w:rFonts w:cstheme="majorHAnsi"/>
          <w:b/>
          <w:color w:val="262626" w:themeColor="text1" w:themeTint="D9"/>
          <w:sz w:val="28"/>
          <w:lang w:val="el-GR"/>
        </w:rPr>
        <w:t>9</w:t>
      </w:r>
      <w:r w:rsidRPr="007D183B">
        <w:rPr>
          <w:rFonts w:cstheme="majorHAnsi"/>
          <w:b/>
          <w:color w:val="262626" w:themeColor="text1" w:themeTint="D9"/>
          <w:sz w:val="28"/>
          <w:lang w:val="el-GR"/>
        </w:rPr>
        <w:t>% του ΑΕΠ το ποσοστό δαπανών</w:t>
      </w:r>
      <w:r w:rsidR="0017374C" w:rsidRPr="007D183B">
        <w:rPr>
          <w:rFonts w:cstheme="majorHAnsi"/>
          <w:b/>
          <w:color w:val="262626" w:themeColor="text1" w:themeTint="D9"/>
          <w:sz w:val="28"/>
          <w:lang w:val="el-GR"/>
        </w:rPr>
        <w:t xml:space="preserve"> </w:t>
      </w:r>
      <w:r w:rsidRPr="007D183B">
        <w:rPr>
          <w:rFonts w:cstheme="majorHAnsi"/>
          <w:b/>
          <w:color w:val="262626" w:themeColor="text1" w:themeTint="D9"/>
          <w:sz w:val="28"/>
          <w:lang w:val="el-GR"/>
        </w:rPr>
        <w:t>για Έρευνα &amp; Ανάπτυξη στην Ελλάδα</w:t>
      </w:r>
    </w:p>
    <w:p w14:paraId="618252FC" w14:textId="62DF10D8" w:rsidR="00AC6B29" w:rsidRPr="006442B6" w:rsidRDefault="000A018C" w:rsidP="006442B6">
      <w:pPr>
        <w:spacing w:after="0" w:line="240" w:lineRule="auto"/>
        <w:jc w:val="center"/>
        <w:rPr>
          <w:rFonts w:cstheme="majorHAnsi"/>
          <w:b/>
          <w:color w:val="262626" w:themeColor="text1" w:themeTint="D9"/>
          <w:sz w:val="28"/>
          <w:lang w:val="el-GR"/>
        </w:rPr>
      </w:pPr>
      <w:r w:rsidRPr="000A018C">
        <w:rPr>
          <w:rFonts w:cstheme="majorHAnsi"/>
          <w:color w:val="262626" w:themeColor="text1" w:themeTint="D9"/>
          <w:sz w:val="28"/>
          <w:lang w:val="el-GR"/>
        </w:rPr>
        <w:t>Αυξημένη η</w:t>
      </w:r>
      <w:r w:rsidRPr="006442B6">
        <w:rPr>
          <w:rFonts w:cstheme="majorHAnsi"/>
          <w:color w:val="262626" w:themeColor="text1" w:themeTint="D9"/>
          <w:sz w:val="28"/>
          <w:lang w:val="el-GR"/>
        </w:rPr>
        <w:t xml:space="preserve"> </w:t>
      </w:r>
      <w:r>
        <w:rPr>
          <w:rFonts w:cstheme="majorHAnsi"/>
          <w:color w:val="262626" w:themeColor="text1" w:themeTint="D9"/>
          <w:sz w:val="28"/>
          <w:lang w:val="el-GR"/>
        </w:rPr>
        <w:t xml:space="preserve">συμμετοχή των επιχειρήσεων στις </w:t>
      </w:r>
      <w:r w:rsidR="00BC5962">
        <w:rPr>
          <w:rFonts w:cstheme="majorHAnsi"/>
          <w:color w:val="262626" w:themeColor="text1" w:themeTint="D9"/>
          <w:sz w:val="28"/>
          <w:lang w:val="el-GR"/>
        </w:rPr>
        <w:t xml:space="preserve">δαπάνες </w:t>
      </w:r>
      <w:r>
        <w:rPr>
          <w:rFonts w:cstheme="majorHAnsi"/>
          <w:color w:val="262626" w:themeColor="text1" w:themeTint="D9"/>
          <w:sz w:val="28"/>
          <w:lang w:val="el-GR"/>
        </w:rPr>
        <w:t xml:space="preserve">Ε&amp;Α </w:t>
      </w:r>
      <w:r w:rsidR="0017374C" w:rsidRPr="0017374C">
        <w:rPr>
          <w:rFonts w:cstheme="majorHAnsi"/>
          <w:color w:val="262626" w:themeColor="text1" w:themeTint="D9"/>
          <w:sz w:val="28"/>
          <w:lang w:val="el-GR"/>
        </w:rPr>
        <w:br/>
      </w:r>
      <w:r w:rsidR="006442B6">
        <w:rPr>
          <w:rFonts w:cstheme="majorHAnsi"/>
          <w:color w:val="262626" w:themeColor="text1" w:themeTint="D9"/>
          <w:sz w:val="28"/>
          <w:lang w:val="el-GR"/>
        </w:rPr>
        <w:t xml:space="preserve">σύμφωνα με τα </w:t>
      </w:r>
      <w:r>
        <w:rPr>
          <w:rFonts w:cstheme="majorHAnsi"/>
          <w:color w:val="262626" w:themeColor="text1" w:themeTint="D9"/>
          <w:sz w:val="28"/>
          <w:lang w:val="el-GR"/>
        </w:rPr>
        <w:t xml:space="preserve">οριστικά </w:t>
      </w:r>
      <w:r w:rsidR="006442B6">
        <w:rPr>
          <w:rFonts w:cstheme="majorHAnsi"/>
          <w:color w:val="262626" w:themeColor="text1" w:themeTint="D9"/>
          <w:sz w:val="28"/>
          <w:lang w:val="el-GR"/>
        </w:rPr>
        <w:t xml:space="preserve">στοιχεία </w:t>
      </w:r>
      <w:r w:rsidR="0017374C" w:rsidRPr="0017374C">
        <w:rPr>
          <w:rFonts w:cstheme="majorHAnsi"/>
          <w:color w:val="262626" w:themeColor="text1" w:themeTint="D9"/>
          <w:sz w:val="28"/>
          <w:lang w:val="el-GR"/>
        </w:rPr>
        <w:t>για το 202</w:t>
      </w:r>
      <w:r w:rsidR="000C0313">
        <w:rPr>
          <w:rFonts w:cstheme="majorHAnsi"/>
          <w:color w:val="262626" w:themeColor="text1" w:themeTint="D9"/>
          <w:sz w:val="28"/>
          <w:lang w:val="el-GR"/>
        </w:rPr>
        <w:t>2</w:t>
      </w:r>
      <w:r w:rsidR="0017374C" w:rsidRPr="0017374C">
        <w:rPr>
          <w:rFonts w:cstheme="majorHAnsi"/>
          <w:color w:val="262626" w:themeColor="text1" w:themeTint="D9"/>
          <w:sz w:val="28"/>
          <w:lang w:val="el-GR"/>
        </w:rPr>
        <w:t xml:space="preserve"> </w:t>
      </w:r>
      <w:r w:rsidR="006442B6">
        <w:rPr>
          <w:rFonts w:cstheme="majorHAnsi"/>
          <w:color w:val="262626" w:themeColor="text1" w:themeTint="D9"/>
          <w:sz w:val="28"/>
          <w:lang w:val="el-GR"/>
        </w:rPr>
        <w:t>που δημοσίευσε το ΕΚΤ</w:t>
      </w:r>
    </w:p>
    <w:p w14:paraId="29E22737" w14:textId="77777777" w:rsidR="00797F30" w:rsidRPr="00150A15" w:rsidRDefault="00797F30" w:rsidP="00E12E09">
      <w:pPr>
        <w:spacing w:after="0" w:line="240" w:lineRule="auto"/>
        <w:ind w:firstLine="720"/>
        <w:jc w:val="center"/>
        <w:rPr>
          <w:rFonts w:cstheme="majorHAnsi"/>
          <w:color w:val="262626" w:themeColor="text1" w:themeTint="D9"/>
          <w:lang w:val="el-GR"/>
        </w:rPr>
      </w:pPr>
    </w:p>
    <w:p w14:paraId="64073A0D" w14:textId="65017A22" w:rsidR="009732E6" w:rsidRPr="00F43C22" w:rsidRDefault="00347D79" w:rsidP="00AC6B29">
      <w:pPr>
        <w:spacing w:before="80" w:after="80"/>
        <w:jc w:val="both"/>
        <w:rPr>
          <w:lang w:val="el-GR"/>
        </w:rPr>
      </w:pPr>
      <w:r>
        <w:rPr>
          <w:lang w:val="el-GR"/>
        </w:rPr>
        <w:t xml:space="preserve">Το 2022 </w:t>
      </w:r>
      <w:r w:rsidR="007D183B" w:rsidRPr="007D183B">
        <w:rPr>
          <w:lang w:val="el-GR"/>
        </w:rPr>
        <w:t>οι δαπάνες για Έρευνα &amp; Ανάπτυξη</w:t>
      </w:r>
      <w:r w:rsidR="00B31C0B">
        <w:rPr>
          <w:lang w:val="el-GR"/>
        </w:rPr>
        <w:t xml:space="preserve"> (Ε&amp;Α)</w:t>
      </w:r>
      <w:r w:rsidR="007D183B" w:rsidRPr="007D183B">
        <w:rPr>
          <w:lang w:val="el-GR"/>
        </w:rPr>
        <w:t xml:space="preserve"> </w:t>
      </w:r>
      <w:r w:rsidRPr="00AC6B29">
        <w:rPr>
          <w:lang w:val="el-GR"/>
        </w:rPr>
        <w:t>στην Ελλάδα</w:t>
      </w:r>
      <w:r w:rsidRPr="007D183B">
        <w:rPr>
          <w:lang w:val="el-GR"/>
        </w:rPr>
        <w:t xml:space="preserve"> </w:t>
      </w:r>
      <w:r>
        <w:rPr>
          <w:lang w:val="el-GR"/>
        </w:rPr>
        <w:t xml:space="preserve">ανήλθαν σε 3.070,30 </w:t>
      </w:r>
      <w:r w:rsidR="00197A18">
        <w:rPr>
          <w:lang w:val="el-GR"/>
        </w:rPr>
        <w:t>εκατ. ευρώ</w:t>
      </w:r>
      <w:r>
        <w:rPr>
          <w:lang w:val="el-GR"/>
        </w:rPr>
        <w:t xml:space="preserve">, με τις επιχειρήσεις να συνεισφέρουν </w:t>
      </w:r>
      <w:bookmarkStart w:id="0" w:name="_Hlk170738721"/>
      <w:r>
        <w:rPr>
          <w:lang w:val="el-GR"/>
        </w:rPr>
        <w:t xml:space="preserve">1.505,49 </w:t>
      </w:r>
      <w:r w:rsidR="00197A18">
        <w:rPr>
          <w:lang w:val="el-GR"/>
        </w:rPr>
        <w:t>εκατ. ευρώ</w:t>
      </w:r>
      <w:r>
        <w:rPr>
          <w:lang w:val="el-GR"/>
        </w:rPr>
        <w:t xml:space="preserve"> </w:t>
      </w:r>
      <w:bookmarkEnd w:id="0"/>
      <w:r>
        <w:rPr>
          <w:lang w:val="el-GR"/>
        </w:rPr>
        <w:t>(ποσοστό 49%)</w:t>
      </w:r>
      <w:r w:rsidR="00D218A7">
        <w:rPr>
          <w:lang w:val="el-GR"/>
        </w:rPr>
        <w:t xml:space="preserve">, σύμφωνα </w:t>
      </w:r>
      <w:r w:rsidR="007D183B">
        <w:rPr>
          <w:lang w:val="el-GR"/>
        </w:rPr>
        <w:t xml:space="preserve">με </w:t>
      </w:r>
      <w:r w:rsidR="00B2215D">
        <w:rPr>
          <w:lang w:val="el-GR"/>
        </w:rPr>
        <w:t>τα</w:t>
      </w:r>
      <w:r w:rsidR="00B2215D" w:rsidRPr="009D42F8">
        <w:rPr>
          <w:lang w:val="el-GR"/>
        </w:rPr>
        <w:t xml:space="preserve"> </w:t>
      </w:r>
      <w:r w:rsidR="000A018C">
        <w:rPr>
          <w:lang w:val="el-GR"/>
        </w:rPr>
        <w:t>οριστικά</w:t>
      </w:r>
      <w:r w:rsidR="00B2215D">
        <w:rPr>
          <w:lang w:val="el-GR"/>
        </w:rPr>
        <w:t xml:space="preserve"> σ</w:t>
      </w:r>
      <w:r w:rsidR="002C0EAE" w:rsidRPr="002C0EAE">
        <w:rPr>
          <w:lang w:val="el-GR"/>
        </w:rPr>
        <w:t xml:space="preserve">τοιχεία που δημοσίευσε το Εθνικό Κέντρο Τεκμηρίωσης και Ηλεκτρονικού Περιεχομένου (ΕΚΤ) </w:t>
      </w:r>
      <w:r w:rsidR="00856E76">
        <w:rPr>
          <w:lang w:val="el-GR"/>
        </w:rPr>
        <w:t>και</w:t>
      </w:r>
      <w:r w:rsidR="00B31C0B">
        <w:rPr>
          <w:lang w:val="el-GR"/>
        </w:rPr>
        <w:t xml:space="preserve"> που</w:t>
      </w:r>
      <w:r w:rsidR="00856E76">
        <w:rPr>
          <w:lang w:val="el-GR"/>
        </w:rPr>
        <w:t xml:space="preserve"> έχουν αποσταλεί στη </w:t>
      </w:r>
      <w:r w:rsidR="00856E76">
        <w:t>Eurostat</w:t>
      </w:r>
      <w:r w:rsidR="00856E76" w:rsidRPr="00856E76">
        <w:rPr>
          <w:lang w:val="el-GR"/>
        </w:rPr>
        <w:t>.</w:t>
      </w:r>
      <w:r w:rsidR="009732E6">
        <w:rPr>
          <w:lang w:val="el-GR"/>
        </w:rPr>
        <w:t xml:space="preserve"> </w:t>
      </w:r>
      <w:r w:rsidR="00897E62">
        <w:rPr>
          <w:lang w:val="el-GR"/>
        </w:rPr>
        <w:t xml:space="preserve">   </w:t>
      </w:r>
      <w:r w:rsidR="00F43C22" w:rsidRPr="00F43C22">
        <w:rPr>
          <w:lang w:val="el-GR"/>
        </w:rPr>
        <w:t xml:space="preserve">   </w:t>
      </w:r>
    </w:p>
    <w:p w14:paraId="044AF319" w14:textId="5F37348B" w:rsidR="002C0EAE" w:rsidRDefault="00AC6B29" w:rsidP="00064AAE">
      <w:pPr>
        <w:spacing w:before="80" w:after="80"/>
        <w:jc w:val="both"/>
        <w:rPr>
          <w:lang w:val="el-GR"/>
        </w:rPr>
      </w:pPr>
      <w:r>
        <w:rPr>
          <w:lang w:val="el-GR"/>
        </w:rPr>
        <w:t xml:space="preserve">Αναλυτικότερα, το </w:t>
      </w:r>
      <w:r w:rsidR="00F84266">
        <w:rPr>
          <w:lang w:val="el-GR"/>
        </w:rPr>
        <w:t>202</w:t>
      </w:r>
      <w:r w:rsidR="00B2215D">
        <w:rPr>
          <w:lang w:val="el-GR"/>
        </w:rPr>
        <w:t>2</w:t>
      </w:r>
      <w:r w:rsidR="00F84266">
        <w:rPr>
          <w:lang w:val="el-GR"/>
        </w:rPr>
        <w:t>,</w:t>
      </w:r>
      <w:r w:rsidR="00C63BAD">
        <w:rPr>
          <w:lang w:val="el-GR"/>
        </w:rPr>
        <w:t xml:space="preserve"> </w:t>
      </w:r>
      <w:r w:rsidR="00F84266" w:rsidRPr="002C0EAE">
        <w:rPr>
          <w:lang w:val="el-GR"/>
        </w:rPr>
        <w:t xml:space="preserve">οι </w:t>
      </w:r>
      <w:r w:rsidR="00783824">
        <w:rPr>
          <w:lang w:val="el-GR"/>
        </w:rPr>
        <w:t xml:space="preserve">συνολικές </w:t>
      </w:r>
      <w:r w:rsidR="00F84266" w:rsidRPr="002C0EAE">
        <w:rPr>
          <w:lang w:val="el-GR"/>
        </w:rPr>
        <w:t xml:space="preserve">δαπάνες που πραγματοποιήθηκαν για Ε&amp;Α στην Ελλάδα </w:t>
      </w:r>
      <w:r w:rsidR="002C0EAE" w:rsidRPr="002C0EAE">
        <w:rPr>
          <w:lang w:val="el-GR"/>
        </w:rPr>
        <w:t xml:space="preserve">ήταν </w:t>
      </w:r>
      <w:r w:rsidR="00347D79">
        <w:rPr>
          <w:shd w:val="clear" w:color="auto" w:fill="FFFFFF" w:themeFill="background1"/>
          <w:lang w:val="el-GR"/>
        </w:rPr>
        <w:t>3.070,30</w:t>
      </w:r>
      <w:r w:rsidR="00C63BAD" w:rsidRPr="00C63BAD">
        <w:rPr>
          <w:lang w:val="el-GR"/>
        </w:rPr>
        <w:t xml:space="preserve"> </w:t>
      </w:r>
      <w:r w:rsidR="00197A18">
        <w:rPr>
          <w:lang w:val="el-GR"/>
        </w:rPr>
        <w:t>εκατ. ευρώ</w:t>
      </w:r>
      <w:r w:rsidR="002C0EAE" w:rsidRPr="002C0EAE">
        <w:rPr>
          <w:lang w:val="el-GR"/>
        </w:rPr>
        <w:t xml:space="preserve">, </w:t>
      </w:r>
      <w:r w:rsidR="00C63BAD" w:rsidRPr="00C63BAD">
        <w:rPr>
          <w:lang w:val="el-GR"/>
        </w:rPr>
        <w:t xml:space="preserve">αυξημένες κατά </w:t>
      </w:r>
      <w:r w:rsidR="00347D79">
        <w:rPr>
          <w:lang w:val="el-GR"/>
        </w:rPr>
        <w:t>424,35</w:t>
      </w:r>
      <w:r w:rsidR="00C63BAD" w:rsidRPr="00C63BAD">
        <w:rPr>
          <w:lang w:val="el-GR"/>
        </w:rPr>
        <w:t xml:space="preserve"> </w:t>
      </w:r>
      <w:r w:rsidR="00197A18">
        <w:rPr>
          <w:lang w:val="el-GR"/>
        </w:rPr>
        <w:t>εκατ. ευρώ</w:t>
      </w:r>
      <w:r w:rsidR="00C63BAD" w:rsidRPr="00C63BAD">
        <w:rPr>
          <w:lang w:val="el-GR"/>
        </w:rPr>
        <w:t xml:space="preserve"> </w:t>
      </w:r>
      <w:r w:rsidR="002C0EAE" w:rsidRPr="002C0EAE">
        <w:rPr>
          <w:lang w:val="el-GR"/>
        </w:rPr>
        <w:t>σε σχέση με το 20</w:t>
      </w:r>
      <w:r w:rsidR="00C63BAD">
        <w:rPr>
          <w:lang w:val="el-GR"/>
        </w:rPr>
        <w:t>2</w:t>
      </w:r>
      <w:r w:rsidR="00B2215D">
        <w:rPr>
          <w:lang w:val="el-GR"/>
        </w:rPr>
        <w:t>1</w:t>
      </w:r>
      <w:r w:rsidR="00D54466" w:rsidRPr="00D54466">
        <w:rPr>
          <w:lang w:val="el-GR"/>
        </w:rPr>
        <w:t xml:space="preserve"> (</w:t>
      </w:r>
      <w:r w:rsidR="00C63BAD" w:rsidRPr="00C63BAD">
        <w:rPr>
          <w:lang w:val="el-GR"/>
        </w:rPr>
        <w:t xml:space="preserve">ποσοστό αύξησης </w:t>
      </w:r>
      <w:r w:rsidR="00B2215D">
        <w:rPr>
          <w:lang w:val="el-GR"/>
        </w:rPr>
        <w:t>16</w:t>
      </w:r>
      <w:r w:rsidR="001F1896" w:rsidRPr="00385BB7">
        <w:rPr>
          <w:lang w:val="el-GR"/>
        </w:rPr>
        <w:t>%</w:t>
      </w:r>
      <w:r w:rsidR="00C63BAD" w:rsidRPr="00C63BAD">
        <w:rPr>
          <w:lang w:val="el-GR"/>
        </w:rPr>
        <w:t>)</w:t>
      </w:r>
      <w:r w:rsidR="00C63BAD">
        <w:rPr>
          <w:lang w:val="el-GR"/>
        </w:rPr>
        <w:t>.</w:t>
      </w:r>
      <w:r>
        <w:rPr>
          <w:lang w:val="el-GR"/>
        </w:rPr>
        <w:t xml:space="preserve"> Σε συνδυασμό με την </w:t>
      </w:r>
      <w:r w:rsidRPr="00330944">
        <w:rPr>
          <w:lang w:val="el-GR"/>
        </w:rPr>
        <w:t xml:space="preserve">αύξηση, κατά </w:t>
      </w:r>
      <w:r w:rsidR="00B2215D">
        <w:rPr>
          <w:lang w:val="el-GR"/>
        </w:rPr>
        <w:t>13,8</w:t>
      </w:r>
      <w:r w:rsidRPr="00330944">
        <w:rPr>
          <w:lang w:val="el-GR"/>
        </w:rPr>
        <w:t>%, του</w:t>
      </w:r>
      <w:r w:rsidR="00B2215D">
        <w:rPr>
          <w:lang w:val="el-GR"/>
        </w:rPr>
        <w:t xml:space="preserve"> ΑΕΠ στην Ελλάδα το 2022</w:t>
      </w:r>
      <w:r>
        <w:rPr>
          <w:lang w:val="el-GR"/>
        </w:rPr>
        <w:t xml:space="preserve">, ο  δείκτης </w:t>
      </w:r>
      <w:r w:rsidRPr="002C0EAE">
        <w:rPr>
          <w:lang w:val="el-GR"/>
        </w:rPr>
        <w:t xml:space="preserve">"Ένταση Ε&amp;Α", που εκφράζει τις δαπάνες Ε&amp;Α ως ποσοστό του ΑΕΠ, </w:t>
      </w:r>
      <w:r>
        <w:rPr>
          <w:lang w:val="el-GR"/>
        </w:rPr>
        <w:t>διαμορφώθηκε σε</w:t>
      </w:r>
      <w:r w:rsidRPr="002C0EAE">
        <w:rPr>
          <w:lang w:val="el-GR"/>
        </w:rPr>
        <w:t xml:space="preserve"> </w:t>
      </w:r>
      <w:r w:rsidR="00525759" w:rsidRPr="00385BB7">
        <w:rPr>
          <w:lang w:val="el-GR"/>
        </w:rPr>
        <w:t>1,4</w:t>
      </w:r>
      <w:r w:rsidR="00B2215D">
        <w:rPr>
          <w:lang w:val="el-GR"/>
        </w:rPr>
        <w:t>9</w:t>
      </w:r>
      <w:r w:rsidR="00525759" w:rsidRPr="00385BB7">
        <w:rPr>
          <w:lang w:val="el-GR"/>
        </w:rPr>
        <w:t>%</w:t>
      </w:r>
      <w:r w:rsidR="009D42F8" w:rsidRPr="009D42F8">
        <w:rPr>
          <w:lang w:val="el-GR"/>
        </w:rPr>
        <w:t>,</w:t>
      </w:r>
      <w:r w:rsidRPr="002C0EAE">
        <w:rPr>
          <w:lang w:val="el-GR"/>
        </w:rPr>
        <w:t xml:space="preserve"> από 1,</w:t>
      </w:r>
      <w:r w:rsidR="00B2215D">
        <w:rPr>
          <w:lang w:val="el-GR"/>
        </w:rPr>
        <w:t>46</w:t>
      </w:r>
      <w:r w:rsidRPr="002C0EAE">
        <w:rPr>
          <w:lang w:val="el-GR"/>
        </w:rPr>
        <w:t>% το 20</w:t>
      </w:r>
      <w:r>
        <w:rPr>
          <w:lang w:val="el-GR"/>
        </w:rPr>
        <w:t>2</w:t>
      </w:r>
      <w:r w:rsidR="00B2215D">
        <w:rPr>
          <w:lang w:val="el-GR"/>
        </w:rPr>
        <w:t>1</w:t>
      </w:r>
      <w:r>
        <w:rPr>
          <w:lang w:val="el-GR"/>
        </w:rPr>
        <w:t>.</w:t>
      </w:r>
      <w:r w:rsidR="005E031F">
        <w:rPr>
          <w:lang w:val="el-GR"/>
        </w:rPr>
        <w:t xml:space="preserve"> </w:t>
      </w:r>
      <w:r w:rsidR="003C25B8">
        <w:rPr>
          <w:lang w:val="el-GR"/>
        </w:rPr>
        <w:t xml:space="preserve">Σε ευρωπαϊκό επίπεδο, </w:t>
      </w:r>
      <w:r w:rsidR="006442B6">
        <w:rPr>
          <w:lang w:val="el-GR"/>
        </w:rPr>
        <w:t>η</w:t>
      </w:r>
      <w:r w:rsidR="006442B6" w:rsidRPr="006442B6">
        <w:rPr>
          <w:lang w:val="el-GR"/>
        </w:rPr>
        <w:t xml:space="preserve">  Ελλάδα βρίσκεται στη 1</w:t>
      </w:r>
      <w:r w:rsidR="00347D79">
        <w:rPr>
          <w:lang w:val="el-GR"/>
        </w:rPr>
        <w:t>3</w:t>
      </w:r>
      <w:r w:rsidR="006442B6" w:rsidRPr="006442B6">
        <w:rPr>
          <w:lang w:val="el-GR"/>
        </w:rPr>
        <w:t>η θέση μεταξύ των χωρών της Ε</w:t>
      </w:r>
      <w:r w:rsidR="006442B6">
        <w:rPr>
          <w:lang w:val="el-GR"/>
        </w:rPr>
        <w:t>Ε</w:t>
      </w:r>
      <w:r w:rsidR="006E3FD0">
        <w:rPr>
          <w:lang w:val="el-GR"/>
        </w:rPr>
        <w:t>27</w:t>
      </w:r>
      <w:r w:rsidR="00B31C0B">
        <w:rPr>
          <w:lang w:val="el-GR"/>
        </w:rPr>
        <w:t>, σε ότι αφορά την ένταση Ε&amp;Α</w:t>
      </w:r>
      <w:r w:rsidR="006442B6" w:rsidRPr="006442B6">
        <w:rPr>
          <w:lang w:val="el-GR"/>
        </w:rPr>
        <w:t>.</w:t>
      </w:r>
    </w:p>
    <w:p w14:paraId="3330A856" w14:textId="541E7A59" w:rsidR="00197A18" w:rsidRPr="002C0EAE" w:rsidRDefault="00197A18" w:rsidP="00064AAE">
      <w:pPr>
        <w:spacing w:before="80" w:after="80"/>
        <w:jc w:val="both"/>
        <w:rPr>
          <w:lang w:val="el-GR"/>
        </w:rPr>
      </w:pPr>
      <w:r>
        <w:rPr>
          <w:lang w:val="el-GR"/>
        </w:rPr>
        <w:t>Παράλληλα, ο</w:t>
      </w:r>
      <w:r w:rsidRPr="00197A18">
        <w:rPr>
          <w:lang w:val="el-GR"/>
        </w:rPr>
        <w:t xml:space="preserve"> αριθμός </w:t>
      </w:r>
      <w:r w:rsidR="003E2E8E">
        <w:rPr>
          <w:lang w:val="el-GR"/>
        </w:rPr>
        <w:t xml:space="preserve">του προσωπικού που απασχολήθηκε σε δραστηριότητες Ε&amp;Α, εκφρασμένος σε </w:t>
      </w:r>
      <w:r w:rsidRPr="00197A18">
        <w:rPr>
          <w:lang w:val="el-GR"/>
        </w:rPr>
        <w:t>Ισοδ</w:t>
      </w:r>
      <w:r w:rsidR="003E2E8E">
        <w:rPr>
          <w:lang w:val="el-GR"/>
        </w:rPr>
        <w:t xml:space="preserve">ύναμα </w:t>
      </w:r>
      <w:r w:rsidRPr="00197A18">
        <w:rPr>
          <w:lang w:val="el-GR"/>
        </w:rPr>
        <w:t>Πλήρους Απασχόλησης (ΙΠΑ) που αποδίδουν "θέσεις" πλήρους απασχόλησης, αυξ</w:t>
      </w:r>
      <w:r w:rsidR="003E2E8E">
        <w:rPr>
          <w:lang w:val="el-GR"/>
        </w:rPr>
        <w:t xml:space="preserve">ήθηκε </w:t>
      </w:r>
      <w:r>
        <w:rPr>
          <w:lang w:val="el-GR"/>
        </w:rPr>
        <w:t xml:space="preserve">σε 69.307 ΙΠΑ για </w:t>
      </w:r>
      <w:r w:rsidR="003E2E8E">
        <w:rPr>
          <w:lang w:val="el-GR"/>
        </w:rPr>
        <w:t xml:space="preserve">το </w:t>
      </w:r>
      <w:r w:rsidRPr="00197A18">
        <w:rPr>
          <w:lang w:val="el-GR"/>
        </w:rPr>
        <w:t xml:space="preserve">συνολικό προσωπικό σε Ε&amp;Α </w:t>
      </w:r>
      <w:r w:rsidR="006A340A">
        <w:rPr>
          <w:lang w:val="el-GR"/>
        </w:rPr>
        <w:t xml:space="preserve">από 61.702 ΙΠΑ το 2021 (ποσοστό αύξησης 12,3%) </w:t>
      </w:r>
      <w:r>
        <w:rPr>
          <w:lang w:val="el-GR"/>
        </w:rPr>
        <w:t>και σε 51.611 ΙΠΑ για το ερευνητικό προσωπικό</w:t>
      </w:r>
      <w:r w:rsidR="006A340A">
        <w:rPr>
          <w:lang w:val="el-GR"/>
        </w:rPr>
        <w:t xml:space="preserve">  από 45.345 ΙΠΑ το 2021 (ποσοστό αύξησης 13,8%)</w:t>
      </w:r>
      <w:r>
        <w:rPr>
          <w:lang w:val="el-GR"/>
        </w:rPr>
        <w:t xml:space="preserve">. </w:t>
      </w:r>
    </w:p>
    <w:p w14:paraId="5FBAF1FA" w14:textId="17EA6A12" w:rsidR="00A36E04" w:rsidRPr="002C0EAE" w:rsidRDefault="009732E6" w:rsidP="00A36E04">
      <w:pPr>
        <w:spacing w:before="80" w:after="80"/>
        <w:jc w:val="both"/>
        <w:rPr>
          <w:lang w:val="el-GR"/>
        </w:rPr>
      </w:pPr>
      <w:r>
        <w:rPr>
          <w:lang w:val="el-GR"/>
        </w:rPr>
        <w:t xml:space="preserve">Τα αποτελέσματα της </w:t>
      </w:r>
      <w:r w:rsidR="00A36E04" w:rsidRPr="002C0EAE">
        <w:rPr>
          <w:lang w:val="el-GR"/>
        </w:rPr>
        <w:t>στατιστική</w:t>
      </w:r>
      <w:r>
        <w:rPr>
          <w:lang w:val="el-GR"/>
        </w:rPr>
        <w:t>ς</w:t>
      </w:r>
      <w:r w:rsidR="00A36E04" w:rsidRPr="002C0EAE">
        <w:rPr>
          <w:lang w:val="el-GR"/>
        </w:rPr>
        <w:t xml:space="preserve"> έρευνα</w:t>
      </w:r>
      <w:r>
        <w:rPr>
          <w:lang w:val="el-GR"/>
        </w:rPr>
        <w:t>ς</w:t>
      </w:r>
      <w:r w:rsidR="00A36E04" w:rsidRPr="002C0EAE">
        <w:rPr>
          <w:lang w:val="el-GR"/>
        </w:rPr>
        <w:t xml:space="preserve"> του ΕΚΤ</w:t>
      </w:r>
      <w:r w:rsidR="00B552AA">
        <w:rPr>
          <w:lang w:val="el-GR"/>
        </w:rPr>
        <w:t>,</w:t>
      </w:r>
      <w:r w:rsidR="00A36E04" w:rsidRPr="002C0EAE">
        <w:rPr>
          <w:lang w:val="el-GR"/>
        </w:rPr>
        <w:t xml:space="preserve"> </w:t>
      </w:r>
      <w:r>
        <w:rPr>
          <w:lang w:val="el-GR"/>
        </w:rPr>
        <w:t>που δ</w:t>
      </w:r>
      <w:r w:rsidR="00A36E04" w:rsidRPr="002C0EAE">
        <w:rPr>
          <w:lang w:val="el-GR"/>
        </w:rPr>
        <w:t>ιεξήχθη το 202</w:t>
      </w:r>
      <w:r w:rsidR="00B2215D">
        <w:rPr>
          <w:lang w:val="el-GR"/>
        </w:rPr>
        <w:t>3</w:t>
      </w:r>
      <w:r w:rsidR="00A36E04" w:rsidRPr="002C0EAE">
        <w:rPr>
          <w:lang w:val="el-GR"/>
        </w:rPr>
        <w:t xml:space="preserve"> σε </w:t>
      </w:r>
      <w:r>
        <w:rPr>
          <w:lang w:val="el-GR"/>
        </w:rPr>
        <w:t xml:space="preserve">φορείς με ερευνητικές και αναπτυξιακές δραστηριότητες </w:t>
      </w:r>
      <w:r w:rsidR="00D54466">
        <w:rPr>
          <w:lang w:val="el-GR"/>
        </w:rPr>
        <w:t xml:space="preserve">στους </w:t>
      </w:r>
      <w:r w:rsidR="00A36E04" w:rsidRPr="002C0EAE">
        <w:rPr>
          <w:lang w:val="el-GR"/>
        </w:rPr>
        <w:t>τέσσερις τομείς</w:t>
      </w:r>
      <w:r w:rsidR="00D54466">
        <w:rPr>
          <w:lang w:val="el-GR"/>
        </w:rPr>
        <w:t xml:space="preserve"> δραστηριοτήτων</w:t>
      </w:r>
      <w:r w:rsidR="00A36E04" w:rsidRPr="002C0EAE">
        <w:rPr>
          <w:lang w:val="el-GR"/>
        </w:rPr>
        <w:t>: επιχειρήσεις (BES), τριτοβάθμια εκπαίδευση (HES), κρατικό τομέα (GOV) και ιδιωτικά μη κερδοσκοπικά ιδρύματα (PNP)</w:t>
      </w:r>
      <w:r>
        <w:rPr>
          <w:lang w:val="el-GR"/>
        </w:rPr>
        <w:t>, είναι διαθέσιμα στη</w:t>
      </w:r>
      <w:r w:rsidR="00FD009B">
        <w:rPr>
          <w:lang w:val="el-GR"/>
        </w:rPr>
        <w:t>ν έκδοση</w:t>
      </w:r>
      <w:r w:rsidR="000C2B72" w:rsidRPr="000C2B72">
        <w:rPr>
          <w:lang w:val="el-GR"/>
        </w:rPr>
        <w:t xml:space="preserve"> «Βασικοί Δείκτες Έρευνας και Ανάπτυξης για δαπάνες και προσωπικό το 202</w:t>
      </w:r>
      <w:r w:rsidR="00B2215D">
        <w:rPr>
          <w:lang w:val="el-GR"/>
        </w:rPr>
        <w:t>2</w:t>
      </w:r>
      <w:r w:rsidR="000C2B72" w:rsidRPr="000C2B72">
        <w:rPr>
          <w:lang w:val="el-GR"/>
        </w:rPr>
        <w:t xml:space="preserve"> στην Ελλάδα</w:t>
      </w:r>
      <w:r w:rsidR="000C2B72" w:rsidRPr="00E556A3">
        <w:rPr>
          <w:lang w:val="el-GR"/>
        </w:rPr>
        <w:t>»</w:t>
      </w:r>
      <w:r w:rsidR="00930C68" w:rsidRPr="00930C68">
        <w:rPr>
          <w:lang w:val="el-GR"/>
        </w:rPr>
        <w:t xml:space="preserve"> (</w:t>
      </w:r>
      <w:hyperlink r:id="rId11" w:history="1">
        <w:r w:rsidR="00031267" w:rsidRPr="00323D68">
          <w:rPr>
            <w:rStyle w:val="Hyperlink"/>
          </w:rPr>
          <w:t>https</w:t>
        </w:r>
        <w:r w:rsidR="00031267" w:rsidRPr="00323D68">
          <w:rPr>
            <w:rStyle w:val="Hyperlink"/>
            <w:lang w:val="el-GR"/>
          </w:rPr>
          <w:t>://</w:t>
        </w:r>
        <w:r w:rsidR="00031267" w:rsidRPr="00323D68">
          <w:rPr>
            <w:rStyle w:val="Hyperlink"/>
          </w:rPr>
          <w:t>metrics</w:t>
        </w:r>
        <w:r w:rsidR="00031267" w:rsidRPr="00323D68">
          <w:rPr>
            <w:rStyle w:val="Hyperlink"/>
            <w:lang w:val="el-GR"/>
          </w:rPr>
          <w:t>.</w:t>
        </w:r>
        <w:r w:rsidR="00031267" w:rsidRPr="00323D68">
          <w:rPr>
            <w:rStyle w:val="Hyperlink"/>
          </w:rPr>
          <w:t>ekt</w:t>
        </w:r>
        <w:r w:rsidR="00031267" w:rsidRPr="00323D68">
          <w:rPr>
            <w:rStyle w:val="Hyperlink"/>
            <w:lang w:val="el-GR"/>
          </w:rPr>
          <w:t>.</w:t>
        </w:r>
        <w:r w:rsidR="00031267" w:rsidRPr="00323D68">
          <w:rPr>
            <w:rStyle w:val="Hyperlink"/>
          </w:rPr>
          <w:t>gr</w:t>
        </w:r>
        <w:r w:rsidR="00031267" w:rsidRPr="00323D68">
          <w:rPr>
            <w:rStyle w:val="Hyperlink"/>
            <w:lang w:val="el-GR"/>
          </w:rPr>
          <w:t>/</w:t>
        </w:r>
        <w:r w:rsidR="00031267" w:rsidRPr="00323D68">
          <w:rPr>
            <w:rStyle w:val="Hyperlink"/>
          </w:rPr>
          <w:t>publications</w:t>
        </w:r>
        <w:r w:rsidR="00031267" w:rsidRPr="00323D68">
          <w:rPr>
            <w:rStyle w:val="Hyperlink"/>
            <w:lang w:val="el-GR"/>
          </w:rPr>
          <w:t>/701</w:t>
        </w:r>
      </w:hyperlink>
      <w:r w:rsidR="00930C68" w:rsidRPr="00930C68">
        <w:rPr>
          <w:lang w:val="el-GR"/>
        </w:rPr>
        <w:t>).</w:t>
      </w:r>
    </w:p>
    <w:p w14:paraId="086E4077" w14:textId="747F1DEC" w:rsidR="00043499" w:rsidRDefault="00347D79" w:rsidP="00043499">
      <w:pPr>
        <w:spacing w:before="80" w:after="80"/>
        <w:jc w:val="both"/>
        <w:rPr>
          <w:lang w:val="el-GR"/>
        </w:rPr>
      </w:pPr>
      <w:r>
        <w:rPr>
          <w:lang w:val="el-GR"/>
        </w:rPr>
        <w:t xml:space="preserve">Η συμμετοχή του τομέα των επιχειρήσεων στο σύνολο των δαπανών Ε&amp;Α </w:t>
      </w:r>
      <w:r w:rsidR="00043499">
        <w:rPr>
          <w:lang w:val="el-GR"/>
        </w:rPr>
        <w:t>διαμορφώθηκε στο 49% (</w:t>
      </w:r>
      <w:r w:rsidR="00043499" w:rsidRPr="00043499">
        <w:rPr>
          <w:lang w:val="el-GR"/>
        </w:rPr>
        <w:t xml:space="preserve">1.505,49 </w:t>
      </w:r>
      <w:r w:rsidR="00197A18">
        <w:rPr>
          <w:lang w:val="el-GR"/>
        </w:rPr>
        <w:t>εκατ. ευρώ</w:t>
      </w:r>
      <w:r w:rsidR="00043499">
        <w:rPr>
          <w:lang w:val="el-GR"/>
        </w:rPr>
        <w:t xml:space="preserve">) </w:t>
      </w:r>
      <w:r>
        <w:rPr>
          <w:lang w:val="el-GR"/>
        </w:rPr>
        <w:t>συν</w:t>
      </w:r>
      <w:r w:rsidR="00043499">
        <w:rPr>
          <w:lang w:val="el-GR"/>
        </w:rPr>
        <w:t xml:space="preserve">εχίζοντας </w:t>
      </w:r>
      <w:r>
        <w:rPr>
          <w:lang w:val="el-GR"/>
        </w:rPr>
        <w:t>την ανοδική πορεία των τελευταίων ετών</w:t>
      </w:r>
      <w:r w:rsidR="00043499">
        <w:rPr>
          <w:lang w:val="el-GR"/>
        </w:rPr>
        <w:t xml:space="preserve">. Αυξημένη </w:t>
      </w:r>
      <w:r w:rsidR="00B9561C">
        <w:rPr>
          <w:lang w:val="el-GR"/>
        </w:rPr>
        <w:t xml:space="preserve">ήταν </w:t>
      </w:r>
      <w:r w:rsidR="00043499">
        <w:rPr>
          <w:lang w:val="el-GR"/>
        </w:rPr>
        <w:t xml:space="preserve">η συμμετοχή των </w:t>
      </w:r>
      <w:r w:rsidR="00043499" w:rsidRPr="00043499">
        <w:rPr>
          <w:lang w:val="el-GR"/>
        </w:rPr>
        <w:t>κλάδ</w:t>
      </w:r>
      <w:r w:rsidR="00043499">
        <w:rPr>
          <w:lang w:val="el-GR"/>
        </w:rPr>
        <w:t xml:space="preserve">ων </w:t>
      </w:r>
      <w:r w:rsidR="00043499" w:rsidRPr="00043499">
        <w:rPr>
          <w:lang w:val="el-GR"/>
        </w:rPr>
        <w:t xml:space="preserve">οικονομικής δραστηριότητας «Ενημέρωση &amp; Επικοινωνία» (325,21 </w:t>
      </w:r>
      <w:r w:rsidR="00197A18">
        <w:rPr>
          <w:lang w:val="el-GR"/>
        </w:rPr>
        <w:t>εκατ. ευρώ</w:t>
      </w:r>
      <w:r w:rsidR="00043499" w:rsidRPr="00043499">
        <w:rPr>
          <w:lang w:val="el-GR"/>
        </w:rPr>
        <w:t xml:space="preserve">), «Επαγγελματικές, επιστημονικές και τεχνικές δραστηριότητες» (193,94 </w:t>
      </w:r>
      <w:r w:rsidR="00197A18">
        <w:rPr>
          <w:lang w:val="el-GR"/>
        </w:rPr>
        <w:t>εκατ. ευρώ</w:t>
      </w:r>
      <w:r w:rsidR="00043499" w:rsidRPr="00043499">
        <w:rPr>
          <w:lang w:val="el-GR"/>
        </w:rPr>
        <w:t xml:space="preserve">) και «Παραγωγή βασικών φαρμακευτικών προϊόντων &amp; φαρμακευτικών σκευασμάτων» (161,01 </w:t>
      </w:r>
      <w:r w:rsidR="00197A18">
        <w:rPr>
          <w:lang w:val="el-GR"/>
        </w:rPr>
        <w:t>εκατ. ευρώ</w:t>
      </w:r>
      <w:r w:rsidR="00043499" w:rsidRPr="00043499">
        <w:rPr>
          <w:lang w:val="el-GR"/>
        </w:rPr>
        <w:t>)</w:t>
      </w:r>
      <w:r w:rsidR="00043499">
        <w:rPr>
          <w:lang w:val="el-GR"/>
        </w:rPr>
        <w:t xml:space="preserve">. </w:t>
      </w:r>
      <w:r w:rsidR="00043499" w:rsidRPr="00043499">
        <w:rPr>
          <w:lang w:val="el-GR"/>
        </w:rPr>
        <w:t xml:space="preserve"> Οι δαπάνες Ε&amp;Α που αφορούν τον συνολικό κλάδο του Τομέα Πληροφοριών &amp; Επικοινωνίας, όπως συγκροτείται από επιμέρους κλάδους της Μεταποίησης και των Υπηρεσιών, ανήλθαν σε 391,54 </w:t>
      </w:r>
      <w:r w:rsidR="00197A18">
        <w:rPr>
          <w:lang w:val="el-GR"/>
        </w:rPr>
        <w:t>εκατ. ευρώ</w:t>
      </w:r>
      <w:r w:rsidR="00043499" w:rsidRPr="00043499">
        <w:rPr>
          <w:lang w:val="el-GR"/>
        </w:rPr>
        <w:t>, παρουσιάζοντας αύξηση 27,4%.</w:t>
      </w:r>
      <w:r w:rsidR="005E1492">
        <w:rPr>
          <w:lang w:val="el-GR"/>
        </w:rPr>
        <w:t xml:space="preserve"> </w:t>
      </w:r>
    </w:p>
    <w:p w14:paraId="62D8ED0B" w14:textId="3F5CAB36" w:rsidR="005E1492" w:rsidRDefault="00F42FCC" w:rsidP="00043499">
      <w:pPr>
        <w:spacing w:before="80" w:after="80"/>
        <w:jc w:val="both"/>
        <w:rPr>
          <w:lang w:val="el-GR"/>
        </w:rPr>
      </w:pPr>
      <w:r w:rsidRPr="00F42FCC">
        <w:rPr>
          <w:lang w:val="el-GR"/>
        </w:rPr>
        <w:t>Όσον αφορά την απασχόληση σε δραστηριότητες Ε&amp;Α</w:t>
      </w:r>
      <w:r>
        <w:rPr>
          <w:lang w:val="el-GR"/>
        </w:rPr>
        <w:t xml:space="preserve"> στις επιχειρήσεις, ο </w:t>
      </w:r>
      <w:r w:rsidRPr="00F42FCC">
        <w:rPr>
          <w:lang w:val="el-GR"/>
        </w:rPr>
        <w:t xml:space="preserve">αριθμός των Ισοδυνάμων Πλήρους Απασχόλησης (ΙΠΑ), </w:t>
      </w:r>
      <w:r w:rsidR="003E2E8E">
        <w:rPr>
          <w:lang w:val="el-GR"/>
        </w:rPr>
        <w:t xml:space="preserve">για το συνολικό προσωπικό </w:t>
      </w:r>
      <w:r w:rsidR="005E1492">
        <w:rPr>
          <w:lang w:val="el-GR"/>
        </w:rPr>
        <w:t>ήταν 20.175</w:t>
      </w:r>
      <w:r w:rsidR="00B9561C">
        <w:rPr>
          <w:lang w:val="el-GR"/>
        </w:rPr>
        <w:t xml:space="preserve"> ΙΠΑ</w:t>
      </w:r>
      <w:r w:rsidR="004A2E72" w:rsidRPr="004A2E72">
        <w:rPr>
          <w:lang w:val="el-GR"/>
        </w:rPr>
        <w:t xml:space="preserve"> (</w:t>
      </w:r>
      <w:r w:rsidR="004A2E72">
        <w:rPr>
          <w:lang w:val="el-GR"/>
        </w:rPr>
        <w:t>ποσοστό 29,1% επί του συνόλου)</w:t>
      </w:r>
      <w:r w:rsidR="005E1492">
        <w:rPr>
          <w:lang w:val="el-GR"/>
        </w:rPr>
        <w:t xml:space="preserve">, </w:t>
      </w:r>
      <w:r>
        <w:rPr>
          <w:lang w:val="el-GR"/>
        </w:rPr>
        <w:t xml:space="preserve">εκ των οποίων </w:t>
      </w:r>
      <w:r w:rsidR="005E1492">
        <w:rPr>
          <w:lang w:val="el-GR"/>
        </w:rPr>
        <w:t xml:space="preserve">15.345 </w:t>
      </w:r>
      <w:r w:rsidR="00B9561C">
        <w:rPr>
          <w:lang w:val="el-GR"/>
        </w:rPr>
        <w:t xml:space="preserve">ΙΠΑ </w:t>
      </w:r>
      <w:r w:rsidR="005E1492">
        <w:rPr>
          <w:lang w:val="el-GR"/>
        </w:rPr>
        <w:t>αφορού</w:t>
      </w:r>
      <w:r>
        <w:rPr>
          <w:lang w:val="el-GR"/>
        </w:rPr>
        <w:t>σα</w:t>
      </w:r>
      <w:r w:rsidR="005E1492">
        <w:rPr>
          <w:lang w:val="el-GR"/>
        </w:rPr>
        <w:t xml:space="preserve">ν </w:t>
      </w:r>
      <w:r>
        <w:rPr>
          <w:lang w:val="el-GR"/>
        </w:rPr>
        <w:t xml:space="preserve">προσωπικό με </w:t>
      </w:r>
      <w:r w:rsidR="005E1492">
        <w:rPr>
          <w:lang w:val="el-GR"/>
        </w:rPr>
        <w:t>ερευνητικ</w:t>
      </w:r>
      <w:r>
        <w:rPr>
          <w:lang w:val="el-GR"/>
        </w:rPr>
        <w:t>ά καθήκοντα</w:t>
      </w:r>
      <w:r w:rsidR="005E1492">
        <w:rPr>
          <w:lang w:val="el-GR"/>
        </w:rPr>
        <w:t xml:space="preserve">. </w:t>
      </w:r>
    </w:p>
    <w:p w14:paraId="5A877F66" w14:textId="598C6689" w:rsidR="00043499" w:rsidRPr="00031267" w:rsidRDefault="005E1492" w:rsidP="54FCF3BB">
      <w:pPr>
        <w:spacing w:before="80" w:after="80"/>
        <w:jc w:val="both"/>
        <w:rPr>
          <w:lang w:val="el-GR"/>
        </w:rPr>
      </w:pPr>
      <w:r w:rsidRPr="00031267">
        <w:rPr>
          <w:lang w:val="el-GR"/>
        </w:rPr>
        <w:t xml:space="preserve">Ο δεύτερος τομέας, κατά φθίνουσα σειρά δαπανών Ε&amp;Α, </w:t>
      </w:r>
      <w:r w:rsidR="00B9561C" w:rsidRPr="00031267">
        <w:rPr>
          <w:lang w:val="el-GR"/>
        </w:rPr>
        <w:t xml:space="preserve">ήταν </w:t>
      </w:r>
      <w:r w:rsidRPr="00031267">
        <w:rPr>
          <w:lang w:val="el-GR"/>
        </w:rPr>
        <w:t xml:space="preserve">ο τομέας της τριτοβάθμιας εκπαίδευσης, που περιλαμβάνει τα Πανεπιστήμια, τα Ερευνητικά Πανεπιστημιακά Ινστιτούτα και τα Πανεπιστημιακά Νοσοκομεία. Το 2022 οι δαπάνες Ε&amp;Α του τομέα ανήλθαν σε 906,27 </w:t>
      </w:r>
      <w:r w:rsidR="00197A18" w:rsidRPr="00031267">
        <w:rPr>
          <w:lang w:val="el-GR"/>
        </w:rPr>
        <w:t>εκατ. ευρώ</w:t>
      </w:r>
      <w:r w:rsidRPr="00031267">
        <w:rPr>
          <w:lang w:val="el-GR"/>
        </w:rPr>
        <w:t xml:space="preserve"> (29,5% του συνόλου των δαπανών Ε&amp;Α στην Ελλάδα). Οι δραστηριότητες Ε&amp;Α</w:t>
      </w:r>
      <w:r w:rsidR="003E2E8E" w:rsidRPr="00031267">
        <w:rPr>
          <w:lang w:val="el-GR"/>
        </w:rPr>
        <w:t xml:space="preserve">, σύμφωνα και με τις διεθνείς πρακτικές για τον συγκεκριμένο τομέα, είχαν ως επίκεντρο </w:t>
      </w:r>
      <w:r w:rsidR="00CB7F59" w:rsidRPr="00031267">
        <w:rPr>
          <w:lang w:val="el-GR"/>
        </w:rPr>
        <w:t xml:space="preserve">την υλοποίηση βασικής έρευνας (492,74 </w:t>
      </w:r>
      <w:r w:rsidR="00197A18" w:rsidRPr="00031267">
        <w:rPr>
          <w:lang w:val="el-GR"/>
        </w:rPr>
        <w:t>εκατ. ευρώ</w:t>
      </w:r>
      <w:r w:rsidR="00CB7F59" w:rsidRPr="00031267">
        <w:rPr>
          <w:lang w:val="el-GR"/>
        </w:rPr>
        <w:t>) και εφαρμοσμένης έρευνας (33</w:t>
      </w:r>
      <w:r w:rsidR="00930C68" w:rsidRPr="00031267">
        <w:rPr>
          <w:lang w:val="el-GR"/>
        </w:rPr>
        <w:t>8</w:t>
      </w:r>
      <w:r w:rsidR="00CB7F59" w:rsidRPr="00031267">
        <w:rPr>
          <w:lang w:val="el-GR"/>
        </w:rPr>
        <w:t xml:space="preserve">,94 </w:t>
      </w:r>
      <w:r w:rsidR="00197A18" w:rsidRPr="00031267">
        <w:rPr>
          <w:lang w:val="el-GR"/>
        </w:rPr>
        <w:t>εκατ. ευρώ</w:t>
      </w:r>
      <w:r w:rsidR="00CB7F59" w:rsidRPr="00031267">
        <w:rPr>
          <w:lang w:val="el-GR"/>
        </w:rPr>
        <w:t xml:space="preserve">). Τα επιστημονικά πεδία με τις μεγαλύτερες δαπάνες </w:t>
      </w:r>
      <w:r w:rsidR="00D218A7" w:rsidRPr="00031267">
        <w:rPr>
          <w:lang w:val="el-GR"/>
        </w:rPr>
        <w:t xml:space="preserve">ήταν </w:t>
      </w:r>
      <w:r w:rsidR="00CB7F59" w:rsidRPr="00031267">
        <w:rPr>
          <w:rFonts w:eastAsia="Calibri" w:cs="Times New Roman"/>
          <w:color w:val="000000" w:themeColor="text1"/>
          <w:lang w:val="el-GR"/>
        </w:rPr>
        <w:t xml:space="preserve">η </w:t>
      </w:r>
      <w:bookmarkStart w:id="1" w:name="_Hlk170741209"/>
      <w:r w:rsidR="00CB7F59" w:rsidRPr="00031267">
        <w:rPr>
          <w:rFonts w:eastAsia="Calibri" w:cs="Times New Roman"/>
          <w:color w:val="000000" w:themeColor="text1"/>
          <w:lang w:val="el-GR"/>
        </w:rPr>
        <w:t xml:space="preserve">«Ιατρική και Επιστήμες Υγείας» (245,48 </w:t>
      </w:r>
      <w:r w:rsidR="00197A18" w:rsidRPr="00031267">
        <w:rPr>
          <w:rFonts w:eastAsia="Calibri" w:cs="Times New Roman"/>
          <w:color w:val="000000" w:themeColor="text1"/>
          <w:lang w:val="el-GR"/>
        </w:rPr>
        <w:t>εκατ. ευρώ</w:t>
      </w:r>
      <w:r w:rsidR="00CB7F59" w:rsidRPr="00031267">
        <w:rPr>
          <w:rFonts w:eastAsia="Calibri" w:cs="Times New Roman"/>
          <w:color w:val="000000" w:themeColor="text1"/>
          <w:lang w:val="el-GR"/>
        </w:rPr>
        <w:t>), οι</w:t>
      </w:r>
      <w:r w:rsidR="00CB7F59" w:rsidRPr="00031267">
        <w:rPr>
          <w:lang w:val="el-GR"/>
        </w:rPr>
        <w:t xml:space="preserve"> «</w:t>
      </w:r>
      <w:r w:rsidR="00CB7F59" w:rsidRPr="00031267">
        <w:rPr>
          <w:rFonts w:eastAsia="Calibri" w:cs="Times New Roman"/>
          <w:color w:val="000000" w:themeColor="text1"/>
          <w:lang w:val="el-GR"/>
        </w:rPr>
        <w:t xml:space="preserve">Επιστήμες Μηχανικού &amp; Τεχνολογία» (197,07 </w:t>
      </w:r>
      <w:r w:rsidR="00197A18" w:rsidRPr="00031267">
        <w:rPr>
          <w:rFonts w:eastAsia="Calibri" w:cs="Times New Roman"/>
          <w:color w:val="000000" w:themeColor="text1"/>
          <w:lang w:val="el-GR"/>
        </w:rPr>
        <w:t>εκατ. ευρώ</w:t>
      </w:r>
      <w:r w:rsidR="00CB7F59" w:rsidRPr="00031267">
        <w:rPr>
          <w:rFonts w:eastAsia="Calibri" w:cs="Times New Roman"/>
          <w:color w:val="000000" w:themeColor="text1"/>
          <w:lang w:val="el-GR"/>
        </w:rPr>
        <w:t xml:space="preserve">) και οι «Κοινωνικές Επιστήμες» (194,81 </w:t>
      </w:r>
      <w:r w:rsidR="00197A18" w:rsidRPr="00031267">
        <w:rPr>
          <w:rFonts w:eastAsia="Calibri" w:cs="Times New Roman"/>
          <w:color w:val="000000" w:themeColor="text1"/>
          <w:lang w:val="el-GR"/>
        </w:rPr>
        <w:t>εκατ. ευρώ</w:t>
      </w:r>
      <w:r w:rsidR="00CB7F59" w:rsidRPr="00031267">
        <w:rPr>
          <w:rFonts w:eastAsia="Calibri" w:cs="Times New Roman"/>
          <w:color w:val="000000" w:themeColor="text1"/>
          <w:lang w:val="el-GR"/>
        </w:rPr>
        <w:t xml:space="preserve">). </w:t>
      </w:r>
      <w:bookmarkEnd w:id="1"/>
      <w:r w:rsidR="00CB7F59" w:rsidRPr="00031267">
        <w:rPr>
          <w:rFonts w:eastAsia="Calibri" w:cs="Times New Roman"/>
          <w:color w:val="000000" w:themeColor="text1"/>
          <w:lang w:val="el-GR"/>
        </w:rPr>
        <w:t xml:space="preserve">    </w:t>
      </w:r>
    </w:p>
    <w:p w14:paraId="6267B813" w14:textId="5944CC40" w:rsidR="00F42FCC" w:rsidRDefault="00F42FCC" w:rsidP="002C0EAE">
      <w:pPr>
        <w:spacing w:before="80" w:after="80"/>
        <w:jc w:val="both"/>
        <w:rPr>
          <w:lang w:val="el-GR"/>
        </w:rPr>
      </w:pPr>
      <w:r>
        <w:rPr>
          <w:lang w:val="el-GR"/>
        </w:rPr>
        <w:lastRenderedPageBreak/>
        <w:t xml:space="preserve">Ο τομέας τριτοβάθμιας εκπαίδευσης συγκεντρώνει τις περισσότερες θέσεις απασχόλησης σε Ε&amp;Α, </w:t>
      </w:r>
      <w:r w:rsidR="00856E76">
        <w:rPr>
          <w:lang w:val="el-GR"/>
        </w:rPr>
        <w:t xml:space="preserve">που το 2022 ήταν </w:t>
      </w:r>
      <w:r>
        <w:rPr>
          <w:lang w:val="el-GR"/>
        </w:rPr>
        <w:t>συνολικά 32.348 ΙΠΑ</w:t>
      </w:r>
      <w:r w:rsidR="004A2E72">
        <w:rPr>
          <w:lang w:val="el-GR"/>
        </w:rPr>
        <w:t xml:space="preserve"> (46,7% επί του συνόλου)</w:t>
      </w:r>
      <w:r>
        <w:rPr>
          <w:lang w:val="el-GR"/>
        </w:rPr>
        <w:t xml:space="preserve">, εκ των οποίων 26.655 </w:t>
      </w:r>
      <w:r w:rsidR="00B9561C">
        <w:rPr>
          <w:lang w:val="el-GR"/>
        </w:rPr>
        <w:t xml:space="preserve">ΙΠΑ </w:t>
      </w:r>
      <w:r>
        <w:rPr>
          <w:lang w:val="el-GR"/>
        </w:rPr>
        <w:t>αφορούσαν ερευνητικές θέσεις.</w:t>
      </w:r>
    </w:p>
    <w:p w14:paraId="476073F7" w14:textId="7622C69C" w:rsidR="00F42FCC" w:rsidRPr="00F42FCC" w:rsidRDefault="00F42FCC" w:rsidP="00B9561C">
      <w:pPr>
        <w:spacing w:before="80" w:after="80"/>
        <w:jc w:val="both"/>
        <w:rPr>
          <w:lang w:val="el-GR"/>
        </w:rPr>
      </w:pPr>
      <w:r>
        <w:rPr>
          <w:lang w:val="el-GR"/>
        </w:rPr>
        <w:t xml:space="preserve">Οι δαπάνες του κρατικού τομέα </w:t>
      </w:r>
      <w:r w:rsidR="00B9561C">
        <w:rPr>
          <w:lang w:val="el-GR"/>
        </w:rPr>
        <w:t xml:space="preserve">το 2022 </w:t>
      </w:r>
      <w:r>
        <w:rPr>
          <w:lang w:val="el-GR"/>
        </w:rPr>
        <w:t xml:space="preserve">ανήλθαν σε </w:t>
      </w:r>
      <w:r w:rsidR="00B9561C">
        <w:rPr>
          <w:lang w:val="el-GR"/>
        </w:rPr>
        <w:t xml:space="preserve">641,25 </w:t>
      </w:r>
      <w:r w:rsidR="00197A18">
        <w:rPr>
          <w:lang w:val="el-GR"/>
        </w:rPr>
        <w:t>εκατ. ευρώ</w:t>
      </w:r>
      <w:r w:rsidR="00B9561C">
        <w:rPr>
          <w:lang w:val="el-GR"/>
        </w:rPr>
        <w:t xml:space="preserve"> </w:t>
      </w:r>
      <w:r w:rsidR="00B9561C" w:rsidRPr="00B9561C">
        <w:rPr>
          <w:lang w:val="el-GR"/>
        </w:rPr>
        <w:t>(</w:t>
      </w:r>
      <w:r w:rsidR="00B9561C">
        <w:rPr>
          <w:lang w:val="el-GR"/>
        </w:rPr>
        <w:t>20,9</w:t>
      </w:r>
      <w:r w:rsidR="00B9561C" w:rsidRPr="00B9561C">
        <w:rPr>
          <w:lang w:val="el-GR"/>
        </w:rPr>
        <w:t>% του συνόλου των δαπανών Ε&amp;Α στην Ελλάδα).</w:t>
      </w:r>
      <w:r w:rsidR="00B9561C">
        <w:rPr>
          <w:lang w:val="el-GR"/>
        </w:rPr>
        <w:t xml:space="preserve"> Ο κρατικός τομέας περιλαμβάνει φορείς που εποπτεύονται από </w:t>
      </w:r>
      <w:r w:rsidR="00B9561C" w:rsidRPr="00B9561C">
        <w:rPr>
          <w:lang w:val="el-GR"/>
        </w:rPr>
        <w:t xml:space="preserve">διάφορα Υπουργεία </w:t>
      </w:r>
      <w:r w:rsidR="00B9561C">
        <w:rPr>
          <w:lang w:val="el-GR"/>
        </w:rPr>
        <w:t>όπως</w:t>
      </w:r>
      <w:r w:rsidR="00D218A7">
        <w:rPr>
          <w:lang w:val="el-GR"/>
        </w:rPr>
        <w:t>,</w:t>
      </w:r>
      <w:r w:rsidR="00B9561C">
        <w:rPr>
          <w:lang w:val="el-GR"/>
        </w:rPr>
        <w:t xml:space="preserve"> τα </w:t>
      </w:r>
      <w:r w:rsidR="00B9561C" w:rsidRPr="00B9561C">
        <w:rPr>
          <w:lang w:val="el-GR"/>
        </w:rPr>
        <w:t>Ερευνητικά Κέντρα που εποπτεύονται από τη Γενική Γραμματεία Έρευνας και Καινοτομίας</w:t>
      </w:r>
      <w:r w:rsidR="00B9561C">
        <w:rPr>
          <w:lang w:val="el-GR"/>
        </w:rPr>
        <w:t xml:space="preserve">, </w:t>
      </w:r>
      <w:r w:rsidR="00D218A7">
        <w:rPr>
          <w:lang w:val="el-GR"/>
        </w:rPr>
        <w:t xml:space="preserve">οι </w:t>
      </w:r>
      <w:r w:rsidR="00B9561C" w:rsidRPr="00B9561C">
        <w:rPr>
          <w:lang w:val="el-GR"/>
        </w:rPr>
        <w:t>Δημόσιοι Ερευνητικοί Φορείς</w:t>
      </w:r>
      <w:r w:rsidR="00856E76">
        <w:rPr>
          <w:lang w:val="el-GR"/>
        </w:rPr>
        <w:t xml:space="preserve"> που εποπτεύονται από άλλα Υπουργεία</w:t>
      </w:r>
      <w:r w:rsidR="00B9561C" w:rsidRPr="00B9561C">
        <w:rPr>
          <w:lang w:val="el-GR"/>
        </w:rPr>
        <w:t xml:space="preserve">, οι Εφορείες Αρχαιοτήτων, οι Υπηρεσίες </w:t>
      </w:r>
      <w:r w:rsidR="00856E76" w:rsidRPr="00B9561C">
        <w:rPr>
          <w:lang w:val="el-GR"/>
        </w:rPr>
        <w:t>Νε</w:t>
      </w:r>
      <w:r w:rsidR="00856E76">
        <w:rPr>
          <w:lang w:val="el-GR"/>
        </w:rPr>
        <w:t xml:space="preserve">ωτέρων </w:t>
      </w:r>
      <w:r w:rsidR="00B9561C" w:rsidRPr="00B9561C">
        <w:rPr>
          <w:lang w:val="el-GR"/>
        </w:rPr>
        <w:t xml:space="preserve"> Μνημείων, τα Δημόσια Μουσεία, τα Δημόσια Νοσοκομεία</w:t>
      </w:r>
      <w:r w:rsidR="00D218A7">
        <w:rPr>
          <w:lang w:val="el-GR"/>
        </w:rPr>
        <w:t xml:space="preserve">, </w:t>
      </w:r>
      <w:r w:rsidR="00B9561C" w:rsidRPr="00B9561C">
        <w:rPr>
          <w:lang w:val="el-GR"/>
        </w:rPr>
        <w:t>οι Φορείς</w:t>
      </w:r>
      <w:r w:rsidR="00AC608E">
        <w:rPr>
          <w:lang w:val="el-GR"/>
        </w:rPr>
        <w:t xml:space="preserve">, </w:t>
      </w:r>
      <w:r w:rsidR="00B9561C" w:rsidRPr="00B9561C">
        <w:rPr>
          <w:lang w:val="el-GR"/>
        </w:rPr>
        <w:t>οι Διευθύνσεις</w:t>
      </w:r>
      <w:r w:rsidR="00AC608E">
        <w:rPr>
          <w:lang w:val="el-GR"/>
        </w:rPr>
        <w:t xml:space="preserve"> και </w:t>
      </w:r>
      <w:r w:rsidR="00B9561C" w:rsidRPr="00B9561C">
        <w:rPr>
          <w:lang w:val="el-GR"/>
        </w:rPr>
        <w:t>τα Νοσοκομεία του Υπουργείου Εθνικής Άμυνας, κ.α.</w:t>
      </w:r>
      <w:r w:rsidR="00B9561C">
        <w:rPr>
          <w:lang w:val="el-GR"/>
        </w:rPr>
        <w:t xml:space="preserve"> Συνολικά</w:t>
      </w:r>
      <w:r w:rsidR="00D218A7">
        <w:rPr>
          <w:lang w:val="el-GR"/>
        </w:rPr>
        <w:t>,</w:t>
      </w:r>
      <w:r w:rsidR="00B9561C">
        <w:rPr>
          <w:lang w:val="el-GR"/>
        </w:rPr>
        <w:t xml:space="preserve"> οι δραστηριότητες </w:t>
      </w:r>
      <w:r w:rsidR="00D218A7">
        <w:rPr>
          <w:lang w:val="el-GR"/>
        </w:rPr>
        <w:t xml:space="preserve">Ε&amp;Α </w:t>
      </w:r>
      <w:r w:rsidR="00B9561C">
        <w:rPr>
          <w:lang w:val="el-GR"/>
        </w:rPr>
        <w:t xml:space="preserve">του κρατικού τομέα </w:t>
      </w:r>
      <w:r w:rsidR="00D218A7">
        <w:rPr>
          <w:lang w:val="el-GR"/>
        </w:rPr>
        <w:t xml:space="preserve">για το 2022 </w:t>
      </w:r>
      <w:r w:rsidR="00B9561C">
        <w:rPr>
          <w:lang w:val="el-GR"/>
        </w:rPr>
        <w:t>αφορού</w:t>
      </w:r>
      <w:r w:rsidR="00D218A7">
        <w:rPr>
          <w:lang w:val="el-GR"/>
        </w:rPr>
        <w:t>σα</w:t>
      </w:r>
      <w:r w:rsidR="00B9561C">
        <w:rPr>
          <w:lang w:val="el-GR"/>
        </w:rPr>
        <w:t xml:space="preserve">ν </w:t>
      </w:r>
      <w:r w:rsidR="006A340A">
        <w:rPr>
          <w:lang w:val="el-GR"/>
        </w:rPr>
        <w:t>τόσο</w:t>
      </w:r>
      <w:r w:rsidR="006A340A" w:rsidRPr="00B9561C">
        <w:rPr>
          <w:lang w:val="el-GR"/>
        </w:rPr>
        <w:t xml:space="preserve"> </w:t>
      </w:r>
      <w:r w:rsidR="00B9561C" w:rsidRPr="00B9561C">
        <w:rPr>
          <w:lang w:val="el-GR"/>
        </w:rPr>
        <w:t>βασική</w:t>
      </w:r>
      <w:r w:rsidR="006A340A">
        <w:rPr>
          <w:lang w:val="el-GR"/>
        </w:rPr>
        <w:t xml:space="preserve"> όσο </w:t>
      </w:r>
      <w:r w:rsidR="00B9561C" w:rsidRPr="00B9561C">
        <w:rPr>
          <w:lang w:val="el-GR"/>
        </w:rPr>
        <w:t xml:space="preserve">και εφαρμοσμένη έρευνα, με δαπάνες 262,06 και 256,93 </w:t>
      </w:r>
      <w:r w:rsidR="00197A18">
        <w:rPr>
          <w:lang w:val="el-GR"/>
        </w:rPr>
        <w:t>εκατ. ευρώ</w:t>
      </w:r>
      <w:r w:rsidR="00B9561C" w:rsidRPr="00B9561C">
        <w:rPr>
          <w:lang w:val="el-GR"/>
        </w:rPr>
        <w:t xml:space="preserve"> αντίστοιχα.</w:t>
      </w:r>
      <w:r w:rsidR="00B9561C">
        <w:rPr>
          <w:lang w:val="el-GR"/>
        </w:rPr>
        <w:t xml:space="preserve"> </w:t>
      </w:r>
      <w:r w:rsidR="00B9561C" w:rsidRPr="00B9561C">
        <w:rPr>
          <w:lang w:val="el-GR"/>
        </w:rPr>
        <w:t>Τα κυριότερα επιστημονικά πεδία στα οποία διεξ</w:t>
      </w:r>
      <w:r w:rsidR="00D218A7">
        <w:rPr>
          <w:lang w:val="el-GR"/>
        </w:rPr>
        <w:t xml:space="preserve">ήγαγαν </w:t>
      </w:r>
      <w:r w:rsidR="00B9561C" w:rsidRPr="00B9561C">
        <w:rPr>
          <w:lang w:val="el-GR"/>
        </w:rPr>
        <w:t xml:space="preserve">Ε&amp;Α το 2022 οι κρατικοί φορείς </w:t>
      </w:r>
      <w:r w:rsidR="00E9063D">
        <w:rPr>
          <w:lang w:val="el-GR"/>
        </w:rPr>
        <w:t xml:space="preserve">ήταν </w:t>
      </w:r>
      <w:r w:rsidR="00B9561C" w:rsidRPr="00B9561C">
        <w:rPr>
          <w:lang w:val="el-GR"/>
        </w:rPr>
        <w:t xml:space="preserve">η «Ιατρική και Επιστήμες Υγείας» (196,71 εκατ.€), οι «Επιστήμες Μηχανικού &amp; Τεχνολογία» (149,62 </w:t>
      </w:r>
      <w:r w:rsidR="00197A18">
        <w:rPr>
          <w:lang w:val="el-GR"/>
        </w:rPr>
        <w:t>εκατ. ευρώ</w:t>
      </w:r>
      <w:r w:rsidR="00B9561C" w:rsidRPr="00B9561C">
        <w:rPr>
          <w:lang w:val="el-GR"/>
        </w:rPr>
        <w:t xml:space="preserve">) και οι «Ανθρωπιστικές Επιστήμες &amp; Τέχνες» (135,55 εκατ. €).   </w:t>
      </w:r>
      <w:r>
        <w:rPr>
          <w:lang w:val="el-GR"/>
        </w:rPr>
        <w:t xml:space="preserve">   </w:t>
      </w:r>
    </w:p>
    <w:p w14:paraId="6EEFF565" w14:textId="7EA69F93" w:rsidR="00E70426" w:rsidRDefault="00B9561C" w:rsidP="00B9561C">
      <w:pPr>
        <w:spacing w:before="80" w:after="80"/>
        <w:jc w:val="both"/>
        <w:rPr>
          <w:lang w:val="el-GR"/>
        </w:rPr>
      </w:pPr>
      <w:r>
        <w:rPr>
          <w:lang w:val="el-GR"/>
        </w:rPr>
        <w:t xml:space="preserve">Η απασχόληση σε Ε&amp;Α στους </w:t>
      </w:r>
      <w:r w:rsidR="00D218A7">
        <w:rPr>
          <w:lang w:val="el-GR"/>
        </w:rPr>
        <w:t>κρατικούς φ</w:t>
      </w:r>
      <w:r>
        <w:rPr>
          <w:lang w:val="el-GR"/>
        </w:rPr>
        <w:t>ορείς ανήλθε σε 16.311 ΙΠΑ</w:t>
      </w:r>
      <w:r w:rsidR="004A2E72">
        <w:rPr>
          <w:lang w:val="el-GR"/>
        </w:rPr>
        <w:t xml:space="preserve"> (23,5% επί του συνόλου)</w:t>
      </w:r>
      <w:r>
        <w:rPr>
          <w:lang w:val="el-GR"/>
        </w:rPr>
        <w:t>, εκ των οποίων 9.266</w:t>
      </w:r>
      <w:r w:rsidR="00D218A7">
        <w:rPr>
          <w:lang w:val="el-GR"/>
        </w:rPr>
        <w:t xml:space="preserve"> </w:t>
      </w:r>
      <w:r>
        <w:rPr>
          <w:lang w:val="el-GR"/>
        </w:rPr>
        <w:t xml:space="preserve">ΙΠΑ αφορούσαν  ερευνητικές θέσεις.  </w:t>
      </w:r>
    </w:p>
    <w:p w14:paraId="25715CAF" w14:textId="7F47C03B" w:rsidR="002C0EAE" w:rsidRDefault="00B9561C" w:rsidP="002C0EAE">
      <w:pPr>
        <w:spacing w:before="80" w:after="80"/>
        <w:jc w:val="both"/>
        <w:rPr>
          <w:lang w:val="el-GR"/>
        </w:rPr>
      </w:pPr>
      <w:r>
        <w:rPr>
          <w:lang w:val="el-GR"/>
        </w:rPr>
        <w:t xml:space="preserve">Τέλος, στον </w:t>
      </w:r>
      <w:r w:rsidR="00B91D60" w:rsidRPr="00C36BA2">
        <w:rPr>
          <w:lang w:val="el-GR"/>
        </w:rPr>
        <w:t xml:space="preserve">τομέα </w:t>
      </w:r>
      <w:r w:rsidR="002C0EAE" w:rsidRPr="00C36BA2">
        <w:rPr>
          <w:lang w:val="el-GR"/>
        </w:rPr>
        <w:t>των ιδιωτικών μη</w:t>
      </w:r>
      <w:r w:rsidR="002C0EAE" w:rsidRPr="002C0EAE">
        <w:rPr>
          <w:lang w:val="el-GR"/>
        </w:rPr>
        <w:t xml:space="preserve"> κερδοσκοπικών ιδρυμάτων </w:t>
      </w:r>
      <w:r w:rsidR="00B91D60">
        <w:rPr>
          <w:lang w:val="el-GR"/>
        </w:rPr>
        <w:t xml:space="preserve">πραγματοποιήθηκαν δαπάνες Ε&amp;Α </w:t>
      </w:r>
      <w:r w:rsidR="00E70426">
        <w:rPr>
          <w:lang w:val="el-GR"/>
        </w:rPr>
        <w:t>17,2</w:t>
      </w:r>
      <w:r>
        <w:rPr>
          <w:lang w:val="el-GR"/>
        </w:rPr>
        <w:t>9</w:t>
      </w:r>
      <w:r w:rsidR="00E70426">
        <w:rPr>
          <w:lang w:val="el-GR"/>
        </w:rPr>
        <w:t xml:space="preserve"> </w:t>
      </w:r>
      <w:r w:rsidR="00197A18">
        <w:rPr>
          <w:lang w:val="el-GR"/>
        </w:rPr>
        <w:t>εκατ. ευρώ</w:t>
      </w:r>
      <w:r w:rsidR="00B91D60">
        <w:rPr>
          <w:lang w:val="el-GR"/>
        </w:rPr>
        <w:t xml:space="preserve"> </w:t>
      </w:r>
      <w:r>
        <w:rPr>
          <w:lang w:val="el-GR"/>
        </w:rPr>
        <w:t xml:space="preserve">ενώ η συνολική απασχόληση σε Ε&amp;Α </w:t>
      </w:r>
      <w:r w:rsidR="00E9063D">
        <w:rPr>
          <w:lang w:val="el-GR"/>
        </w:rPr>
        <w:t xml:space="preserve">ήταν </w:t>
      </w:r>
      <w:r>
        <w:rPr>
          <w:lang w:val="el-GR"/>
        </w:rPr>
        <w:t>47</w:t>
      </w:r>
      <w:r w:rsidR="004A2E72">
        <w:rPr>
          <w:lang w:val="el-GR"/>
        </w:rPr>
        <w:t>3</w:t>
      </w:r>
      <w:r>
        <w:rPr>
          <w:lang w:val="el-GR"/>
        </w:rPr>
        <w:t>, εκ των οποίων 346 ΙΠΑ</w:t>
      </w:r>
      <w:r w:rsidR="00E9063D">
        <w:rPr>
          <w:lang w:val="el-GR"/>
        </w:rPr>
        <w:t xml:space="preserve"> </w:t>
      </w:r>
      <w:r w:rsidR="00E9063D" w:rsidRPr="00E9063D">
        <w:rPr>
          <w:lang w:val="el-GR"/>
        </w:rPr>
        <w:t>αφορούσαν  ερευνητικές θέσεις</w:t>
      </w:r>
      <w:r w:rsidR="002C0EAE" w:rsidRPr="002C0EAE">
        <w:rPr>
          <w:lang w:val="el-GR"/>
        </w:rPr>
        <w:t xml:space="preserve">. </w:t>
      </w:r>
    </w:p>
    <w:p w14:paraId="03CB0ECA" w14:textId="4E8AF70E" w:rsidR="00D21BB3" w:rsidRDefault="00D21BB3" w:rsidP="002C0EAE">
      <w:pPr>
        <w:spacing w:before="80" w:after="80"/>
        <w:jc w:val="both"/>
        <w:rPr>
          <w:lang w:val="el-GR"/>
        </w:rPr>
      </w:pPr>
      <w:r>
        <w:rPr>
          <w:lang w:val="el-GR"/>
        </w:rPr>
        <w:t>Όσον αφορά την περιφερειακή κατανομή των  δραστηριοτήτων Ε&amp;Α, η Περιφέρεια Αττικής συγκεντρώνει το μεγαλύτερο μέρος των δαπανών Ε&amp;Α (</w:t>
      </w:r>
      <w:r w:rsidRPr="00D21BB3">
        <w:rPr>
          <w:lang w:val="el-GR"/>
        </w:rPr>
        <w:t xml:space="preserve">1.798,43 εκατ. ευρώ </w:t>
      </w:r>
      <w:r>
        <w:rPr>
          <w:lang w:val="el-GR"/>
        </w:rPr>
        <w:t xml:space="preserve">που αντιστοιχεί σε </w:t>
      </w:r>
      <w:r w:rsidRPr="00D21BB3">
        <w:rPr>
          <w:lang w:val="el-GR"/>
        </w:rPr>
        <w:t xml:space="preserve">58,6 % </w:t>
      </w:r>
      <w:r>
        <w:rPr>
          <w:lang w:val="el-GR"/>
        </w:rPr>
        <w:t>του συνόλου) καθώς και του προσωπικού Ε&amp;Α (</w:t>
      </w:r>
      <w:r w:rsidRPr="00D21BB3">
        <w:rPr>
          <w:lang w:val="el-GR"/>
        </w:rPr>
        <w:t xml:space="preserve">34.018 ΙΠΑ </w:t>
      </w:r>
      <w:r>
        <w:rPr>
          <w:lang w:val="el-GR"/>
        </w:rPr>
        <w:t xml:space="preserve">που αντιστοιχεί σε </w:t>
      </w:r>
      <w:r w:rsidRPr="00D21BB3">
        <w:rPr>
          <w:lang w:val="el-GR"/>
        </w:rPr>
        <w:t>49,1 % του συνόλου</w:t>
      </w:r>
      <w:r>
        <w:rPr>
          <w:lang w:val="el-GR"/>
        </w:rPr>
        <w:t>). Ο</w:t>
      </w:r>
      <w:r w:rsidRPr="00D21BB3">
        <w:rPr>
          <w:lang w:val="el-GR"/>
        </w:rPr>
        <w:t xml:space="preserve">  δείκτης "Ένταση Ε&amp;Α", που εκφράζει τις δαπάνες Ε&amp;Α ως ποσοστό του ΑΕΠ</w:t>
      </w:r>
      <w:r>
        <w:rPr>
          <w:lang w:val="el-GR"/>
        </w:rPr>
        <w:t xml:space="preserve"> της κάθε Περιφέρειας και αναδεικνύει την σημασία των δραστηριοτήτων Ε&amp;Α στο σύνολο των δραστηριοτήτων κάθε Περιφέρειας, καταγράφει υψηλές τιμές, πάνω από τον εθνικό μέσο όρο, στ</w:t>
      </w:r>
      <w:r w:rsidR="000F1289">
        <w:rPr>
          <w:lang w:val="el-GR"/>
        </w:rPr>
        <w:t>ις</w:t>
      </w:r>
      <w:r>
        <w:rPr>
          <w:lang w:val="el-GR"/>
        </w:rPr>
        <w:t xml:space="preserve"> Περιφέρει</w:t>
      </w:r>
      <w:r w:rsidR="000F1289">
        <w:rPr>
          <w:lang w:val="el-GR"/>
        </w:rPr>
        <w:t>ες</w:t>
      </w:r>
      <w:r>
        <w:rPr>
          <w:lang w:val="el-GR"/>
        </w:rPr>
        <w:t xml:space="preserve"> Ηπείρου (2,13</w:t>
      </w:r>
      <w:r w:rsidR="00856E76">
        <w:rPr>
          <w:lang w:val="el-GR"/>
        </w:rPr>
        <w:t>%</w:t>
      </w:r>
      <w:r>
        <w:rPr>
          <w:lang w:val="el-GR"/>
        </w:rPr>
        <w:t xml:space="preserve">), </w:t>
      </w:r>
      <w:r w:rsidR="000F1289">
        <w:rPr>
          <w:lang w:val="el-GR"/>
        </w:rPr>
        <w:t>Αττικής (1,85</w:t>
      </w:r>
      <w:r w:rsidR="00856E76">
        <w:rPr>
          <w:lang w:val="el-GR"/>
        </w:rPr>
        <w:t>%</w:t>
      </w:r>
      <w:r w:rsidR="000F1289">
        <w:rPr>
          <w:lang w:val="el-GR"/>
        </w:rPr>
        <w:t>), Δυτικ</w:t>
      </w:r>
      <w:r w:rsidR="00856E76">
        <w:rPr>
          <w:lang w:val="el-GR"/>
        </w:rPr>
        <w:t>ή</w:t>
      </w:r>
      <w:r w:rsidR="000F1289">
        <w:rPr>
          <w:lang w:val="el-GR"/>
        </w:rPr>
        <w:t>ς Ελλάδας (1,83</w:t>
      </w:r>
      <w:r w:rsidR="00856E76">
        <w:rPr>
          <w:lang w:val="el-GR"/>
        </w:rPr>
        <w:t>%</w:t>
      </w:r>
      <w:r w:rsidR="000F1289">
        <w:rPr>
          <w:lang w:val="el-GR"/>
        </w:rPr>
        <w:t>) και Κρήτης (1,68</w:t>
      </w:r>
      <w:r w:rsidR="00856E76">
        <w:rPr>
          <w:lang w:val="el-GR"/>
        </w:rPr>
        <w:t>%</w:t>
      </w:r>
      <w:r w:rsidR="000F1289">
        <w:rPr>
          <w:lang w:val="el-GR"/>
        </w:rPr>
        <w:t>).</w:t>
      </w:r>
      <w:r>
        <w:rPr>
          <w:lang w:val="el-GR"/>
        </w:rPr>
        <w:t xml:space="preserve"> </w:t>
      </w:r>
    </w:p>
    <w:p w14:paraId="58F6DFD8" w14:textId="5FC473B0" w:rsidR="002C0EAE" w:rsidRDefault="002C0EAE" w:rsidP="002C0EAE">
      <w:pPr>
        <w:spacing w:before="80" w:after="80"/>
        <w:jc w:val="both"/>
        <w:rPr>
          <w:lang w:val="el-GR"/>
        </w:rPr>
      </w:pPr>
      <w:r w:rsidRPr="002C0EAE">
        <w:rPr>
          <w:lang w:val="el-GR"/>
        </w:rPr>
        <w:t xml:space="preserve">Τα στατιστικά στοιχεία και οι δείκτες για Έρευνα, Ανάπτυξη και Καινοτομία στην Ελλάδα </w:t>
      </w:r>
      <w:r w:rsidR="00241D75">
        <w:rPr>
          <w:lang w:val="el-GR"/>
        </w:rPr>
        <w:t xml:space="preserve">αφορούν ευρωπαϊκές στατιστικές και παράγονται από το Εθνικό Κέντρο Τεκμηρίωσης και Ηλεκτρονικού Περιεχομένου, την αρμόδια εθνική αρχή του Ελληνικού Στατιστικού Συστήματος. Αποτελούν τα επίσημα εθνικά στοιχεία τα οποία αποστέλλονται και δημοσιεύονται από τη </w:t>
      </w:r>
      <w:r w:rsidRPr="002C0EAE">
        <w:rPr>
          <w:lang w:val="el-GR"/>
        </w:rPr>
        <w:t xml:space="preserve">Eurostat και τον ΟΟΣΑ. </w:t>
      </w:r>
      <w:r w:rsidR="00241D75">
        <w:rPr>
          <w:lang w:val="el-GR"/>
        </w:rPr>
        <w:t xml:space="preserve">Διατίθενται επίσης </w:t>
      </w:r>
      <w:r w:rsidR="00D7223F">
        <w:rPr>
          <w:lang w:val="el-GR"/>
        </w:rPr>
        <w:t>από το ΕΚΤ σ</w:t>
      </w:r>
      <w:r w:rsidRPr="002C0EAE">
        <w:rPr>
          <w:lang w:val="el-GR"/>
        </w:rPr>
        <w:t xml:space="preserve">ε έντυπες και ηλεκτρονικές εκδόσεις </w:t>
      </w:r>
      <w:r w:rsidR="00D7223F">
        <w:rPr>
          <w:lang w:val="el-GR"/>
        </w:rPr>
        <w:t xml:space="preserve">και πίνακες δεδομένων </w:t>
      </w:r>
      <w:r w:rsidRPr="002C0EAE">
        <w:rPr>
          <w:lang w:val="el-GR"/>
        </w:rPr>
        <w:t xml:space="preserve">στον δικτυακό τόπο </w:t>
      </w:r>
      <w:hyperlink r:id="rId12" w:history="1">
        <w:r w:rsidR="00D7223F" w:rsidRPr="00B3633B">
          <w:rPr>
            <w:rStyle w:val="Hyperlink"/>
            <w:lang w:val="el-GR"/>
          </w:rPr>
          <w:t>http://metrics.ekt.gr</w:t>
        </w:r>
      </w:hyperlink>
      <w:r w:rsidRPr="002C0EAE">
        <w:rPr>
          <w:lang w:val="el-GR"/>
        </w:rPr>
        <w:t xml:space="preserve">. </w:t>
      </w:r>
    </w:p>
    <w:p w14:paraId="11E66BEF" w14:textId="60DB1F07" w:rsidR="00930C68"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044A7D" w:rsidRPr="00044A7D">
        <w:rPr>
          <w:rFonts w:cstheme="minorHAnsi"/>
          <w:lang w:val="el-GR"/>
        </w:rPr>
        <w:t>"</w:t>
      </w:r>
      <w:r w:rsidR="00F479DB" w:rsidRPr="00F479DB">
        <w:rPr>
          <w:rFonts w:cstheme="minorHAnsi"/>
          <w:lang w:val="el-GR"/>
        </w:rPr>
        <w:t>Βασικοί Δείκτες Έρευνας &amp; Ανάπτυξης για δαπάνες και προσωπικό το 20</w:t>
      </w:r>
      <w:r w:rsidR="00D17D47">
        <w:rPr>
          <w:rFonts w:cstheme="minorHAnsi"/>
          <w:lang w:val="el-GR"/>
        </w:rPr>
        <w:t>2</w:t>
      </w:r>
      <w:r w:rsidR="00E70426">
        <w:rPr>
          <w:rFonts w:cstheme="minorHAnsi"/>
          <w:lang w:val="el-GR"/>
        </w:rPr>
        <w:t>2</w:t>
      </w:r>
      <w:r w:rsidR="003211D8" w:rsidRPr="003211D8">
        <w:rPr>
          <w:rFonts w:cstheme="minorHAnsi"/>
          <w:lang w:val="el-GR"/>
        </w:rPr>
        <w:t xml:space="preserve"> </w:t>
      </w:r>
      <w:r w:rsidR="003D16B1">
        <w:rPr>
          <w:rFonts w:cstheme="minorHAnsi"/>
          <w:lang w:val="el-GR"/>
        </w:rPr>
        <w:t>στην Ελλάδα</w:t>
      </w:r>
      <w:r w:rsidR="00044A7D" w:rsidRPr="00044A7D">
        <w:rPr>
          <w:rFonts w:cstheme="minorHAnsi"/>
          <w:lang w:val="el-GR"/>
        </w:rPr>
        <w:t>"</w:t>
      </w:r>
      <w:r w:rsidR="00044A7D">
        <w:rPr>
          <w:rFonts w:cstheme="minorHAnsi"/>
          <w:lang w:val="el-GR"/>
        </w:rPr>
        <w:br/>
      </w:r>
      <w:hyperlink r:id="rId13" w:history="1">
        <w:r w:rsidR="00930C68" w:rsidRPr="00C63066">
          <w:rPr>
            <w:rStyle w:val="Hyperlink"/>
          </w:rPr>
          <w:t>https</w:t>
        </w:r>
        <w:r w:rsidR="00930C68" w:rsidRPr="00C63066">
          <w:rPr>
            <w:rStyle w:val="Hyperlink"/>
            <w:lang w:val="el-GR"/>
          </w:rPr>
          <w:t>://</w:t>
        </w:r>
        <w:r w:rsidR="00930C68" w:rsidRPr="00C63066">
          <w:rPr>
            <w:rStyle w:val="Hyperlink"/>
          </w:rPr>
          <w:t>metrics</w:t>
        </w:r>
        <w:r w:rsidR="00930C68" w:rsidRPr="00C63066">
          <w:rPr>
            <w:rStyle w:val="Hyperlink"/>
            <w:lang w:val="el-GR"/>
          </w:rPr>
          <w:t>.</w:t>
        </w:r>
        <w:r w:rsidR="00930C68" w:rsidRPr="00C63066">
          <w:rPr>
            <w:rStyle w:val="Hyperlink"/>
          </w:rPr>
          <w:t>ekt</w:t>
        </w:r>
        <w:r w:rsidR="00930C68" w:rsidRPr="00C63066">
          <w:rPr>
            <w:rStyle w:val="Hyperlink"/>
            <w:lang w:val="el-GR"/>
          </w:rPr>
          <w:t>.</w:t>
        </w:r>
        <w:r w:rsidR="00930C68" w:rsidRPr="00C63066">
          <w:rPr>
            <w:rStyle w:val="Hyperlink"/>
          </w:rPr>
          <w:t>gr</w:t>
        </w:r>
        <w:r w:rsidR="00930C68" w:rsidRPr="00C63066">
          <w:rPr>
            <w:rStyle w:val="Hyperlink"/>
            <w:lang w:val="el-GR"/>
          </w:rPr>
          <w:t>/</w:t>
        </w:r>
        <w:r w:rsidR="00930C68" w:rsidRPr="00C63066">
          <w:rPr>
            <w:rStyle w:val="Hyperlink"/>
          </w:rPr>
          <w:t>publications</w:t>
        </w:r>
        <w:r w:rsidR="00930C68" w:rsidRPr="00C63066">
          <w:rPr>
            <w:rStyle w:val="Hyperlink"/>
            <w:lang w:val="el-GR"/>
          </w:rPr>
          <w:t>/701</w:t>
        </w:r>
      </w:hyperlink>
    </w:p>
    <w:p w14:paraId="5DB9BB9F" w14:textId="519D12C8" w:rsidR="00CA6C05" w:rsidRDefault="00044A7D" w:rsidP="009D0EF3">
      <w:pPr>
        <w:spacing w:before="170"/>
        <w:rPr>
          <w:rFonts w:cstheme="minorHAnsi"/>
          <w:lang w:val="el-GR"/>
        </w:rPr>
      </w:pPr>
      <w:r w:rsidRPr="00044A7D">
        <w:rPr>
          <w:rFonts w:cstheme="minorHAnsi"/>
          <w:lang w:val="el-GR"/>
        </w:rPr>
        <w:t xml:space="preserve">ΕΚΤ </w:t>
      </w:r>
      <w:r w:rsidR="001E15D2">
        <w:rPr>
          <w:rFonts w:cstheme="minorHAnsi"/>
          <w:lang w:val="el-GR"/>
        </w:rPr>
        <w:t>–</w:t>
      </w:r>
      <w:r w:rsidRPr="00044A7D">
        <w:rPr>
          <w:rFonts w:cstheme="minorHAnsi"/>
          <w:lang w:val="el-GR"/>
        </w:rPr>
        <w:t xml:space="preserve"> Δείκτες</w:t>
      </w:r>
      <w:r w:rsidR="001E15D2" w:rsidRPr="001E15D2">
        <w:rPr>
          <w:rFonts w:cstheme="minorHAnsi"/>
          <w:lang w:val="el-GR"/>
        </w:rPr>
        <w:t xml:space="preserve"> &amp; Στατιστικ</w:t>
      </w:r>
      <w:r w:rsidR="001E15D2">
        <w:rPr>
          <w:rFonts w:cstheme="minorHAnsi"/>
          <w:lang w:val="el-GR"/>
        </w:rPr>
        <w:t xml:space="preserve">ές για </w:t>
      </w:r>
      <w:r w:rsidRPr="00044A7D">
        <w:rPr>
          <w:rFonts w:cstheme="minorHAnsi"/>
          <w:lang w:val="el-GR"/>
        </w:rPr>
        <w:t xml:space="preserve">Έρευνα, </w:t>
      </w:r>
      <w:r w:rsidR="00E2488C">
        <w:rPr>
          <w:rFonts w:cstheme="minorHAnsi"/>
          <w:lang w:val="el-GR"/>
        </w:rPr>
        <w:t>Ανάπτυξη</w:t>
      </w:r>
      <w:r w:rsidRPr="00044A7D">
        <w:rPr>
          <w:rFonts w:cstheme="minorHAnsi"/>
          <w:lang w:val="el-GR"/>
        </w:rPr>
        <w:t>, Καινοτομία</w:t>
      </w:r>
      <w:r>
        <w:rPr>
          <w:rFonts w:cstheme="minorHAnsi"/>
          <w:lang w:val="el-GR"/>
        </w:rPr>
        <w:br/>
      </w:r>
      <w:hyperlink r:id="rId14" w:history="1">
        <w:r w:rsidRPr="00A058F9">
          <w:rPr>
            <w:rStyle w:val="Hyperlink"/>
            <w:rFonts w:cstheme="minorHAnsi"/>
            <w:lang w:val="el-GR"/>
          </w:rPr>
          <w:t>http://metrics.ekt.gr</w:t>
        </w:r>
      </w:hyperlink>
      <w:r>
        <w:rPr>
          <w:rFonts w:cstheme="minorHAnsi"/>
          <w:lang w:val="el-GR"/>
        </w:rPr>
        <w:t xml:space="preserve"> </w:t>
      </w:r>
      <w:r w:rsidRPr="00044A7D">
        <w:rPr>
          <w:rFonts w:cstheme="minorHAnsi"/>
          <w:lang w:val="el-GR"/>
        </w:rPr>
        <w:t xml:space="preserve"> </w:t>
      </w:r>
    </w:p>
    <w:p w14:paraId="7E1FC21E" w14:textId="19D22B39" w:rsidR="00EC3996" w:rsidRPr="00EC3996" w:rsidRDefault="009B0DF0" w:rsidP="00EC3996">
      <w:pPr>
        <w:spacing w:before="170"/>
        <w:rPr>
          <w:rFonts w:eastAsia="Batang" w:cstheme="majorHAnsi"/>
          <w:color w:val="0563C1" w:themeColor="hyperlink"/>
          <w:u w:val="single"/>
          <w:lang w:val="el-GR" w:eastAsia="el-GR"/>
        </w:rPr>
      </w:pPr>
      <w:bookmarkStart w:id="2" w:name="_GoBack"/>
      <w:bookmarkEnd w:id="2"/>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5">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1F361648" w14:textId="7A4676CC" w:rsidR="003D16B1" w:rsidRDefault="00EC3996" w:rsidP="00EC3996">
      <w:pPr>
        <w:spacing w:after="0" w:line="240" w:lineRule="auto"/>
        <w:rPr>
          <w:rFonts w:cstheme="majorHAnsi"/>
          <w:b/>
          <w:i/>
          <w:color w:val="262626" w:themeColor="text1" w:themeTint="D9"/>
          <w:sz w:val="24"/>
          <w:lang w:val="el-GR"/>
        </w:rPr>
      </w:pPr>
      <w:r>
        <w:rPr>
          <w:rFonts w:cstheme="majorHAnsi"/>
          <w:b/>
          <w:i/>
          <w:color w:val="262626" w:themeColor="text1" w:themeTint="D9"/>
          <w:sz w:val="24"/>
          <w:lang w:val="el-GR"/>
        </w:rPr>
        <w:br w:type="page"/>
      </w:r>
    </w:p>
    <w:p w14:paraId="4A9474A4" w14:textId="01DF8393" w:rsidR="003D16B1" w:rsidRDefault="003D16B1" w:rsidP="00EC3996">
      <w:pPr>
        <w:spacing w:after="0" w:line="240" w:lineRule="auto"/>
        <w:rPr>
          <w:rFonts w:cstheme="majorHAnsi"/>
          <w:b/>
          <w:i/>
          <w:color w:val="262626" w:themeColor="text1" w:themeTint="D9"/>
          <w:sz w:val="24"/>
          <w:lang w:val="el-GR"/>
        </w:rPr>
      </w:pPr>
    </w:p>
    <w:p w14:paraId="7F5C3957" w14:textId="44B59B3D" w:rsidR="00FD009B" w:rsidRPr="00EC3996" w:rsidRDefault="0080674D" w:rsidP="00EC3996">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t>Σ</w:t>
      </w:r>
      <w:r w:rsidR="0013453F">
        <w:rPr>
          <w:rFonts w:cstheme="majorHAnsi"/>
          <w:b/>
          <w:i/>
          <w:color w:val="262626" w:themeColor="text1" w:themeTint="D9"/>
          <w:sz w:val="24"/>
          <w:lang w:val="el-GR"/>
        </w:rPr>
        <w:t xml:space="preserve">χετικά με το Εθνικό Κέντρο Τεκμηρίωσης και Ηλεκτρονικού Περιεχομένου </w:t>
      </w:r>
      <w:r w:rsidR="0013453F">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hyperlink r:id="rId16"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ekt</w:t>
        </w:r>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14:paraId="337CCA52" w14:textId="77777777" w:rsidR="00CC3FCB" w:rsidRDefault="00CC3FCB" w:rsidP="00CC3FCB">
      <w:pPr>
        <w:spacing w:after="0"/>
        <w:rPr>
          <w:i/>
          <w:lang w:val="el-GR" w:eastAsia="el-GR"/>
        </w:rPr>
      </w:pPr>
      <w:r w:rsidRPr="004A2D3B">
        <w:rPr>
          <w:rStyle w:val="Emphasis"/>
          <w:rFonts w:ascii="Open Sans" w:hAnsi="Open Sans" w:cs="Open Sans"/>
          <w:color w:val="000000"/>
          <w:sz w:val="21"/>
          <w:szCs w:val="21"/>
          <w:shd w:val="clear" w:color="auto" w:fill="FFFFFF"/>
          <w:lang w:val="el-GR"/>
        </w:rPr>
        <w:t>• Υποστηρίζει τ</w:t>
      </w:r>
      <w:r>
        <w:rPr>
          <w:rStyle w:val="Emphasis"/>
          <w:rFonts w:ascii="Open Sans" w:hAnsi="Open Sans" w:cs="Open Sans"/>
          <w:color w:val="000000"/>
          <w:sz w:val="21"/>
          <w:szCs w:val="21"/>
          <w:shd w:val="clear" w:color="auto" w:fill="FFFFFF"/>
          <w:lang w:val="el-GR"/>
        </w:rPr>
        <w:t xml:space="preserve">η δικτύωση και την εξωστρέφεια των επιχειρήσεων και τη συνεργασία τους </w:t>
      </w:r>
      <w:r w:rsidRPr="004A2D3B">
        <w:rPr>
          <w:rStyle w:val="Emphasis"/>
          <w:rFonts w:ascii="Open Sans" w:hAnsi="Open Sans" w:cs="Open Sans"/>
          <w:color w:val="000000"/>
          <w:sz w:val="21"/>
          <w:szCs w:val="21"/>
          <w:shd w:val="clear" w:color="auto" w:fill="FFFFFF"/>
          <w:lang w:val="el-GR"/>
        </w:rPr>
        <w:t>με την ερευνητική κοινότητα.</w:t>
      </w:r>
    </w:p>
    <w:p w14:paraId="1010A855" w14:textId="03782700" w:rsidR="004A2D3B" w:rsidRDefault="004A2D3B" w:rsidP="00FD009B">
      <w:pPr>
        <w:spacing w:after="0"/>
        <w:rPr>
          <w:i/>
          <w:lang w:val="el-GR" w:eastAsia="el-GR"/>
        </w:rPr>
      </w:pPr>
      <w:r w:rsidRPr="004A2D3B">
        <w:rPr>
          <w:rFonts w:ascii="Open Sans" w:hAnsi="Open Sans" w:cs="Open Sans"/>
          <w:i/>
          <w:iCs/>
          <w:color w:val="000000"/>
          <w:sz w:val="21"/>
          <w:szCs w:val="21"/>
          <w:shd w:val="clear" w:color="auto" w:fill="FFFFFF"/>
          <w:lang w:val="el-GR"/>
        </w:rPr>
        <w:br/>
      </w:r>
      <w:r w:rsidRPr="004A2D3B">
        <w:rPr>
          <w:rFonts w:ascii="Open Sans" w:hAnsi="Open Sans" w:cs="Open Sans"/>
          <w:i/>
          <w:iCs/>
          <w:color w:val="000000"/>
          <w:sz w:val="21"/>
          <w:szCs w:val="21"/>
          <w:shd w:val="clear" w:color="auto" w:fill="FFFFFF"/>
          <w:lang w:val="el-GR"/>
        </w:rPr>
        <w:br/>
      </w:r>
    </w:p>
    <w:p w14:paraId="7CC8F912" w14:textId="4A52E886" w:rsidR="009B0DF0" w:rsidRPr="00294AB0" w:rsidRDefault="009B0DF0" w:rsidP="009B0DF0">
      <w:pPr>
        <w:jc w:val="both"/>
        <w:rPr>
          <w:rFonts w:ascii="Verdana" w:eastAsia="Batang" w:hAnsi="Verdana"/>
          <w:i/>
          <w:sz w:val="18"/>
          <w:szCs w:val="18"/>
          <w:lang w:val="el-GR" w:eastAsia="el-GR"/>
        </w:rPr>
      </w:pPr>
    </w:p>
    <w:p w14:paraId="45081AB4" w14:textId="77777777" w:rsidR="00C70819" w:rsidRPr="009B0DF0" w:rsidRDefault="00C70819" w:rsidP="00044A7D">
      <w:pPr>
        <w:spacing w:after="0" w:line="240" w:lineRule="auto"/>
        <w:jc w:val="both"/>
        <w:rPr>
          <w:lang w:val="el-GR"/>
        </w:rPr>
      </w:pPr>
    </w:p>
    <w:p w14:paraId="62F54C45" w14:textId="77777777" w:rsidR="00DC5204" w:rsidRDefault="00DC5204">
      <w:pPr>
        <w:spacing w:after="0" w:line="240" w:lineRule="auto"/>
        <w:rPr>
          <w:lang w:val="el-GR"/>
        </w:rPr>
      </w:pPr>
      <w:r>
        <w:rPr>
          <w:lang w:val="el-GR"/>
        </w:rPr>
        <w:br w:type="page"/>
      </w:r>
    </w:p>
    <w:p w14:paraId="777BEDF2" w14:textId="771E9B1A" w:rsidR="002C0EAE" w:rsidRDefault="00F739AC" w:rsidP="002C0EAE">
      <w:pPr>
        <w:jc w:val="both"/>
        <w:rPr>
          <w:b/>
          <w:sz w:val="28"/>
          <w:lang w:val="el-GR"/>
        </w:rPr>
      </w:pPr>
      <w:r>
        <w:rPr>
          <w:b/>
          <w:noProof/>
          <w:sz w:val="28"/>
        </w:rPr>
        <w:lastRenderedPageBreak/>
        <w:drawing>
          <wp:anchor distT="0" distB="0" distL="114300" distR="114300" simplePos="0" relativeHeight="251658240" behindDoc="0" locked="0" layoutInCell="1" allowOverlap="1" wp14:anchorId="5F577E19" wp14:editId="687AB915">
            <wp:simplePos x="0" y="0"/>
            <wp:positionH relativeFrom="margin">
              <wp:posOffset>-635</wp:posOffset>
            </wp:positionH>
            <wp:positionV relativeFrom="paragraph">
              <wp:posOffset>361315</wp:posOffset>
            </wp:positionV>
            <wp:extent cx="6429375" cy="3616325"/>
            <wp:effectExtent l="0" t="0" r="9525" b="3175"/>
            <wp:wrapTopAndBottom/>
            <wp:docPr id="1875385244" name="Picture 1" descr="A chart with colorful circl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85244" name="Picture 1" descr="A chart with colorful circles and numbers&#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6429375" cy="3616325"/>
                    </a:xfrm>
                    <a:prstGeom prst="rect">
                      <a:avLst/>
                    </a:prstGeom>
                  </pic:spPr>
                </pic:pic>
              </a:graphicData>
            </a:graphic>
            <wp14:sizeRelH relativeFrom="page">
              <wp14:pctWidth>0</wp14:pctWidth>
            </wp14:sizeRelH>
            <wp14:sizeRelV relativeFrom="page">
              <wp14:pctHeight>0</wp14:pctHeight>
            </wp14:sizeRelV>
          </wp:anchor>
        </w:drawing>
      </w:r>
      <w:r w:rsidR="002C0EAE" w:rsidRPr="008F102D">
        <w:rPr>
          <w:b/>
          <w:sz w:val="28"/>
          <w:lang w:val="el-GR"/>
        </w:rPr>
        <w:t>Διαγράμματα</w:t>
      </w:r>
      <w:r w:rsidR="003D16B1">
        <w:rPr>
          <w:b/>
          <w:sz w:val="28"/>
          <w:lang w:val="el-GR"/>
        </w:rPr>
        <w:t xml:space="preserve"> </w:t>
      </w:r>
      <w:r w:rsidR="002C0EAE" w:rsidRPr="008F102D">
        <w:rPr>
          <w:b/>
          <w:sz w:val="28"/>
          <w:lang w:val="el-GR"/>
        </w:rPr>
        <w:t>-</w:t>
      </w:r>
      <w:r w:rsidR="003D16B1">
        <w:rPr>
          <w:b/>
          <w:sz w:val="28"/>
          <w:lang w:val="el-GR"/>
        </w:rPr>
        <w:t xml:space="preserve"> </w:t>
      </w:r>
      <w:r w:rsidR="002C0EAE" w:rsidRPr="008F102D">
        <w:rPr>
          <w:b/>
          <w:sz w:val="28"/>
          <w:lang w:val="el-GR"/>
        </w:rPr>
        <w:t xml:space="preserve">Πίνακες για δαπάνες Έρευνας &amp; Ανάπτυξης </w:t>
      </w:r>
      <w:r w:rsidR="008F102D" w:rsidRPr="008F102D">
        <w:rPr>
          <w:b/>
          <w:sz w:val="28"/>
          <w:lang w:val="el-GR"/>
        </w:rPr>
        <w:t>στην Ελλάδα</w:t>
      </w:r>
    </w:p>
    <w:p w14:paraId="409B80AF" w14:textId="10DA7580" w:rsidR="00F739AC" w:rsidRDefault="00F739AC" w:rsidP="002C0EAE">
      <w:pPr>
        <w:jc w:val="both"/>
        <w:rPr>
          <w:b/>
          <w:sz w:val="28"/>
          <w:lang w:val="el-GR"/>
        </w:rPr>
      </w:pPr>
    </w:p>
    <w:p w14:paraId="59E2F417" w14:textId="7C61CA65" w:rsidR="00F739AC" w:rsidRDefault="00F739AC" w:rsidP="002C0EAE">
      <w:pPr>
        <w:jc w:val="both"/>
        <w:rPr>
          <w:b/>
          <w:sz w:val="28"/>
          <w:lang w:val="el-GR"/>
        </w:rPr>
      </w:pPr>
      <w:r>
        <w:rPr>
          <w:b/>
          <w:noProof/>
          <w:sz w:val="28"/>
        </w:rPr>
        <w:drawing>
          <wp:anchor distT="0" distB="0" distL="114300" distR="114300" simplePos="0" relativeHeight="251659264" behindDoc="0" locked="0" layoutInCell="1" allowOverlap="1" wp14:anchorId="4E93E773" wp14:editId="2A8F9C44">
            <wp:simplePos x="0" y="0"/>
            <wp:positionH relativeFrom="margin">
              <wp:posOffset>-635</wp:posOffset>
            </wp:positionH>
            <wp:positionV relativeFrom="paragraph">
              <wp:posOffset>242570</wp:posOffset>
            </wp:positionV>
            <wp:extent cx="6372225" cy="3583940"/>
            <wp:effectExtent l="0" t="0" r="9525" b="0"/>
            <wp:wrapTopAndBottom/>
            <wp:docPr id="970380227"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80227" name="Picture 2" descr="A screenshot of a graph&#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372225" cy="3583940"/>
                    </a:xfrm>
                    <a:prstGeom prst="rect">
                      <a:avLst/>
                    </a:prstGeom>
                  </pic:spPr>
                </pic:pic>
              </a:graphicData>
            </a:graphic>
            <wp14:sizeRelH relativeFrom="page">
              <wp14:pctWidth>0</wp14:pctWidth>
            </wp14:sizeRelH>
            <wp14:sizeRelV relativeFrom="page">
              <wp14:pctHeight>0</wp14:pctHeight>
            </wp14:sizeRelV>
          </wp:anchor>
        </w:drawing>
      </w:r>
    </w:p>
    <w:p w14:paraId="0C327696" w14:textId="0425EF24" w:rsidR="00F739AC" w:rsidRDefault="00F739AC" w:rsidP="002C0EAE">
      <w:pPr>
        <w:jc w:val="both"/>
        <w:rPr>
          <w:b/>
          <w:sz w:val="28"/>
          <w:lang w:val="el-GR"/>
        </w:rPr>
      </w:pPr>
    </w:p>
    <w:p w14:paraId="612A88F2" w14:textId="0CCE7CF8" w:rsidR="00F739AC" w:rsidRDefault="00780DA0" w:rsidP="002C0EAE">
      <w:pPr>
        <w:jc w:val="both"/>
        <w:rPr>
          <w:b/>
          <w:sz w:val="28"/>
          <w:lang w:val="el-GR"/>
        </w:rPr>
      </w:pPr>
      <w:r>
        <w:rPr>
          <w:b/>
          <w:noProof/>
          <w:sz w:val="28"/>
        </w:rPr>
        <w:lastRenderedPageBreak/>
        <w:drawing>
          <wp:anchor distT="0" distB="0" distL="114300" distR="114300" simplePos="0" relativeHeight="251661312" behindDoc="0" locked="0" layoutInCell="1" allowOverlap="1" wp14:anchorId="6006276E" wp14:editId="37B67916">
            <wp:simplePos x="0" y="0"/>
            <wp:positionH relativeFrom="margin">
              <wp:posOffset>-161925</wp:posOffset>
            </wp:positionH>
            <wp:positionV relativeFrom="paragraph">
              <wp:posOffset>0</wp:posOffset>
            </wp:positionV>
            <wp:extent cx="6858635" cy="3857625"/>
            <wp:effectExtent l="0" t="0" r="0" b="9525"/>
            <wp:wrapTopAndBottom/>
            <wp:docPr id="535576919"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76919" name="Picture 4" descr="A close-up of a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858635" cy="3857625"/>
                    </a:xfrm>
                    <a:prstGeom prst="rect">
                      <a:avLst/>
                    </a:prstGeom>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60288" behindDoc="0" locked="0" layoutInCell="1" allowOverlap="1" wp14:anchorId="0FC5A2E4" wp14:editId="763B951B">
            <wp:simplePos x="0" y="0"/>
            <wp:positionH relativeFrom="margin">
              <wp:posOffset>-209550</wp:posOffset>
            </wp:positionH>
            <wp:positionV relativeFrom="paragraph">
              <wp:posOffset>4256405</wp:posOffset>
            </wp:positionV>
            <wp:extent cx="6891655" cy="3876675"/>
            <wp:effectExtent l="0" t="0" r="4445" b="9525"/>
            <wp:wrapTopAndBottom/>
            <wp:docPr id="733653287" name="Picture 3"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53287" name="Picture 3" descr="A close-up of a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891655" cy="3876675"/>
                    </a:xfrm>
                    <a:prstGeom prst="rect">
                      <a:avLst/>
                    </a:prstGeom>
                  </pic:spPr>
                </pic:pic>
              </a:graphicData>
            </a:graphic>
            <wp14:sizeRelH relativeFrom="page">
              <wp14:pctWidth>0</wp14:pctWidth>
            </wp14:sizeRelH>
            <wp14:sizeRelV relativeFrom="page">
              <wp14:pctHeight>0</wp14:pctHeight>
            </wp14:sizeRelV>
          </wp:anchor>
        </w:drawing>
      </w:r>
    </w:p>
    <w:p w14:paraId="72AC8956" w14:textId="23C30FA0" w:rsidR="00F739AC" w:rsidRDefault="00F739AC" w:rsidP="002C0EAE">
      <w:pPr>
        <w:jc w:val="both"/>
        <w:rPr>
          <w:b/>
          <w:sz w:val="28"/>
          <w:lang w:val="el-GR"/>
        </w:rPr>
      </w:pPr>
    </w:p>
    <w:p w14:paraId="21DE0B70" w14:textId="0D3B2DDE" w:rsidR="00F739AC" w:rsidRDefault="00780DA0" w:rsidP="002C0EAE">
      <w:pPr>
        <w:jc w:val="both"/>
        <w:rPr>
          <w:b/>
          <w:sz w:val="28"/>
          <w:lang w:val="el-GR"/>
        </w:rPr>
      </w:pPr>
      <w:r>
        <w:rPr>
          <w:b/>
          <w:noProof/>
          <w:sz w:val="28"/>
        </w:rPr>
        <w:lastRenderedPageBreak/>
        <w:drawing>
          <wp:anchor distT="0" distB="0" distL="114300" distR="114300" simplePos="0" relativeHeight="251662336" behindDoc="0" locked="0" layoutInCell="1" allowOverlap="1" wp14:anchorId="415C568A" wp14:editId="53A0C585">
            <wp:simplePos x="0" y="0"/>
            <wp:positionH relativeFrom="margin">
              <wp:align>left</wp:align>
            </wp:positionH>
            <wp:positionV relativeFrom="paragraph">
              <wp:posOffset>276225</wp:posOffset>
            </wp:positionV>
            <wp:extent cx="6671310" cy="3752850"/>
            <wp:effectExtent l="0" t="0" r="0" b="0"/>
            <wp:wrapTopAndBottom/>
            <wp:docPr id="1498182816" name="Picture 5"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82816" name="Picture 5" descr="A close-up of a graph&#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671310" cy="3752850"/>
                    </a:xfrm>
                    <a:prstGeom prst="rect">
                      <a:avLst/>
                    </a:prstGeom>
                  </pic:spPr>
                </pic:pic>
              </a:graphicData>
            </a:graphic>
            <wp14:sizeRelH relativeFrom="page">
              <wp14:pctWidth>0</wp14:pctWidth>
            </wp14:sizeRelH>
            <wp14:sizeRelV relativeFrom="page">
              <wp14:pctHeight>0</wp14:pctHeight>
            </wp14:sizeRelV>
          </wp:anchor>
        </w:drawing>
      </w:r>
    </w:p>
    <w:sectPr w:rsidR="00F739AC" w:rsidSect="00150A15">
      <w:headerReference w:type="default" r:id="rId22"/>
      <w:footerReference w:type="default" r:id="rId23"/>
      <w:headerReference w:type="first" r:id="rId24"/>
      <w:footerReference w:type="first" r:id="rId25"/>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01974" w14:textId="77777777" w:rsidR="00422705" w:rsidRDefault="00422705" w:rsidP="002E1873">
      <w:pPr>
        <w:spacing w:after="0" w:line="240" w:lineRule="auto"/>
      </w:pPr>
      <w:r>
        <w:separator/>
      </w:r>
    </w:p>
  </w:endnote>
  <w:endnote w:type="continuationSeparator" w:id="0">
    <w:p w14:paraId="2177FC54" w14:textId="77777777" w:rsidR="00422705" w:rsidRDefault="00422705"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A1"/>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9E7442" w:rsidRPr="005311F2"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B91D0" w14:textId="77777777" w:rsidR="00422705" w:rsidRDefault="00422705" w:rsidP="002E1873">
      <w:pPr>
        <w:spacing w:after="0" w:line="240" w:lineRule="auto"/>
      </w:pPr>
      <w:r>
        <w:separator/>
      </w:r>
    </w:p>
  </w:footnote>
  <w:footnote w:type="continuationSeparator" w:id="0">
    <w:p w14:paraId="7B2721EC" w14:textId="77777777" w:rsidR="00422705" w:rsidRDefault="00422705"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427D4D87" w:rsidR="002738C0" w:rsidRPr="002A2E0B" w:rsidRDefault="00E556A3" w:rsidP="002A2E0B">
    <w:pPr>
      <w:spacing w:after="0" w:line="240" w:lineRule="auto"/>
      <w:rPr>
        <w:rFonts w:cstheme="majorHAnsi"/>
        <w:color w:val="262626" w:themeColor="text1" w:themeTint="D9"/>
        <w:sz w:val="20"/>
        <w:szCs w:val="20"/>
        <w:lang w:val="el-GR"/>
      </w:rPr>
    </w:pPr>
    <w:r>
      <w:rPr>
        <w:rFonts w:cstheme="majorHAnsi"/>
        <w:color w:val="262626" w:themeColor="text1" w:themeTint="D9"/>
        <w:sz w:val="20"/>
        <w:szCs w:val="20"/>
        <w:lang w:val="el-GR"/>
      </w:rPr>
      <w:t>Στο 1,49</w:t>
    </w:r>
    <w:r w:rsidR="002A2E0B" w:rsidRPr="002A2E0B">
      <w:rPr>
        <w:rFonts w:cstheme="majorHAnsi"/>
        <w:color w:val="262626" w:themeColor="text1" w:themeTint="D9"/>
        <w:sz w:val="20"/>
        <w:szCs w:val="20"/>
        <w:lang w:val="el-GR"/>
      </w:rPr>
      <w:t xml:space="preserve">% του ΑΕΠ το ποσοστό δαπανών για Έρευνα &amp; Ανάπτυξη στην Ελλάδα </w:t>
    </w:r>
    <w:r w:rsidR="002A2E0B" w:rsidRPr="00D52861">
      <w:rPr>
        <w:sz w:val="20"/>
        <w:szCs w:val="20"/>
        <w:lang w:val="el-GR"/>
      </w:rPr>
      <w:t xml:space="preserve">| </w:t>
    </w:r>
    <w:r w:rsidR="002A2E0B" w:rsidRPr="00D52861">
      <w:rPr>
        <w:sz w:val="20"/>
        <w:szCs w:val="20"/>
        <w:lang w:val="el-GR" w:eastAsia="el-GR"/>
      </w:rPr>
      <w:t>ΕΚΤ</w:t>
    </w:r>
    <w:r w:rsidR="002A2E0B">
      <w:rPr>
        <w:b/>
        <w:sz w:val="20"/>
        <w:szCs w:val="20"/>
        <w:lang w:val="el-GR" w:eastAsia="el-GR"/>
      </w:rPr>
      <w:t xml:space="preserve"> </w:t>
    </w:r>
    <w:r w:rsidR="002A2E0B">
      <w:rPr>
        <w:sz w:val="20"/>
        <w:szCs w:val="20"/>
        <w:lang w:val="el-GR"/>
      </w:rPr>
      <w:t>|</w:t>
    </w:r>
    <w:r w:rsidR="002A2E0B" w:rsidRPr="00787C92">
      <w:rPr>
        <w:sz w:val="20"/>
        <w:szCs w:val="20"/>
        <w:lang w:val="el-GR"/>
      </w:rPr>
      <w:t xml:space="preserve"> </w:t>
    </w:r>
    <w:r w:rsidR="002A2E0B">
      <w:rPr>
        <w:sz w:val="20"/>
        <w:szCs w:val="20"/>
        <w:lang w:val="el-GR"/>
      </w:rPr>
      <w:t>ΔΕΛΤΙΟ ΤΥΠΟΥ</w:t>
    </w:r>
    <w:r w:rsidR="002738C0" w:rsidRPr="002A2E0B">
      <w:rPr>
        <w:b/>
        <w:sz w:val="28"/>
        <w:lang w:val="el-GR" w:eastAsia="el-GR"/>
      </w:rPr>
      <w:t xml:space="preserve"> </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69D79805" w:rsidR="00301D9A" w:rsidRPr="00C63BAD" w:rsidRDefault="002738C0" w:rsidP="00301D9A">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6442B6">
      <w:rPr>
        <w:lang w:val="el-GR"/>
      </w:rPr>
      <w:t>Αθήνα,</w:t>
    </w:r>
    <w:r w:rsidR="00385BB7" w:rsidRPr="006442B6">
      <w:t xml:space="preserve"> </w:t>
    </w:r>
    <w:r w:rsidR="000C0313">
      <w:t>0</w:t>
    </w:r>
    <w:r w:rsidR="00930C68">
      <w:t>4</w:t>
    </w:r>
    <w:r w:rsidRPr="006442B6">
      <w:t>.</w:t>
    </w:r>
    <w:r w:rsidR="00930C68">
      <w:t>07</w:t>
    </w:r>
    <w:r w:rsidRPr="006442B6">
      <w:rPr>
        <w:lang w:val="el-GR"/>
      </w:rPr>
      <w:t>.20</w:t>
    </w:r>
    <w:r w:rsidRPr="006442B6">
      <w:t>2</w:t>
    </w:r>
    <w:r w:rsidR="00930C68">
      <w:t>4</w:t>
    </w:r>
  </w:p>
  <w:p w14:paraId="1C52C381"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5699"/>
    <w:rsid w:val="00014478"/>
    <w:rsid w:val="00031267"/>
    <w:rsid w:val="000344E2"/>
    <w:rsid w:val="00043427"/>
    <w:rsid w:val="00043499"/>
    <w:rsid w:val="00044A7D"/>
    <w:rsid w:val="0005442B"/>
    <w:rsid w:val="00061794"/>
    <w:rsid w:val="00063D68"/>
    <w:rsid w:val="00064AAE"/>
    <w:rsid w:val="000665F7"/>
    <w:rsid w:val="00067AF1"/>
    <w:rsid w:val="00075F01"/>
    <w:rsid w:val="000878D1"/>
    <w:rsid w:val="00090578"/>
    <w:rsid w:val="00097532"/>
    <w:rsid w:val="00097B1F"/>
    <w:rsid w:val="000A018C"/>
    <w:rsid w:val="000B5EF3"/>
    <w:rsid w:val="000B6322"/>
    <w:rsid w:val="000C0313"/>
    <w:rsid w:val="000C2B72"/>
    <w:rsid w:val="000C46F9"/>
    <w:rsid w:val="000D1EF7"/>
    <w:rsid w:val="000E2EB0"/>
    <w:rsid w:val="000E670B"/>
    <w:rsid w:val="000F1289"/>
    <w:rsid w:val="000F1B7A"/>
    <w:rsid w:val="0010114E"/>
    <w:rsid w:val="00101C5B"/>
    <w:rsid w:val="00103B05"/>
    <w:rsid w:val="001055E6"/>
    <w:rsid w:val="00111A97"/>
    <w:rsid w:val="001132DE"/>
    <w:rsid w:val="001209AD"/>
    <w:rsid w:val="00121D68"/>
    <w:rsid w:val="0013453F"/>
    <w:rsid w:val="0013773A"/>
    <w:rsid w:val="0014272C"/>
    <w:rsid w:val="00150A15"/>
    <w:rsid w:val="001609C6"/>
    <w:rsid w:val="001643B5"/>
    <w:rsid w:val="001646C1"/>
    <w:rsid w:val="0016730D"/>
    <w:rsid w:val="0017374C"/>
    <w:rsid w:val="0017687E"/>
    <w:rsid w:val="001879A9"/>
    <w:rsid w:val="00192BAB"/>
    <w:rsid w:val="00197A18"/>
    <w:rsid w:val="001A0C05"/>
    <w:rsid w:val="001B4208"/>
    <w:rsid w:val="001C0973"/>
    <w:rsid w:val="001C2B9D"/>
    <w:rsid w:val="001D5F59"/>
    <w:rsid w:val="001D60BF"/>
    <w:rsid w:val="001E15D2"/>
    <w:rsid w:val="001F1896"/>
    <w:rsid w:val="00204235"/>
    <w:rsid w:val="002043D7"/>
    <w:rsid w:val="00212827"/>
    <w:rsid w:val="00213507"/>
    <w:rsid w:val="0021492D"/>
    <w:rsid w:val="002208F1"/>
    <w:rsid w:val="00231BA2"/>
    <w:rsid w:val="0023529C"/>
    <w:rsid w:val="00241D75"/>
    <w:rsid w:val="002423F5"/>
    <w:rsid w:val="00243231"/>
    <w:rsid w:val="00251B73"/>
    <w:rsid w:val="002544D7"/>
    <w:rsid w:val="00261B93"/>
    <w:rsid w:val="00263A9B"/>
    <w:rsid w:val="00271C3E"/>
    <w:rsid w:val="002738C0"/>
    <w:rsid w:val="00276E4A"/>
    <w:rsid w:val="00281CCA"/>
    <w:rsid w:val="002877A3"/>
    <w:rsid w:val="00292086"/>
    <w:rsid w:val="002A2E0B"/>
    <w:rsid w:val="002B3685"/>
    <w:rsid w:val="002B5D08"/>
    <w:rsid w:val="002C0EAE"/>
    <w:rsid w:val="002C28B5"/>
    <w:rsid w:val="002C33D6"/>
    <w:rsid w:val="002E1873"/>
    <w:rsid w:val="002F7D10"/>
    <w:rsid w:val="003007F0"/>
    <w:rsid w:val="00301D9A"/>
    <w:rsid w:val="003031F6"/>
    <w:rsid w:val="003134E5"/>
    <w:rsid w:val="00315158"/>
    <w:rsid w:val="003211D8"/>
    <w:rsid w:val="003251FE"/>
    <w:rsid w:val="00330944"/>
    <w:rsid w:val="00332E2C"/>
    <w:rsid w:val="00334E51"/>
    <w:rsid w:val="00343A78"/>
    <w:rsid w:val="00345DDC"/>
    <w:rsid w:val="00347D79"/>
    <w:rsid w:val="003511DC"/>
    <w:rsid w:val="003624E6"/>
    <w:rsid w:val="00375B24"/>
    <w:rsid w:val="00385BB7"/>
    <w:rsid w:val="0039097A"/>
    <w:rsid w:val="003A09FF"/>
    <w:rsid w:val="003A43CD"/>
    <w:rsid w:val="003C25B8"/>
    <w:rsid w:val="003D16B1"/>
    <w:rsid w:val="003D461D"/>
    <w:rsid w:val="003D5D5B"/>
    <w:rsid w:val="003E2E8E"/>
    <w:rsid w:val="003E32B8"/>
    <w:rsid w:val="00401A75"/>
    <w:rsid w:val="00405615"/>
    <w:rsid w:val="00421DA3"/>
    <w:rsid w:val="00422705"/>
    <w:rsid w:val="00427B63"/>
    <w:rsid w:val="00442A6B"/>
    <w:rsid w:val="00447DCF"/>
    <w:rsid w:val="004527A1"/>
    <w:rsid w:val="00462DDC"/>
    <w:rsid w:val="00477D8D"/>
    <w:rsid w:val="00486BF1"/>
    <w:rsid w:val="004929DA"/>
    <w:rsid w:val="004A154F"/>
    <w:rsid w:val="004A2D3B"/>
    <w:rsid w:val="004A2E72"/>
    <w:rsid w:val="004A4E3B"/>
    <w:rsid w:val="004B2B64"/>
    <w:rsid w:val="004B48D6"/>
    <w:rsid w:val="004B7A0F"/>
    <w:rsid w:val="004C11AD"/>
    <w:rsid w:val="004C1E53"/>
    <w:rsid w:val="004C25BB"/>
    <w:rsid w:val="004D12A2"/>
    <w:rsid w:val="004D53CD"/>
    <w:rsid w:val="004D7E4A"/>
    <w:rsid w:val="004E3EBF"/>
    <w:rsid w:val="004E4B57"/>
    <w:rsid w:val="00501407"/>
    <w:rsid w:val="00504951"/>
    <w:rsid w:val="00506571"/>
    <w:rsid w:val="00510242"/>
    <w:rsid w:val="00511750"/>
    <w:rsid w:val="00517337"/>
    <w:rsid w:val="00525759"/>
    <w:rsid w:val="00533CFB"/>
    <w:rsid w:val="0055587A"/>
    <w:rsid w:val="00561F1D"/>
    <w:rsid w:val="00577E88"/>
    <w:rsid w:val="00580476"/>
    <w:rsid w:val="0059171C"/>
    <w:rsid w:val="005A0403"/>
    <w:rsid w:val="005B35A3"/>
    <w:rsid w:val="005B5961"/>
    <w:rsid w:val="005B61E5"/>
    <w:rsid w:val="005D291A"/>
    <w:rsid w:val="005D4304"/>
    <w:rsid w:val="005E031F"/>
    <w:rsid w:val="005E1492"/>
    <w:rsid w:val="005F0D19"/>
    <w:rsid w:val="00610214"/>
    <w:rsid w:val="00610B2F"/>
    <w:rsid w:val="00616508"/>
    <w:rsid w:val="00621442"/>
    <w:rsid w:val="0063034C"/>
    <w:rsid w:val="00640EC7"/>
    <w:rsid w:val="006412D3"/>
    <w:rsid w:val="006442B6"/>
    <w:rsid w:val="0065132C"/>
    <w:rsid w:val="00652B33"/>
    <w:rsid w:val="00663E3D"/>
    <w:rsid w:val="00665986"/>
    <w:rsid w:val="006854F7"/>
    <w:rsid w:val="00693749"/>
    <w:rsid w:val="006A340A"/>
    <w:rsid w:val="006A75E6"/>
    <w:rsid w:val="006D00BC"/>
    <w:rsid w:val="006D0D75"/>
    <w:rsid w:val="006E2C99"/>
    <w:rsid w:val="006E3FD0"/>
    <w:rsid w:val="006E4C35"/>
    <w:rsid w:val="00704039"/>
    <w:rsid w:val="00705D85"/>
    <w:rsid w:val="007145F4"/>
    <w:rsid w:val="00720C3A"/>
    <w:rsid w:val="00740CCF"/>
    <w:rsid w:val="00753584"/>
    <w:rsid w:val="00776FE5"/>
    <w:rsid w:val="00780DA0"/>
    <w:rsid w:val="00783824"/>
    <w:rsid w:val="00790BEA"/>
    <w:rsid w:val="00797F30"/>
    <w:rsid w:val="007A7B0C"/>
    <w:rsid w:val="007A7C4A"/>
    <w:rsid w:val="007C536F"/>
    <w:rsid w:val="007D183B"/>
    <w:rsid w:val="007D2870"/>
    <w:rsid w:val="007D77A4"/>
    <w:rsid w:val="007E42D1"/>
    <w:rsid w:val="007E4D87"/>
    <w:rsid w:val="007E67CF"/>
    <w:rsid w:val="00801E68"/>
    <w:rsid w:val="00802102"/>
    <w:rsid w:val="00802EA1"/>
    <w:rsid w:val="008044F5"/>
    <w:rsid w:val="0080674D"/>
    <w:rsid w:val="00807351"/>
    <w:rsid w:val="0081280F"/>
    <w:rsid w:val="00820292"/>
    <w:rsid w:val="00821115"/>
    <w:rsid w:val="00834D8D"/>
    <w:rsid w:val="008439D2"/>
    <w:rsid w:val="0085138D"/>
    <w:rsid w:val="00856E43"/>
    <w:rsid w:val="00856E76"/>
    <w:rsid w:val="008734E8"/>
    <w:rsid w:val="0087532A"/>
    <w:rsid w:val="00881E9A"/>
    <w:rsid w:val="00885C95"/>
    <w:rsid w:val="008918B2"/>
    <w:rsid w:val="00897E62"/>
    <w:rsid w:val="008A0F6A"/>
    <w:rsid w:val="008B6150"/>
    <w:rsid w:val="008B6EC6"/>
    <w:rsid w:val="008C6824"/>
    <w:rsid w:val="008C7679"/>
    <w:rsid w:val="008D2755"/>
    <w:rsid w:val="008F102D"/>
    <w:rsid w:val="008F44A2"/>
    <w:rsid w:val="00914547"/>
    <w:rsid w:val="0092609C"/>
    <w:rsid w:val="00930C68"/>
    <w:rsid w:val="00934878"/>
    <w:rsid w:val="0096148D"/>
    <w:rsid w:val="00962929"/>
    <w:rsid w:val="009732E6"/>
    <w:rsid w:val="00997624"/>
    <w:rsid w:val="009B0DF0"/>
    <w:rsid w:val="009B5AA5"/>
    <w:rsid w:val="009C4982"/>
    <w:rsid w:val="009D0EF3"/>
    <w:rsid w:val="009D42F8"/>
    <w:rsid w:val="009E7442"/>
    <w:rsid w:val="009F2CF1"/>
    <w:rsid w:val="00A0124B"/>
    <w:rsid w:val="00A02041"/>
    <w:rsid w:val="00A0264C"/>
    <w:rsid w:val="00A11144"/>
    <w:rsid w:val="00A31A53"/>
    <w:rsid w:val="00A32599"/>
    <w:rsid w:val="00A36E04"/>
    <w:rsid w:val="00A43B93"/>
    <w:rsid w:val="00A4758D"/>
    <w:rsid w:val="00A61AB1"/>
    <w:rsid w:val="00A70390"/>
    <w:rsid w:val="00A7669B"/>
    <w:rsid w:val="00A92C48"/>
    <w:rsid w:val="00A944BF"/>
    <w:rsid w:val="00AC608E"/>
    <w:rsid w:val="00AC6B29"/>
    <w:rsid w:val="00AD0383"/>
    <w:rsid w:val="00AD069D"/>
    <w:rsid w:val="00AD2ABA"/>
    <w:rsid w:val="00AE65B0"/>
    <w:rsid w:val="00AF1A08"/>
    <w:rsid w:val="00AF2CC8"/>
    <w:rsid w:val="00AF5A34"/>
    <w:rsid w:val="00AF6A36"/>
    <w:rsid w:val="00B04B35"/>
    <w:rsid w:val="00B2215D"/>
    <w:rsid w:val="00B27D91"/>
    <w:rsid w:val="00B31C0B"/>
    <w:rsid w:val="00B330F7"/>
    <w:rsid w:val="00B4066B"/>
    <w:rsid w:val="00B552AA"/>
    <w:rsid w:val="00B57A74"/>
    <w:rsid w:val="00B709D9"/>
    <w:rsid w:val="00B75D53"/>
    <w:rsid w:val="00B81BAA"/>
    <w:rsid w:val="00B87355"/>
    <w:rsid w:val="00B906BC"/>
    <w:rsid w:val="00B91D60"/>
    <w:rsid w:val="00B9561C"/>
    <w:rsid w:val="00BA050A"/>
    <w:rsid w:val="00BA3EF4"/>
    <w:rsid w:val="00BB291D"/>
    <w:rsid w:val="00BB77B6"/>
    <w:rsid w:val="00BC390C"/>
    <w:rsid w:val="00BC5962"/>
    <w:rsid w:val="00BE4E81"/>
    <w:rsid w:val="00BE5839"/>
    <w:rsid w:val="00BF2CC5"/>
    <w:rsid w:val="00C0372A"/>
    <w:rsid w:val="00C11192"/>
    <w:rsid w:val="00C12667"/>
    <w:rsid w:val="00C24544"/>
    <w:rsid w:val="00C35F39"/>
    <w:rsid w:val="00C36BA2"/>
    <w:rsid w:val="00C467DD"/>
    <w:rsid w:val="00C515D1"/>
    <w:rsid w:val="00C54609"/>
    <w:rsid w:val="00C54A3D"/>
    <w:rsid w:val="00C55DA3"/>
    <w:rsid w:val="00C61884"/>
    <w:rsid w:val="00C63BAD"/>
    <w:rsid w:val="00C665A5"/>
    <w:rsid w:val="00C70819"/>
    <w:rsid w:val="00C85F3D"/>
    <w:rsid w:val="00C96A12"/>
    <w:rsid w:val="00CA6C05"/>
    <w:rsid w:val="00CB12F2"/>
    <w:rsid w:val="00CB4791"/>
    <w:rsid w:val="00CB7F59"/>
    <w:rsid w:val="00CC3FCB"/>
    <w:rsid w:val="00CC65F8"/>
    <w:rsid w:val="00CD1DF6"/>
    <w:rsid w:val="00CD3BBC"/>
    <w:rsid w:val="00CE0EE4"/>
    <w:rsid w:val="00CF1DC3"/>
    <w:rsid w:val="00CF5378"/>
    <w:rsid w:val="00D1336D"/>
    <w:rsid w:val="00D17D47"/>
    <w:rsid w:val="00D218A7"/>
    <w:rsid w:val="00D21BB3"/>
    <w:rsid w:val="00D340AC"/>
    <w:rsid w:val="00D41F9B"/>
    <w:rsid w:val="00D46024"/>
    <w:rsid w:val="00D54466"/>
    <w:rsid w:val="00D55E29"/>
    <w:rsid w:val="00D67756"/>
    <w:rsid w:val="00D67768"/>
    <w:rsid w:val="00D7223F"/>
    <w:rsid w:val="00D74B26"/>
    <w:rsid w:val="00D83951"/>
    <w:rsid w:val="00D95BCD"/>
    <w:rsid w:val="00DB00AA"/>
    <w:rsid w:val="00DB3684"/>
    <w:rsid w:val="00DC35F2"/>
    <w:rsid w:val="00DC5204"/>
    <w:rsid w:val="00DF5D25"/>
    <w:rsid w:val="00E03788"/>
    <w:rsid w:val="00E07888"/>
    <w:rsid w:val="00E12E09"/>
    <w:rsid w:val="00E20D67"/>
    <w:rsid w:val="00E2488C"/>
    <w:rsid w:val="00E27EBF"/>
    <w:rsid w:val="00E3275F"/>
    <w:rsid w:val="00E37089"/>
    <w:rsid w:val="00E44211"/>
    <w:rsid w:val="00E4638A"/>
    <w:rsid w:val="00E507E4"/>
    <w:rsid w:val="00E556A3"/>
    <w:rsid w:val="00E57B36"/>
    <w:rsid w:val="00E600C3"/>
    <w:rsid w:val="00E62404"/>
    <w:rsid w:val="00E70426"/>
    <w:rsid w:val="00E9063D"/>
    <w:rsid w:val="00E9573D"/>
    <w:rsid w:val="00EA5A00"/>
    <w:rsid w:val="00EB6353"/>
    <w:rsid w:val="00EC2B50"/>
    <w:rsid w:val="00EC3996"/>
    <w:rsid w:val="00ED14CB"/>
    <w:rsid w:val="00EF445A"/>
    <w:rsid w:val="00F00748"/>
    <w:rsid w:val="00F12205"/>
    <w:rsid w:val="00F25EAF"/>
    <w:rsid w:val="00F42FCC"/>
    <w:rsid w:val="00F43C22"/>
    <w:rsid w:val="00F472FE"/>
    <w:rsid w:val="00F479DB"/>
    <w:rsid w:val="00F47CBE"/>
    <w:rsid w:val="00F51263"/>
    <w:rsid w:val="00F70852"/>
    <w:rsid w:val="00F739AC"/>
    <w:rsid w:val="00F74184"/>
    <w:rsid w:val="00F84266"/>
    <w:rsid w:val="00F87E08"/>
    <w:rsid w:val="00FA1A08"/>
    <w:rsid w:val="00FB3380"/>
    <w:rsid w:val="00FB5C3C"/>
    <w:rsid w:val="00FD009B"/>
    <w:rsid w:val="00FE1415"/>
    <w:rsid w:val="00FF3E85"/>
    <w:rsid w:val="54FCF3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8969AB"/>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paragraph" w:styleId="Revision">
    <w:name w:val="Revision"/>
    <w:hidden/>
    <w:uiPriority w:val="99"/>
    <w:semiHidden/>
    <w:rsid w:val="006A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ics.ekt.gr/publications/701" TargetMode="Externa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yperlink" Target="http://metrics.ekt.gr" TargetMode="External"/><Relationship Id="rId17" Type="http://schemas.openxmlformats.org/officeDocument/2006/relationships/image" Target="media/image1.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kt.gr"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701"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proed@ekt.g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trics.ekt.g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79a2cec5d04bb4e68fd464cf47a5df39">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32d73c5af8a179bf624c6ee432f511ab"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390B-806A-4C86-B64D-1B081E43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71795-8556-4C71-B376-894D395A4ADA}">
  <ds:schemaRefs>
    <ds:schemaRef ds:uri="http://schemas.openxmlformats.org/package/2006/metadata/core-properties"/>
    <ds:schemaRef ds:uri="3c85ea02-3356-4cf5-86fa-e25d0775b27d"/>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fc1a25ad-c8f1-48d8-b13a-dff6fe122856"/>
    <ds:schemaRef ds:uri="http://purl.org/dc/dcmitype/"/>
  </ds:schemaRefs>
</ds:datastoreItem>
</file>

<file path=customXml/itemProps3.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4.xml><?xml version="1.0" encoding="utf-8"?>
<ds:datastoreItem xmlns:ds="http://schemas.openxmlformats.org/officeDocument/2006/customXml" ds:itemID="{7366111C-1FE6-45B9-A885-3272964E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8</cp:revision>
  <cp:lastPrinted>2023-11-02T11:25:00Z</cp:lastPrinted>
  <dcterms:created xsi:type="dcterms:W3CDTF">2024-07-03T08:35:00Z</dcterms:created>
  <dcterms:modified xsi:type="dcterms:W3CDTF">2024-07-04T10:09:00Z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